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813134d8k.htm"/>
      <w:bookmarkStart w:id="1" w:name="ksd813134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March 11, 2024</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Sixth Street Lending Partners</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814-01543</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88-1710161</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4070"/>
        <w:gridCol w:w="60"/>
        <w:gridCol w:w="1010"/>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2100 McKinney Avenue, Suite 1500</w:t>
            </w:r>
          </w:p>
          <w:p>
            <w:pPr>
              <w:pStyle w:val="TableContents"/>
              <w:bidi w:val="0"/>
              <w:spacing w:before="0" w:after="20"/>
              <w:jc w:val="center"/>
              <w:rPr>
                <w:rFonts w:ascii="Times New Roman" w:hAnsi="Times New Roman"/>
                <w:b/>
                <w:sz w:val="20"/>
              </w:rPr>
            </w:pPr>
            <w:r>
              <w:rPr>
                <w:rFonts w:ascii="Times New Roman" w:hAnsi="Times New Roman"/>
                <w:b/>
                <w:sz w:val="20"/>
              </w:rPr>
              <w:t>Dallas, TX</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75201</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(469) 621-3001</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3915" w:type="dxa"/>
        <w:jc w:val="left"/>
        <w:tblInd w:w="0" w:type="dxa"/>
        <w:tblLayout w:type="fixed"/>
        <w:tblCellMar>
          <w:top w:w="0" w:type="dxa"/>
          <w:left w:w="0" w:type="dxa"/>
          <w:bottom w:w="0" w:type="dxa"/>
          <w:right w:w="0" w:type="dxa"/>
        </w:tblCellMar>
      </w:tblPr>
      <w:tblGrid>
        <w:gridCol w:w="1310"/>
        <w:gridCol w:w="60"/>
        <w:gridCol w:w="740"/>
        <w:gridCol w:w="60"/>
        <w:gridCol w:w="1745"/>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5" w:type="dxa"/>
            <w:tcBorders/>
            <w:vAlign w:val="center"/>
          </w:tcPr>
          <w:p>
            <w:pPr>
              <w:pStyle w:val="TableContents"/>
              <w:bidi w:val="0"/>
              <w:spacing w:before="0" w:after="283"/>
              <w:jc w:val="left"/>
              <w:rPr>
                <w:sz w:val="4"/>
                <w:szCs w:val="4"/>
              </w:rPr>
            </w:pPr>
            <w:r>
              <w:rPr>
                <w:sz w:val="4"/>
                <w:szCs w:val="4"/>
              </w:rPr>
            </w:r>
          </w:p>
        </w:tc>
      </w:tr>
      <w:tr>
        <w:trPr/>
        <w:tc>
          <w:tcPr>
            <w:tcW w:w="13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174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131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None</w:t>
            </w:r>
          </w:p>
        </w:tc>
        <w:tc>
          <w:tcPr>
            <w:tcW w:w="60" w:type="dxa"/>
            <w:tcBorders/>
            <w:vAlign w:val="center"/>
          </w:tcPr>
          <w:p>
            <w:pPr>
              <w:pStyle w:val="TableContents"/>
              <w:bidi w:val="0"/>
              <w:spacing w:before="0" w:after="283"/>
              <w:jc w:val="left"/>
              <w:rPr/>
            </w:pPr>
            <w:r>
              <w:rPr/>
              <w:t> </w:t>
            </w:r>
          </w:p>
        </w:tc>
        <w:tc>
          <w:tcPr>
            <w:tcW w:w="1745" w:type="dxa"/>
            <w:tcBorders/>
            <w:vAlign w:val="center"/>
          </w:tcPr>
          <w:p>
            <w:pPr>
              <w:pStyle w:val="TableContents"/>
              <w:bidi w:val="0"/>
              <w:spacing w:before="0" w:after="283"/>
              <w:jc w:val="center"/>
              <w:rPr/>
            </w:pPr>
            <w:r>
              <w:rPr/>
              <w:t>None</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1.01 - Entry into a Material Definitive Agreement </w:t>
      </w:r>
    </w:p>
    <w:p>
      <w:pPr>
        <w:pStyle w:val="TextBody"/>
        <w:bidi w:val="0"/>
        <w:spacing w:before="120" w:after="0"/>
        <w:jc w:val="left"/>
        <w:rPr>
          <w:rFonts w:ascii="Times New Roman" w:hAnsi="Times New Roman"/>
          <w:b/>
          <w:sz w:val="20"/>
          <w:u w:val="single"/>
        </w:rPr>
      </w:pPr>
      <w:r>
        <w:rPr>
          <w:rFonts w:ascii="Times New Roman" w:hAnsi="Times New Roman"/>
          <w:b/>
          <w:sz w:val="20"/>
          <w:u w:val="single"/>
        </w:rPr>
        <w:t xml:space="preserve">Indenture and Supplemental Indenture </w:t>
      </w:r>
    </w:p>
    <w:p>
      <w:pPr>
        <w:pStyle w:val="TextBody"/>
        <w:bidi w:val="0"/>
        <w:spacing w:before="120" w:after="0"/>
        <w:jc w:val="left"/>
        <w:rPr>
          <w:rFonts w:ascii="Times New Roman" w:hAnsi="Times New Roman"/>
          <w:sz w:val="20"/>
        </w:rPr>
      </w:pPr>
      <w:r>
        <w:rPr>
          <w:rFonts w:ascii="Times New Roman" w:hAnsi="Times New Roman"/>
          <w:sz w:val="20"/>
        </w:rPr>
        <w:t xml:space="preserve">On March 11, 2024, Sixth Street Lending Partners (the “Company”) and U.S. Bank Trust Company, National Association (the “Trustee”), entered into a First Supplemental Indenture (the “First Supplemental Indenture”) to the Indenture, dated as of March 11, 2024, between the Company and the Trustee (the “Base Indenture”; and together with the First Supplemental Indenture, the “Indenture”), relating to the Company’s issuance, offer and sale of $600,000,000 aggregate principal amount of its 6.500% notes due 2029 (the “Notes”). The Notes were offered to persons reasonably believed to be qualified institutional buyers in accordance with Rule 144A under the Securities Act of 1933, as amended (the “Securities Act”), and to non-U.S. persons in transactions outside the United States in reliance on Regulation S under the Securities Act. The Notes have not been registered under the Securities Act or any state securities laws and may not be offered or sold in the United States absent registration or an applicable exemption from such registration requirements. The transaction closed on March 11, 2024.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mature on March 11, 2029, and may be redeemed in whole or in part at the Company’s option at any time at the redemption prices set forth in the First Supplemental Indenture. The Notes bear interest at a rate of 6.500% per year payable semiannually on March 11 and September 11 of each year, commencing on September 11, 2024. The Notes are direct unsecured obligations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expects to use the net proceeds of this offering to pay down a portion of the outstanding indebtedness on the Company’s revolving credit facility and/or its subscription facility. The Indenture contains certain covenants including covenants requiring the Company to comply with Section 18(a)(1)(A) as modified by Section 61(a) of the Investment Company Act of 1940, as amended, or any successor provisions, but giving effect, in either case, to any exemptive relief granted to the Company by the Securities and Exchange Commission (the “SEC”), and to provide financial information to the holders of the Notes and the Trustee if the Company should no longer be subject to the reporting requirements under the Securities Exchange Act of 1934, as amended. These covenants are subject to important limitations and exceptions that are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In addition, upon the occurrence of a change of control repurchase event (which involves the occurrence of both a change of control and a below investment grade rating of the Notes by both Fitch Ratings, Inc. and Moody’s Investor Service), the Company will be required to make an offer to purchase the Notes at a price equal to 100% of the principal amount plus accrued and unpaid interest to the date of purchase.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descriptions of the Base Indenture, First Supplemental Indenture and the Notes do not purport to be complete and are qualified in their entirety by reference to the full text of the Base Indenture, First Supplemental Indenture and the Notes, respectively, each filed as an exhibit hereto and incorporated by reference herein.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Registration Rights Agreement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offering of the Notes, the Company entered into a Registration Rights Agreement, dated as of March 11, 2024 (the “Registration Rights Agreement”), with BofA Securities, Inc., as representative of the several initial purchasers of the Notes. Pursuant to the Registration Rights Agreement, the Company is obligated to file with the SEC a registration statement relating to an offer to exchange the Notes for new notes issued by the Company that are registered under the Securities Act and otherwise have terms substantially identical to those of the Notes, and to use its commercially reasonable efforts to cause such registration statement to be declared effective by the SEC under the Securities Act. The Company has agreed to use its commercially reasonable efforts to consummate such exchange offer on the earliest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practicable date after such registration statement has been declared effective but in no event later than 365 days after the initial issuance of Notes. If the Company is not able to effect the exchange offer, the Company will be obligated to file a shelf registration statement covering the resale of the Notes and use its commercially reasonable efforts to cause such registration statement to be declared effective. If the Company fails to satisfy its registration obligations by certain dates specified in the Registration Rights Agreement, it will be required to pay additional interest to the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Registration Rights Agreement does not purport to be complete and is qualified in its entirety by reference to the full text of the Registration Rights Agreement, filed as an exhibit hereto and incorporated by reference herein. </w:t>
      </w:r>
    </w:p>
    <w:p>
      <w:pPr>
        <w:pStyle w:val="TextBody"/>
        <w:bidi w:val="0"/>
        <w:spacing w:before="360" w:after="0"/>
        <w:jc w:val="left"/>
        <w:rPr>
          <w:rFonts w:ascii="Times New Roman" w:hAnsi="Times New Roman"/>
          <w:b/>
          <w:sz w:val="20"/>
        </w:rPr>
      </w:pPr>
      <w:r>
        <w:rPr>
          <w:rFonts w:ascii="Times New Roman" w:hAnsi="Times New Roman"/>
          <w:b/>
          <w:sz w:val="20"/>
        </w:rPr>
        <w:t xml:space="preserve">Item 2.03 - Creation of a Direct Financial Obligation or an Obligation Under an Off-Balance Sheet Arrangement of a Registrant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1.01 of this Form 8-K is incorporated herein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 Financial Statements and Exhibits </w:t>
      </w:r>
    </w:p>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120"/>
        <w:gridCol w:w="9465"/>
      </w:tblGrid>
      <w:tr>
        <w:trPr/>
        <w:tc>
          <w:tcPr>
            <w:tcW w:w="6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65" w:type="dxa"/>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Number</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4.1</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13134dex41.htm">
              <w:r>
                <w:rPr>
                  <w:rStyle w:val="InternetLink"/>
                </w:rPr>
                <w:t xml:space="preserve">Indenture, dated as of March 11, 2024, between Sixth Street Lending Partners and U.S. Bank Trust Company, National Association,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4.2</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13134dex42.htm">
              <w:r>
                <w:rPr>
                  <w:rStyle w:val="InternetLink"/>
                </w:rPr>
                <w:t xml:space="preserve">First Supplemental Indenture, dated as of March 11, 2024, between Sixth Street Lending Partners and U.S. Bank Trust Company, National Association, as Trustee.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4.3</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13134dex42.htm">
              <w:r>
                <w:rPr>
                  <w:rStyle w:val="InternetLink"/>
                </w:rPr>
                <w:t xml:space="preserve">Form of 6.500% Notes Due 2029 (included as part of Exhibit 4.2)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4.4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hyperlink w:anchor="d813134dex44.htm">
              <w:r>
                <w:rPr>
                  <w:rStyle w:val="InternetLink"/>
                </w:rPr>
                <w:t xml:space="preserve">Registration Rights Agreement, dated as of March 11, 2024, relating to the Notes, by and among Sixth Street Lending Partners and BofA Securities, Inc. as representative of the initial purchasers. </w:t>
              </w:r>
            </w:hyperlink>
          </w:p>
        </w:tc>
      </w:tr>
      <w:tr>
        <w:trPr/>
        <w:tc>
          <w:tcPr>
            <w:tcW w:w="620" w:type="dxa"/>
            <w:tcBorders/>
            <w:vAlign w:val="center"/>
          </w:tcPr>
          <w:p>
            <w:pPr>
              <w:pStyle w:val="TableContents"/>
              <w:bidi w:val="0"/>
              <w:spacing w:before="0" w:after="283"/>
              <w:jc w:val="left"/>
              <w:rPr>
                <w:sz w:val="4"/>
                <w:szCs w:val="4"/>
              </w:rPr>
            </w:pPr>
            <w:r>
              <w:rPr>
                <w:sz w:val="4"/>
                <w:szCs w:val="4"/>
              </w:rPr>
            </w:r>
          </w:p>
        </w:tc>
        <w:tc>
          <w:tcPr>
            <w:tcW w:w="9585" w:type="dxa"/>
            <w:gridSpan w:val="2"/>
            <w:tcBorders/>
            <w:vAlign w:val="center"/>
          </w:tcPr>
          <w:p>
            <w:pPr>
              <w:pStyle w:val="TableContents"/>
              <w:bidi w:val="0"/>
              <w:spacing w:before="0" w:after="283"/>
              <w:jc w:val="left"/>
              <w:rPr>
                <w:sz w:val="4"/>
                <w:szCs w:val="4"/>
              </w:rPr>
            </w:pPr>
            <w:r>
              <w:rPr>
                <w:sz w:val="4"/>
                <w:szCs w:val="4"/>
              </w:rPr>
            </w:r>
          </w:p>
        </w:tc>
      </w:tr>
      <w:tr>
        <w:trPr/>
        <w:tc>
          <w:tcPr>
            <w:tcW w:w="62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46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6795" w:type="dxa"/>
        <w:jc w:val="left"/>
        <w:tblInd w:w="0" w:type="dxa"/>
        <w:tblLayout w:type="fixed"/>
        <w:tblCellMar>
          <w:top w:w="0" w:type="dxa"/>
          <w:left w:w="0" w:type="dxa"/>
          <w:bottom w:w="0" w:type="dxa"/>
          <w:right w:w="0" w:type="dxa"/>
        </w:tblCellMar>
      </w:tblPr>
      <w:tblGrid>
        <w:gridCol w:w="2120"/>
        <w:gridCol w:w="60"/>
        <w:gridCol w:w="365"/>
        <w:gridCol w:w="60"/>
        <w:gridCol w:w="4190"/>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9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SIXTH STREET LENDING PARTNERS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(Registrant)</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4250" w:type="dxa"/>
            <w:gridSpan w:val="2"/>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pPr>
            <w:r>
              <w:rPr/>
              <w:t>Date: March 15, 2024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Ian Simmonds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Ian Simmonds</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90" w:type="dxa"/>
            <w:tcBorders/>
            <w:vAlign w:val="center"/>
          </w:tcPr>
          <w:p>
            <w:pPr>
              <w:pStyle w:val="TableContents"/>
              <w:bidi w:val="0"/>
              <w:spacing w:before="0" w:after="283"/>
              <w:jc w:val="left"/>
              <w:rPr/>
            </w:pPr>
            <w:r>
              <w:rPr/>
              <w:t>Chief Financial Officer</w:t>
            </w:r>
          </w:p>
        </w:tc>
      </w:tr>
    </w:tbl>
    <w:p>
      <w:pPr>
        <w:pStyle w:val="TextBody"/>
        <w:bidi w:val="0"/>
        <w:spacing w:before="0" w:after="0"/>
        <w:jc w:val="right"/>
        <w:rPr>
          <w:rFonts w:ascii="Times New Roman" w:hAnsi="Times New Roman"/>
          <w:b/>
          <w:i/>
          <w:sz w:val="20"/>
        </w:rPr>
      </w:pPr>
      <w:bookmarkStart w:id="2" w:name="d813134dex41.htm"/>
      <w:bookmarkStart w:id="3" w:name="ksd813134dex41"/>
      <w:bookmarkEnd w:id="2"/>
      <w:bookmarkEnd w:id="3"/>
      <w:r>
        <w:rPr>
          <w:rFonts w:ascii="Times New Roman" w:hAnsi="Times New Roman"/>
          <w:b/>
          <w:i/>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b/>
          <w:sz w:val="20"/>
        </w:rPr>
      </w:pPr>
      <w:r>
        <w:rPr>
          <w:rFonts w:ascii="Times New Roman" w:hAnsi="Times New Roman"/>
          <w:b/>
          <w:sz w:val="20"/>
        </w:rPr>
        <w:t xml:space="preserve">(Company)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240" w:after="0"/>
        <w:jc w:val="center"/>
        <w:rPr>
          <w:rFonts w:ascii="Times New Roman" w:hAnsi="Times New Roman"/>
          <w:b/>
          <w:sz w:val="20"/>
        </w:rPr>
      </w:pPr>
      <w:r>
        <w:rPr>
          <w:rFonts w:ascii="Times New Roman" w:hAnsi="Times New Roman"/>
          <w:b/>
          <w:sz w:val="20"/>
        </w:rPr>
        <w:t xml:space="preserve">(Trustee)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March 11, 2024 </w:t>
      </w:r>
    </w:p>
    <w:p>
      <w:pPr>
        <w:pStyle w:val="TextBody"/>
        <w:bidi w:val="0"/>
        <w:spacing w:before="240" w:after="0"/>
        <w:jc w:val="center"/>
        <w:rPr>
          <w:rFonts w:ascii="Times New Roman" w:hAnsi="Times New Roman"/>
          <w:b/>
          <w:sz w:val="20"/>
        </w:rPr>
      </w:pPr>
      <w:r>
        <w:rPr>
          <w:rFonts w:ascii="Times New Roman" w:hAnsi="Times New Roman"/>
          <w:b/>
          <w:sz w:val="20"/>
        </w:rPr>
        <w:t xml:space="preserve">Providing for the Issuance </w:t>
      </w:r>
    </w:p>
    <w:p>
      <w:pPr>
        <w:pStyle w:val="TextBody"/>
        <w:bidi w:val="0"/>
        <w:spacing w:before="240" w:after="0"/>
        <w:jc w:val="center"/>
        <w:rPr>
          <w:rFonts w:ascii="Times New Roman" w:hAnsi="Times New Roman"/>
          <w:b/>
          <w:sz w:val="20"/>
        </w:rPr>
      </w:pPr>
      <w:r>
        <w:rPr>
          <w:rFonts w:ascii="Times New Roman" w:hAnsi="Times New Roman"/>
          <w:b/>
          <w:sz w:val="20"/>
        </w:rPr>
        <w:t xml:space="preserve">of </w:t>
      </w:r>
    </w:p>
    <w:p>
      <w:pPr>
        <w:pStyle w:val="TextBody"/>
        <w:bidi w:val="0"/>
        <w:spacing w:before="240" w:after="0"/>
        <w:jc w:val="center"/>
        <w:rPr>
          <w:rFonts w:ascii="Times New Roman" w:hAnsi="Times New Roman"/>
          <w:b/>
          <w:sz w:val="20"/>
        </w:rPr>
      </w:pPr>
      <w:r>
        <w:rPr>
          <w:rFonts w:ascii="Times New Roman" w:hAnsi="Times New Roman"/>
          <w:b/>
          <w:sz w:val="20"/>
        </w:rPr>
        <w:t xml:space="preserve">Debt Securities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74"/>
        <w:gridCol w:w="124"/>
        <w:gridCol w:w="7852"/>
        <w:gridCol w:w="167"/>
        <w:gridCol w:w="60"/>
        <w:gridCol w:w="265"/>
        <w:gridCol w:w="63"/>
      </w:tblGrid>
      <w:tr>
        <w:trPr/>
        <w:tc>
          <w:tcPr>
            <w:tcW w:w="167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852"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ONE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DEFINITIONS AND OTHER PROVISIONS OF GENERAL APPLICATION</w:t>
            </w:r>
          </w:p>
        </w:tc>
        <w:tc>
          <w:tcPr>
            <w:tcW w:w="63" w:type="dxa"/>
            <w:tcBorders/>
          </w:tcPr>
          <w:p>
            <w:pPr>
              <w:pStyle w:val="TableContents"/>
              <w:bidi w:val="0"/>
              <w:spacing w:before="0" w:after="0"/>
              <w:jc w:val="left"/>
              <w:rPr/>
            </w:pPr>
            <w:r>
              <w:rPr/>
              <w:t> </w:t>
            </w:r>
          </w:p>
        </w:tc>
      </w:tr>
      <w:tr>
        <w:trPr>
          <w:trHeight w:val="120" w:hRule="atLeast"/>
        </w:trPr>
        <w:tc>
          <w:tcPr>
            <w:tcW w:w="1674" w:type="dxa"/>
            <w:tcBorders/>
            <w:vAlign w:val="center"/>
          </w:tcPr>
          <w:p>
            <w:pPr>
              <w:pStyle w:val="TableContents"/>
              <w:bidi w:val="0"/>
              <w:spacing w:before="0" w:after="283"/>
              <w:jc w:val="left"/>
              <w:rPr>
                <w:sz w:val="4"/>
                <w:szCs w:val="4"/>
              </w:rPr>
            </w:pPr>
            <w:r>
              <w:rPr>
                <w:sz w:val="4"/>
                <w:szCs w:val="4"/>
              </w:rPr>
            </w:r>
          </w:p>
        </w:tc>
        <w:tc>
          <w:tcPr>
            <w:tcW w:w="7976" w:type="dxa"/>
            <w:gridSpan w:val="2"/>
            <w:tcBorders/>
            <w:vAlign w:val="center"/>
          </w:tcPr>
          <w:p>
            <w:pPr>
              <w:pStyle w:val="TableContents"/>
              <w:bidi w:val="0"/>
              <w:spacing w:before="0" w:after="283"/>
              <w:jc w:val="left"/>
              <w:rPr>
                <w:sz w:val="4"/>
                <w:szCs w:val="4"/>
              </w:rPr>
            </w:pPr>
            <w:r>
              <w:rPr>
                <w:sz w:val="4"/>
                <w:szCs w:val="4"/>
              </w:rPr>
            </w:r>
          </w:p>
        </w:tc>
        <w:tc>
          <w:tcPr>
            <w:tcW w:w="555" w:type="dxa"/>
            <w:gridSpan w:val="4"/>
            <w:tcBorders/>
            <w:vAlign w:val="center"/>
          </w:tcPr>
          <w:p>
            <w:pPr>
              <w:pStyle w:val="TableContents"/>
              <w:bidi w:val="0"/>
              <w:spacing w:before="0" w:after="283"/>
              <w:jc w:val="left"/>
              <w:rPr>
                <w:sz w:val="4"/>
                <w:szCs w:val="4"/>
              </w:rPr>
            </w:pPr>
            <w:r>
              <w:rPr>
                <w:sz w:val="4"/>
                <w:szCs w:val="4"/>
              </w:rPr>
            </w:r>
          </w:p>
        </w:tc>
      </w:tr>
      <w:tr>
        <w:trPr/>
        <w:tc>
          <w:tcPr>
            <w:tcW w:w="1674" w:type="dxa"/>
            <w:tcBorders/>
          </w:tcPr>
          <w:p>
            <w:pPr>
              <w:pStyle w:val="TableContents"/>
              <w:bidi w:val="0"/>
              <w:spacing w:before="0" w:after="283"/>
              <w:jc w:val="left"/>
              <w:rPr/>
            </w:pPr>
            <w:r>
              <w:rPr/>
              <w:t>Section 1.01.</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Definitions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1.02.</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Compliance Certificates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1.03.</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Form of Documents Delivered to Trustee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1.04.</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Acts of Holders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1.05.</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Notices, Etc., to Trustee and Company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1.06.</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Notice to Holders; Waiver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1.07.</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Effect of Headings and Table of Contents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1.08.</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Successors and Assigns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1.09.</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Separability Clause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1.10.</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Benefits of Indenture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1.11.</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Governing Law</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1.12.</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Legal Holidays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1.13.</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Submission to Jurisdiction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1.14.</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Waiver of Jury Trial</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74" w:type="dxa"/>
            <w:tcBorders/>
          </w:tcPr>
          <w:p>
            <w:pPr>
              <w:pStyle w:val="TableContents"/>
              <w:bidi w:val="0"/>
              <w:spacing w:before="0" w:after="283"/>
              <w:jc w:val="left"/>
              <w:rPr/>
            </w:pPr>
            <w:r>
              <w:rPr/>
              <w:t>Section 1.15.</w:t>
            </w:r>
          </w:p>
        </w:tc>
        <w:tc>
          <w:tcPr>
            <w:tcW w:w="124" w:type="dxa"/>
            <w:tcBorders/>
            <w:vAlign w:val="bottom"/>
          </w:tcPr>
          <w:p>
            <w:pPr>
              <w:pStyle w:val="TableContents"/>
              <w:bidi w:val="0"/>
              <w:spacing w:before="0" w:after="283"/>
              <w:jc w:val="left"/>
              <w:rPr/>
            </w:pPr>
            <w:r>
              <w:rPr/>
              <w:t> </w:t>
            </w:r>
          </w:p>
        </w:tc>
        <w:tc>
          <w:tcPr>
            <w:tcW w:w="7852" w:type="dxa"/>
            <w:tcBorders/>
          </w:tcPr>
          <w:p>
            <w:pPr>
              <w:pStyle w:val="TableContents"/>
              <w:bidi w:val="0"/>
              <w:spacing w:before="0" w:after="0"/>
              <w:jc w:val="left"/>
              <w:rPr>
                <w:rFonts w:ascii="Times New Roman" w:hAnsi="Times New Roman"/>
                <w:sz w:val="20"/>
              </w:rPr>
            </w:pPr>
            <w:r>
              <w:rPr>
                <w:rFonts w:ascii="Times New Roman" w:hAnsi="Times New Roman"/>
                <w:sz w:val="20"/>
              </w:rPr>
              <w:t>U.S.A. Patriot Act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660"/>
        <w:gridCol w:w="123"/>
        <w:gridCol w:w="7870"/>
        <w:gridCol w:w="165"/>
        <w:gridCol w:w="60"/>
        <w:gridCol w:w="264"/>
        <w:gridCol w:w="63"/>
      </w:tblGrid>
      <w:tr>
        <w:trPr/>
        <w:tc>
          <w:tcPr>
            <w:tcW w:w="16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87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TWO</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SECURITIES FORMS</w:t>
            </w:r>
          </w:p>
        </w:tc>
        <w:tc>
          <w:tcPr>
            <w:tcW w:w="63" w:type="dxa"/>
            <w:tcBorders/>
          </w:tcPr>
          <w:p>
            <w:pPr>
              <w:pStyle w:val="TableContents"/>
              <w:bidi w:val="0"/>
              <w:spacing w:before="0" w:after="0"/>
              <w:jc w:val="left"/>
              <w:rPr/>
            </w:pPr>
            <w:r>
              <w:rPr/>
              <w:t> </w:t>
            </w:r>
          </w:p>
        </w:tc>
      </w:tr>
      <w:tr>
        <w:trPr>
          <w:trHeight w:val="120" w:hRule="atLeast"/>
        </w:trPr>
        <w:tc>
          <w:tcPr>
            <w:tcW w:w="1660"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60" w:type="dxa"/>
            <w:tcBorders/>
          </w:tcPr>
          <w:p>
            <w:pPr>
              <w:pStyle w:val="TableContents"/>
              <w:bidi w:val="0"/>
              <w:spacing w:before="0" w:after="283"/>
              <w:jc w:val="left"/>
              <w:rPr/>
            </w:pPr>
            <w:r>
              <w:rPr/>
              <w:t>Section 2.01.</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Forms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2.02.</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Form of Trustees Certificate of Authentication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2.03.</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Securities Issuable in Global Form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2.04.</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Certificated Notes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THREE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SECURITIES</w:t>
            </w:r>
          </w:p>
        </w:tc>
        <w:tc>
          <w:tcPr>
            <w:tcW w:w="63" w:type="dxa"/>
            <w:tcBorders/>
          </w:tcPr>
          <w:p>
            <w:pPr>
              <w:pStyle w:val="TableContents"/>
              <w:bidi w:val="0"/>
              <w:spacing w:before="0" w:after="0"/>
              <w:jc w:val="left"/>
              <w:rPr/>
            </w:pPr>
            <w:r>
              <w:rPr/>
              <w:t> </w:t>
            </w:r>
          </w:p>
        </w:tc>
      </w:tr>
      <w:tr>
        <w:trPr>
          <w:trHeight w:val="120" w:hRule="atLeast"/>
        </w:trPr>
        <w:tc>
          <w:tcPr>
            <w:tcW w:w="1660"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60" w:type="dxa"/>
            <w:tcBorders/>
          </w:tcPr>
          <w:p>
            <w:pPr>
              <w:pStyle w:val="TableContents"/>
              <w:bidi w:val="0"/>
              <w:spacing w:before="0" w:after="283"/>
              <w:jc w:val="left"/>
              <w:rPr/>
            </w:pPr>
            <w:r>
              <w:rPr/>
              <w:t>Section 3.01.</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Amount Unlimited; Issuable in Series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3.02.</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Denominations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3.03.</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Execution, Authentication, Delivery and Dating</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3.04.</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Temporary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3.05.</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Registration, Registration of Transfer and Exchange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3.06.</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Mutilated, Destroyed, Lost and Stolen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3.07.</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Payment of Interest; Interest Rights Preserved; Optional Interest Reset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3.08.</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Optional Extension of Maturity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31</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3.09.</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Persons Deemed Owners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32</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3.10.</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Cancellation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3.11.</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Computation of Interest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3.12.</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Currency and Manner of Payments in Respect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3.13.</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and Resignation of Successor Exchange Rate Agent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3.14.</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CUSIP Numbers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FOUR</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SATISFACTION AND DISCHARGE</w:t>
            </w:r>
          </w:p>
        </w:tc>
        <w:tc>
          <w:tcPr>
            <w:tcW w:w="63" w:type="dxa"/>
            <w:tcBorders/>
          </w:tcPr>
          <w:p>
            <w:pPr>
              <w:pStyle w:val="TableContents"/>
              <w:bidi w:val="0"/>
              <w:spacing w:before="0" w:after="0"/>
              <w:jc w:val="left"/>
              <w:rPr/>
            </w:pPr>
            <w:r>
              <w:rPr/>
              <w:t> </w:t>
            </w:r>
          </w:p>
        </w:tc>
      </w:tr>
      <w:tr>
        <w:trPr>
          <w:trHeight w:val="120" w:hRule="atLeast"/>
        </w:trPr>
        <w:tc>
          <w:tcPr>
            <w:tcW w:w="1660"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60" w:type="dxa"/>
            <w:tcBorders/>
          </w:tcPr>
          <w:p>
            <w:pPr>
              <w:pStyle w:val="TableContents"/>
              <w:bidi w:val="0"/>
              <w:spacing w:before="0" w:after="283"/>
              <w:jc w:val="left"/>
              <w:rPr/>
            </w:pPr>
            <w:r>
              <w:rPr/>
              <w:t>Section 4.01.</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and Discharge of Indenture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4.02.</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Trust Funds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FIVE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REMEDIES</w:t>
            </w:r>
          </w:p>
        </w:tc>
        <w:tc>
          <w:tcPr>
            <w:tcW w:w="63" w:type="dxa"/>
            <w:tcBorders/>
          </w:tcPr>
          <w:p>
            <w:pPr>
              <w:pStyle w:val="TableContents"/>
              <w:bidi w:val="0"/>
              <w:spacing w:before="0" w:after="0"/>
              <w:jc w:val="left"/>
              <w:rPr/>
            </w:pPr>
            <w:r>
              <w:rPr/>
              <w:t> </w:t>
            </w:r>
          </w:p>
        </w:tc>
      </w:tr>
      <w:tr>
        <w:trPr>
          <w:trHeight w:val="120" w:hRule="atLeast"/>
        </w:trPr>
        <w:tc>
          <w:tcPr>
            <w:tcW w:w="1660" w:type="dxa"/>
            <w:tcBorders/>
            <w:vAlign w:val="center"/>
          </w:tcPr>
          <w:p>
            <w:pPr>
              <w:pStyle w:val="TableContents"/>
              <w:bidi w:val="0"/>
              <w:spacing w:before="0" w:after="283"/>
              <w:jc w:val="left"/>
              <w:rPr>
                <w:sz w:val="4"/>
                <w:szCs w:val="4"/>
              </w:rPr>
            </w:pPr>
            <w:r>
              <w:rPr>
                <w:sz w:val="4"/>
                <w:szCs w:val="4"/>
              </w:rPr>
            </w:r>
          </w:p>
        </w:tc>
        <w:tc>
          <w:tcPr>
            <w:tcW w:w="7993" w:type="dxa"/>
            <w:gridSpan w:val="2"/>
            <w:tcBorders/>
            <w:vAlign w:val="center"/>
          </w:tcPr>
          <w:p>
            <w:pPr>
              <w:pStyle w:val="TableContents"/>
              <w:bidi w:val="0"/>
              <w:spacing w:before="0" w:after="283"/>
              <w:jc w:val="left"/>
              <w:rPr>
                <w:sz w:val="4"/>
                <w:szCs w:val="4"/>
              </w:rPr>
            </w:pPr>
            <w:r>
              <w:rPr>
                <w:sz w:val="4"/>
                <w:szCs w:val="4"/>
              </w:rPr>
            </w:r>
          </w:p>
        </w:tc>
        <w:tc>
          <w:tcPr>
            <w:tcW w:w="552" w:type="dxa"/>
            <w:gridSpan w:val="4"/>
            <w:tcBorders/>
            <w:vAlign w:val="center"/>
          </w:tcPr>
          <w:p>
            <w:pPr>
              <w:pStyle w:val="TableContents"/>
              <w:bidi w:val="0"/>
              <w:spacing w:before="0" w:after="283"/>
              <w:jc w:val="left"/>
              <w:rPr>
                <w:sz w:val="4"/>
                <w:szCs w:val="4"/>
              </w:rPr>
            </w:pPr>
            <w:r>
              <w:rPr>
                <w:sz w:val="4"/>
                <w:szCs w:val="4"/>
              </w:rPr>
            </w:r>
          </w:p>
        </w:tc>
      </w:tr>
      <w:tr>
        <w:trPr/>
        <w:tc>
          <w:tcPr>
            <w:tcW w:w="1660" w:type="dxa"/>
            <w:tcBorders/>
          </w:tcPr>
          <w:p>
            <w:pPr>
              <w:pStyle w:val="TableContents"/>
              <w:bidi w:val="0"/>
              <w:spacing w:before="0" w:after="283"/>
              <w:jc w:val="left"/>
              <w:rPr/>
            </w:pPr>
            <w:r>
              <w:rPr/>
              <w:t>Section 5.01.</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39</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5.02.</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Acceleration of Maturity; Rescission and Annulment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5.03.</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Collection of Indebtedness and Suits for Enforcement by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5.04.</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Trustee May File Proofs of Claim</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5.05.</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Trustee May Enforce Claims Without Possession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5.06.</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Application of Money Collected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5.07.</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Limitation on Suits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5.08.</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Unconditional Right of Holders to Receive Principal, Premium and Interest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5.09.</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Restoration of Rights and Remedies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5.10.</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Rights and Remedies Cumulative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1660" w:type="dxa"/>
            <w:tcBorders/>
          </w:tcPr>
          <w:p>
            <w:pPr>
              <w:pStyle w:val="TableContents"/>
              <w:bidi w:val="0"/>
              <w:spacing w:before="0" w:after="283"/>
              <w:jc w:val="left"/>
              <w:rPr/>
            </w:pPr>
            <w:r>
              <w:rPr/>
              <w:t>Section 5.11.</w:t>
            </w:r>
          </w:p>
        </w:tc>
        <w:tc>
          <w:tcPr>
            <w:tcW w:w="123" w:type="dxa"/>
            <w:tcBorders/>
            <w:vAlign w:val="bottom"/>
          </w:tcPr>
          <w:p>
            <w:pPr>
              <w:pStyle w:val="TableContents"/>
              <w:bidi w:val="0"/>
              <w:spacing w:before="0" w:after="283"/>
              <w:jc w:val="left"/>
              <w:rPr/>
            </w:pPr>
            <w:r>
              <w:rPr/>
              <w:t> </w:t>
            </w:r>
          </w:p>
        </w:tc>
        <w:tc>
          <w:tcPr>
            <w:tcW w:w="7870" w:type="dxa"/>
            <w:tcBorders/>
          </w:tcPr>
          <w:p>
            <w:pPr>
              <w:pStyle w:val="TableContents"/>
              <w:bidi w:val="0"/>
              <w:spacing w:before="0" w:after="0"/>
              <w:jc w:val="left"/>
              <w:rPr>
                <w:rFonts w:ascii="Times New Roman" w:hAnsi="Times New Roman"/>
                <w:sz w:val="20"/>
              </w:rPr>
            </w:pPr>
            <w:r>
              <w:rPr>
                <w:rFonts w:ascii="Times New Roman" w:hAnsi="Times New Roman"/>
                <w:sz w:val="20"/>
              </w:rPr>
              <w:t>Delay or Omission Not Waiver</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594"/>
        <w:gridCol w:w="114"/>
        <w:gridCol w:w="7952"/>
        <w:gridCol w:w="159"/>
        <w:gridCol w:w="60"/>
        <w:gridCol w:w="263"/>
        <w:gridCol w:w="63"/>
      </w:tblGrid>
      <w:tr>
        <w:trPr/>
        <w:tc>
          <w:tcPr>
            <w:tcW w:w="1594" w:type="dxa"/>
            <w:tcBorders/>
            <w:vAlign w:val="center"/>
          </w:tcPr>
          <w:p>
            <w:pPr>
              <w:pStyle w:val="TableContents"/>
              <w:bidi w:val="0"/>
              <w:spacing w:before="0" w:after="283"/>
              <w:jc w:val="left"/>
              <w:rPr>
                <w:sz w:val="4"/>
                <w:szCs w:val="4"/>
              </w:rPr>
            </w:pPr>
            <w:r>
              <w:rPr>
                <w:sz w:val="4"/>
                <w:szCs w:val="4"/>
              </w:rPr>
            </w:r>
          </w:p>
        </w:tc>
        <w:tc>
          <w:tcPr>
            <w:tcW w:w="114" w:type="dxa"/>
            <w:tcBorders/>
            <w:vAlign w:val="bottom"/>
          </w:tcPr>
          <w:p>
            <w:pPr>
              <w:pStyle w:val="TableContents"/>
              <w:bidi w:val="0"/>
              <w:spacing w:before="0" w:after="283"/>
              <w:jc w:val="left"/>
              <w:rPr>
                <w:sz w:val="4"/>
                <w:szCs w:val="4"/>
              </w:rPr>
            </w:pPr>
            <w:r>
              <w:rPr>
                <w:sz w:val="4"/>
                <w:szCs w:val="4"/>
              </w:rPr>
            </w:r>
          </w:p>
        </w:tc>
        <w:tc>
          <w:tcPr>
            <w:tcW w:w="7952"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Section 5.12.</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Control by Holders of Securities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5.13.</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Waiver of Past Defaults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5.14.</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Waiver of Stay or Extension Laws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5.15.</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Undertaking for Costs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SIX</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THE TRUSTEE</w:t>
            </w:r>
          </w:p>
        </w:tc>
        <w:tc>
          <w:tcPr>
            <w:tcW w:w="63" w:type="dxa"/>
            <w:tcBorders/>
          </w:tcPr>
          <w:p>
            <w:pPr>
              <w:pStyle w:val="TableContents"/>
              <w:bidi w:val="0"/>
              <w:spacing w:before="0" w:after="0"/>
              <w:jc w:val="left"/>
              <w:rPr/>
            </w:pPr>
            <w:r>
              <w:rPr/>
              <w:t> </w:t>
            </w:r>
          </w:p>
        </w:tc>
      </w:tr>
      <w:tr>
        <w:trPr>
          <w:trHeight w:val="120" w:hRule="atLeast"/>
        </w:trPr>
        <w:tc>
          <w:tcPr>
            <w:tcW w:w="1594" w:type="dxa"/>
            <w:tcBorders/>
            <w:vAlign w:val="center"/>
          </w:tcPr>
          <w:p>
            <w:pPr>
              <w:pStyle w:val="TableContents"/>
              <w:bidi w:val="0"/>
              <w:spacing w:before="0" w:after="283"/>
              <w:jc w:val="left"/>
              <w:rPr>
                <w:sz w:val="4"/>
                <w:szCs w:val="4"/>
              </w:rPr>
            </w:pPr>
            <w:r>
              <w:rPr>
                <w:sz w:val="4"/>
                <w:szCs w:val="4"/>
              </w:rPr>
            </w:r>
          </w:p>
        </w:tc>
        <w:tc>
          <w:tcPr>
            <w:tcW w:w="806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Section 6.01.</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Notice of Defaults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6.02.</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Certain Rights of Trustee</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6.03.</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Not Responsible for Recitals or Issuance of Securities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6.04.</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May Hold Securities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50</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6.05.</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Money Held in Trust</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6.06.</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Compensation and Reimbursement and Indemnification of Trustee</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51</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6.07.</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Corporate Trustee Required; Eligibility</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6.08.</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Disqualification; Conflicting Interests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6.09.</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Resignation and Removal; Appointment of Successor</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52</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6.10.</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Acceptance of Appointment by Successor</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6.11.</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Merger, Conversion, Consolidation or Succession to Business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6.12.</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Appointment of Authenticating Agent</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55</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6.13.</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Preferential Collection of Claims Against Company</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SEVEN</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HOLDERS LISTS AND REPORTS BY TRUSTEE AND COMPANY</w:t>
            </w:r>
          </w:p>
        </w:tc>
        <w:tc>
          <w:tcPr>
            <w:tcW w:w="63" w:type="dxa"/>
            <w:tcBorders/>
          </w:tcPr>
          <w:p>
            <w:pPr>
              <w:pStyle w:val="TableContents"/>
              <w:bidi w:val="0"/>
              <w:spacing w:before="0" w:after="0"/>
              <w:jc w:val="left"/>
              <w:rPr/>
            </w:pPr>
            <w:r>
              <w:rPr/>
              <w:t> </w:t>
            </w:r>
          </w:p>
        </w:tc>
      </w:tr>
      <w:tr>
        <w:trPr>
          <w:trHeight w:val="120" w:hRule="atLeast"/>
        </w:trPr>
        <w:tc>
          <w:tcPr>
            <w:tcW w:w="1594" w:type="dxa"/>
            <w:tcBorders/>
            <w:vAlign w:val="center"/>
          </w:tcPr>
          <w:p>
            <w:pPr>
              <w:pStyle w:val="TableContents"/>
              <w:bidi w:val="0"/>
              <w:spacing w:before="0" w:after="283"/>
              <w:jc w:val="left"/>
              <w:rPr>
                <w:sz w:val="4"/>
                <w:szCs w:val="4"/>
              </w:rPr>
            </w:pPr>
            <w:r>
              <w:rPr>
                <w:sz w:val="4"/>
                <w:szCs w:val="4"/>
              </w:rPr>
            </w:r>
          </w:p>
        </w:tc>
        <w:tc>
          <w:tcPr>
            <w:tcW w:w="806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Section 7.01.</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Disclosure of Names and Addresses of Holders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7.02.</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Preservation of Information; Communications to Holders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57</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7.03.</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Reports by Trustee</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7.04.</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Reports by Company</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7.05.</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Calculation of Original Issue Discount</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58</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EIGHT</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CONSOLIDATION, MERGER, CONVEYANCE OR TRANSFER</w:t>
            </w:r>
          </w:p>
        </w:tc>
        <w:tc>
          <w:tcPr>
            <w:tcW w:w="63" w:type="dxa"/>
            <w:tcBorders/>
          </w:tcPr>
          <w:p>
            <w:pPr>
              <w:pStyle w:val="TableContents"/>
              <w:bidi w:val="0"/>
              <w:spacing w:before="0" w:after="0"/>
              <w:jc w:val="left"/>
              <w:rPr/>
            </w:pPr>
            <w:r>
              <w:rPr/>
              <w:t> </w:t>
            </w:r>
          </w:p>
        </w:tc>
      </w:tr>
      <w:tr>
        <w:trPr>
          <w:trHeight w:val="120" w:hRule="atLeast"/>
        </w:trPr>
        <w:tc>
          <w:tcPr>
            <w:tcW w:w="1594" w:type="dxa"/>
            <w:tcBorders/>
            <w:vAlign w:val="center"/>
          </w:tcPr>
          <w:p>
            <w:pPr>
              <w:pStyle w:val="TableContents"/>
              <w:bidi w:val="0"/>
              <w:spacing w:before="0" w:after="283"/>
              <w:jc w:val="left"/>
              <w:rPr>
                <w:sz w:val="4"/>
                <w:szCs w:val="4"/>
              </w:rPr>
            </w:pPr>
            <w:r>
              <w:rPr>
                <w:sz w:val="4"/>
                <w:szCs w:val="4"/>
              </w:rPr>
            </w:r>
          </w:p>
        </w:tc>
        <w:tc>
          <w:tcPr>
            <w:tcW w:w="806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Section 8.01.</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Merger, Consolidation or Sale of Assets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8.02.</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Successor Person Substituted</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59</w:t>
            </w:r>
          </w:p>
        </w:tc>
        <w:tc>
          <w:tcPr>
            <w:tcW w:w="63"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ARTICLE NINE</w:t>
            </w:r>
          </w:p>
        </w:tc>
        <w:tc>
          <w:tcPr>
            <w:tcW w:w="63"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2" w:type="dxa"/>
            <w:gridSpan w:val="6"/>
            <w:tcBorders/>
          </w:tcPr>
          <w:p>
            <w:pPr>
              <w:pStyle w:val="TableContents"/>
              <w:bidi w:val="0"/>
              <w:spacing w:before="0" w:after="283"/>
              <w:jc w:val="center"/>
              <w:rPr/>
            </w:pPr>
            <w:r>
              <w:rPr/>
              <w:t>SUPPLEMENTAL INDENTURES</w:t>
            </w:r>
          </w:p>
        </w:tc>
        <w:tc>
          <w:tcPr>
            <w:tcW w:w="63" w:type="dxa"/>
            <w:tcBorders/>
          </w:tcPr>
          <w:p>
            <w:pPr>
              <w:pStyle w:val="TableContents"/>
              <w:bidi w:val="0"/>
              <w:spacing w:before="0" w:after="0"/>
              <w:jc w:val="left"/>
              <w:rPr/>
            </w:pPr>
            <w:r>
              <w:rPr/>
              <w:t> </w:t>
            </w:r>
          </w:p>
        </w:tc>
      </w:tr>
      <w:tr>
        <w:trPr>
          <w:trHeight w:val="120" w:hRule="atLeast"/>
        </w:trPr>
        <w:tc>
          <w:tcPr>
            <w:tcW w:w="1594" w:type="dxa"/>
            <w:tcBorders/>
            <w:vAlign w:val="center"/>
          </w:tcPr>
          <w:p>
            <w:pPr>
              <w:pStyle w:val="TableContents"/>
              <w:bidi w:val="0"/>
              <w:spacing w:before="0" w:after="283"/>
              <w:jc w:val="left"/>
              <w:rPr>
                <w:sz w:val="4"/>
                <w:szCs w:val="4"/>
              </w:rPr>
            </w:pPr>
            <w:r>
              <w:rPr>
                <w:sz w:val="4"/>
                <w:szCs w:val="4"/>
              </w:rPr>
            </w:r>
          </w:p>
        </w:tc>
        <w:tc>
          <w:tcPr>
            <w:tcW w:w="806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594" w:type="dxa"/>
            <w:tcBorders/>
          </w:tcPr>
          <w:p>
            <w:pPr>
              <w:pStyle w:val="TableContents"/>
              <w:bidi w:val="0"/>
              <w:spacing w:before="0" w:after="283"/>
              <w:jc w:val="left"/>
              <w:rPr/>
            </w:pPr>
            <w:r>
              <w:rPr/>
              <w:t>Section 9.01.</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Without Consent of Holders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9.02.</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Supplemental Indentures With Consent of Holders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61</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9.03.</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Execution of Supplemental Indentures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9.04.</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Effect of Supplemental Indentures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9.05.</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Conformity With Trust Indenture Act</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r>
        <w:trPr/>
        <w:tc>
          <w:tcPr>
            <w:tcW w:w="1594" w:type="dxa"/>
            <w:tcBorders/>
          </w:tcPr>
          <w:p>
            <w:pPr>
              <w:pStyle w:val="TableContents"/>
              <w:bidi w:val="0"/>
              <w:spacing w:before="0" w:after="283"/>
              <w:jc w:val="left"/>
              <w:rPr/>
            </w:pPr>
            <w:r>
              <w:rPr/>
              <w:t>Section 9.06.</w:t>
            </w:r>
          </w:p>
        </w:tc>
        <w:tc>
          <w:tcPr>
            <w:tcW w:w="114" w:type="dxa"/>
            <w:tcBorders/>
            <w:vAlign w:val="bottom"/>
          </w:tcPr>
          <w:p>
            <w:pPr>
              <w:pStyle w:val="TableContents"/>
              <w:bidi w:val="0"/>
              <w:spacing w:before="0" w:after="283"/>
              <w:jc w:val="left"/>
              <w:rPr/>
            </w:pPr>
            <w:r>
              <w:rPr/>
              <w:t> </w:t>
            </w:r>
          </w:p>
        </w:tc>
        <w:tc>
          <w:tcPr>
            <w:tcW w:w="7952" w:type="dxa"/>
            <w:tcBorders/>
          </w:tcPr>
          <w:p>
            <w:pPr>
              <w:pStyle w:val="TableContents"/>
              <w:bidi w:val="0"/>
              <w:spacing w:before="0" w:after="0"/>
              <w:jc w:val="left"/>
              <w:rPr>
                <w:rFonts w:ascii="Times New Roman" w:hAnsi="Times New Roman"/>
                <w:sz w:val="20"/>
              </w:rPr>
            </w:pPr>
            <w:r>
              <w:rPr>
                <w:rFonts w:ascii="Times New Roman" w:hAnsi="Times New Roman"/>
                <w:sz w:val="20"/>
              </w:rPr>
              <w:t>Reference in Securities to Supplemental Indentures</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63</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29"/>
        <w:gridCol w:w="123"/>
        <w:gridCol w:w="7699"/>
        <w:gridCol w:w="165"/>
        <w:gridCol w:w="60"/>
        <w:gridCol w:w="265"/>
        <w:gridCol w:w="64"/>
      </w:tblGrid>
      <w:tr>
        <w:trPr/>
        <w:tc>
          <w:tcPr>
            <w:tcW w:w="182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699"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COVENANTS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10.01.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Payment of Principal, Premium, if any, and Interest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63</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of Office or Agency</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Money for Securities Payments to Be Held in Trust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64</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10.04.</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Additional Amounts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65</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Statement as to Compliance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10.06.</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Waiver of Certain Covenants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66</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10.07.</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Section 18(a)(1)(A) of the Investment Company Act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10.08.</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Commission Reports and Reports to Holders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ELEVEN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REDEMPTION OF SECURITIES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11.01.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Election to Redeem; Notice to Trustee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67</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Selection by Trustee of Securities to Be Redeemed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11.04.</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Notice of Redemption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68</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Deposit of Redemption Price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11.06.</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Securities Payable on Redemption Date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11.07.</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Securities Redeemed in Part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TWELVE</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SINKING FUNDS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12.01.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Satisfaction of Sinking Fund Payments With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12.03.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Redemption of Securities for Sinking Fund</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71</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THIRTEEN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REPAYMENT AT THE OPTION OF HOLDERS</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13.01.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13.02.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Repayment of Securities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13.03.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Exercise of Option</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72</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13.04.</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When Securities Presented for Repayment Become Due and Payable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13.05.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Securities Repaid in Part</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73</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FOURTEEN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DEFEASANCE AND COVENANT DEFEASANCE</w:t>
            </w:r>
          </w:p>
        </w:tc>
        <w:tc>
          <w:tcPr>
            <w:tcW w:w="64" w:type="dxa"/>
            <w:tcBorders/>
          </w:tcPr>
          <w:p>
            <w:pPr>
              <w:pStyle w:val="TableContents"/>
              <w:bidi w:val="0"/>
              <w:spacing w:before="0" w:after="0"/>
              <w:jc w:val="left"/>
              <w:rPr/>
            </w:pPr>
            <w:r>
              <w:rPr/>
              <w:t> </w:t>
            </w:r>
          </w:p>
        </w:tc>
      </w:tr>
      <w:tr>
        <w:trPr>
          <w:trHeight w:val="120" w:hRule="atLeast"/>
        </w:trPr>
        <w:tc>
          <w:tcPr>
            <w:tcW w:w="1829" w:type="dxa"/>
            <w:tcBorders/>
            <w:vAlign w:val="center"/>
          </w:tcPr>
          <w:p>
            <w:pPr>
              <w:pStyle w:val="TableContents"/>
              <w:bidi w:val="0"/>
              <w:spacing w:before="0" w:after="283"/>
              <w:jc w:val="left"/>
              <w:rPr>
                <w:sz w:val="4"/>
                <w:szCs w:val="4"/>
              </w:rPr>
            </w:pPr>
            <w:r>
              <w:rPr>
                <w:sz w:val="4"/>
                <w:szCs w:val="4"/>
              </w:rPr>
            </w:r>
          </w:p>
        </w:tc>
        <w:tc>
          <w:tcPr>
            <w:tcW w:w="7822" w:type="dxa"/>
            <w:gridSpan w:val="2"/>
            <w:tcBorders/>
            <w:vAlign w:val="center"/>
          </w:tcPr>
          <w:p>
            <w:pPr>
              <w:pStyle w:val="TableContents"/>
              <w:bidi w:val="0"/>
              <w:spacing w:before="0" w:after="283"/>
              <w:jc w:val="left"/>
              <w:rPr>
                <w:sz w:val="4"/>
                <w:szCs w:val="4"/>
              </w:rPr>
            </w:pPr>
            <w:r>
              <w:rPr>
                <w:sz w:val="4"/>
                <w:szCs w:val="4"/>
              </w:rPr>
            </w:r>
          </w:p>
        </w:tc>
        <w:tc>
          <w:tcPr>
            <w:tcW w:w="554" w:type="dxa"/>
            <w:gridSpan w:val="4"/>
            <w:tcBorders/>
            <w:vAlign w:val="center"/>
          </w:tcPr>
          <w:p>
            <w:pPr>
              <w:pStyle w:val="TableContents"/>
              <w:bidi w:val="0"/>
              <w:spacing w:before="0" w:after="283"/>
              <w:jc w:val="left"/>
              <w:rPr>
                <w:sz w:val="4"/>
                <w:szCs w:val="4"/>
              </w:rPr>
            </w:pPr>
            <w:r>
              <w:rPr>
                <w:sz w:val="4"/>
                <w:szCs w:val="4"/>
              </w:rPr>
            </w:r>
          </w:p>
        </w:tc>
      </w:tr>
      <w:tr>
        <w:trPr/>
        <w:tc>
          <w:tcPr>
            <w:tcW w:w="1829" w:type="dxa"/>
            <w:tcBorders/>
          </w:tcPr>
          <w:p>
            <w:pPr>
              <w:pStyle w:val="TableContents"/>
              <w:bidi w:val="0"/>
              <w:spacing w:before="0" w:after="283"/>
              <w:jc w:val="left"/>
              <w:rPr/>
            </w:pPr>
            <w:r>
              <w:rPr/>
              <w:t>Section 14.01.</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Applicability of Article; Companys Option to Effect Defeasance or Covenant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14.02.</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Defeasance and Discharge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74</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14.03.</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Covenant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14.04.</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Conditions to Defeasance or Covenant Defeasance</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75</w:t>
            </w:r>
          </w:p>
        </w:tc>
        <w:tc>
          <w:tcPr>
            <w:tcW w:w="64" w:type="dxa"/>
            <w:tcBorders/>
            <w:vAlign w:val="bottom"/>
          </w:tcPr>
          <w:p>
            <w:pPr>
              <w:pStyle w:val="TableContents"/>
              <w:bidi w:val="0"/>
              <w:spacing w:before="0" w:after="283"/>
              <w:jc w:val="left"/>
              <w:rPr/>
            </w:pPr>
            <w:r>
              <w:rPr/>
              <w:t> </w:t>
            </w:r>
          </w:p>
        </w:tc>
      </w:tr>
      <w:tr>
        <w:trPr/>
        <w:tc>
          <w:tcPr>
            <w:tcW w:w="1829" w:type="dxa"/>
            <w:tcBorders/>
          </w:tcPr>
          <w:p>
            <w:pPr>
              <w:pStyle w:val="TableContents"/>
              <w:bidi w:val="0"/>
              <w:spacing w:before="0" w:after="283"/>
              <w:jc w:val="left"/>
              <w:rPr/>
            </w:pPr>
            <w:r>
              <w:rPr/>
              <w:t>Section 14.05.</w:t>
            </w:r>
          </w:p>
        </w:tc>
        <w:tc>
          <w:tcPr>
            <w:tcW w:w="123" w:type="dxa"/>
            <w:tcBorders/>
            <w:vAlign w:val="bottom"/>
          </w:tcPr>
          <w:p>
            <w:pPr>
              <w:pStyle w:val="TableContents"/>
              <w:bidi w:val="0"/>
              <w:spacing w:before="0" w:after="283"/>
              <w:jc w:val="left"/>
              <w:rPr/>
            </w:pPr>
            <w:r>
              <w:rPr/>
              <w:t> </w:t>
            </w:r>
          </w:p>
        </w:tc>
        <w:tc>
          <w:tcPr>
            <w:tcW w:w="7699" w:type="dxa"/>
            <w:tcBorders/>
          </w:tcPr>
          <w:p>
            <w:pPr>
              <w:pStyle w:val="TableContents"/>
              <w:bidi w:val="0"/>
              <w:spacing w:before="0" w:after="0"/>
              <w:jc w:val="left"/>
              <w:rPr>
                <w:rFonts w:ascii="Times New Roman" w:hAnsi="Times New Roman"/>
                <w:sz w:val="20"/>
              </w:rPr>
            </w:pPr>
            <w:r>
              <w:rPr>
                <w:rFonts w:ascii="Times New Roman" w:hAnsi="Times New Roman"/>
                <w:sz w:val="20"/>
              </w:rPr>
              <w:t>Deposited Money and Government Obligations to Be Held in Trust; Other Miscellaneous Provisions</w:t>
            </w:r>
          </w:p>
        </w:tc>
        <w:tc>
          <w:tcPr>
            <w:tcW w:w="1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5" w:type="dxa"/>
            <w:tcBorders/>
            <w:vAlign w:val="bottom"/>
          </w:tcPr>
          <w:p>
            <w:pPr>
              <w:pStyle w:val="TableContents"/>
              <w:bidi w:val="0"/>
              <w:spacing w:before="0" w:after="283"/>
              <w:jc w:val="right"/>
              <w:rPr/>
            </w:pPr>
            <w:r>
              <w:rPr/>
              <w:t>76</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808"/>
        <w:gridCol w:w="121"/>
        <w:gridCol w:w="7727"/>
        <w:gridCol w:w="163"/>
        <w:gridCol w:w="60"/>
        <w:gridCol w:w="262"/>
        <w:gridCol w:w="64"/>
      </w:tblGrid>
      <w:tr>
        <w:trPr/>
        <w:tc>
          <w:tcPr>
            <w:tcW w:w="180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727" w:type="dxa"/>
            <w:tcBorders/>
            <w:vAlign w:val="center"/>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FIFTEEN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MEETINGS OF HOLDERS OF SECURITIES</w:t>
            </w:r>
          </w:p>
        </w:tc>
        <w:tc>
          <w:tcPr>
            <w:tcW w:w="64" w:type="dxa"/>
            <w:tcBorders/>
          </w:tcPr>
          <w:p>
            <w:pPr>
              <w:pStyle w:val="TableContents"/>
              <w:bidi w:val="0"/>
              <w:spacing w:before="0" w:after="0"/>
              <w:jc w:val="left"/>
              <w:rPr/>
            </w:pPr>
            <w:r>
              <w:rPr/>
              <w:t> </w:t>
            </w:r>
          </w:p>
        </w:tc>
      </w:tr>
      <w:tr>
        <w:trPr>
          <w:trHeight w:val="120" w:hRule="atLeast"/>
        </w:trPr>
        <w:tc>
          <w:tcPr>
            <w:tcW w:w="1808" w:type="dxa"/>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808" w:type="dxa"/>
            <w:tcBorders/>
          </w:tcPr>
          <w:p>
            <w:pPr>
              <w:pStyle w:val="TableContents"/>
              <w:bidi w:val="0"/>
              <w:spacing w:before="0" w:after="283"/>
              <w:jc w:val="left"/>
              <w:rPr/>
            </w:pPr>
            <w:r>
              <w:rPr/>
              <w:t>Section 15.01.</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Purposes for Which Meetings May Be Called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15.02.</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Call, Notice and Place of Meetings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15.03.</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Persons Entitled to Vote at Meetings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15.04.</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Quorum; Action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78</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15.05.</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Determination of Voting Rights; Conduct and Adjournment of Meetings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15.06.</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Counting Votes and Recording Action of Meetings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80</w:t>
            </w:r>
          </w:p>
        </w:tc>
        <w:tc>
          <w:tcPr>
            <w:tcW w:w="64" w:type="dxa"/>
            <w:tcBorders/>
            <w:vAlign w:val="bottom"/>
          </w:tcPr>
          <w:p>
            <w:pPr>
              <w:pStyle w:val="TableContents"/>
              <w:bidi w:val="0"/>
              <w:spacing w:before="0" w:after="283"/>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ARTICLE SIXTEEN</w:t>
            </w:r>
          </w:p>
        </w:tc>
        <w:tc>
          <w:tcPr>
            <w:tcW w:w="64" w:type="dxa"/>
            <w:tcBorders/>
          </w:tcPr>
          <w:p>
            <w:pPr>
              <w:pStyle w:val="TableContents"/>
              <w:bidi w:val="0"/>
              <w:spacing w:before="0" w:after="0"/>
              <w:jc w:val="left"/>
              <w:rPr/>
            </w:pPr>
            <w:r>
              <w:rPr/>
              <w:t> </w:t>
            </w:r>
          </w:p>
        </w:tc>
      </w:tr>
      <w:tr>
        <w:trPr>
          <w:trHeight w:val="120" w:hRule="atLeast"/>
        </w:trPr>
        <w:tc>
          <w:tcPr>
            <w:tcW w:w="10205" w:type="dxa"/>
            <w:gridSpan w:val="7"/>
            <w:tcBorders/>
            <w:vAlign w:val="center"/>
          </w:tcPr>
          <w:p>
            <w:pPr>
              <w:pStyle w:val="TableContents"/>
              <w:bidi w:val="0"/>
              <w:spacing w:before="0" w:after="283"/>
              <w:jc w:val="left"/>
              <w:rPr>
                <w:sz w:val="4"/>
                <w:szCs w:val="4"/>
              </w:rPr>
            </w:pPr>
            <w:r>
              <w:rPr>
                <w:sz w:val="4"/>
                <w:szCs w:val="4"/>
              </w:rPr>
            </w:r>
          </w:p>
        </w:tc>
      </w:tr>
      <w:tr>
        <w:trPr/>
        <w:tc>
          <w:tcPr>
            <w:tcW w:w="10141" w:type="dxa"/>
            <w:gridSpan w:val="6"/>
            <w:tcBorders/>
          </w:tcPr>
          <w:p>
            <w:pPr>
              <w:pStyle w:val="TableContents"/>
              <w:bidi w:val="0"/>
              <w:spacing w:before="0" w:after="283"/>
              <w:jc w:val="center"/>
              <w:rPr/>
            </w:pPr>
            <w:r>
              <w:rPr/>
              <w:t>SUBORDINATION OF SECURITIES</w:t>
            </w:r>
          </w:p>
        </w:tc>
        <w:tc>
          <w:tcPr>
            <w:tcW w:w="64" w:type="dxa"/>
            <w:tcBorders/>
          </w:tcPr>
          <w:p>
            <w:pPr>
              <w:pStyle w:val="TableContents"/>
              <w:bidi w:val="0"/>
              <w:spacing w:before="0" w:after="0"/>
              <w:jc w:val="left"/>
              <w:rPr/>
            </w:pPr>
            <w:r>
              <w:rPr/>
              <w:t> </w:t>
            </w:r>
          </w:p>
        </w:tc>
      </w:tr>
      <w:tr>
        <w:trPr>
          <w:trHeight w:val="120" w:hRule="atLeast"/>
        </w:trPr>
        <w:tc>
          <w:tcPr>
            <w:tcW w:w="1808" w:type="dxa"/>
            <w:tcBorders/>
            <w:vAlign w:val="center"/>
          </w:tcPr>
          <w:p>
            <w:pPr>
              <w:pStyle w:val="TableContents"/>
              <w:bidi w:val="0"/>
              <w:spacing w:before="0" w:after="283"/>
              <w:jc w:val="left"/>
              <w:rPr>
                <w:sz w:val="4"/>
                <w:szCs w:val="4"/>
              </w:rPr>
            </w:pPr>
            <w:r>
              <w:rPr>
                <w:sz w:val="4"/>
                <w:szCs w:val="4"/>
              </w:rPr>
            </w:r>
          </w:p>
        </w:tc>
        <w:tc>
          <w:tcPr>
            <w:tcW w:w="7848" w:type="dxa"/>
            <w:gridSpan w:val="2"/>
            <w:tcBorders/>
            <w:vAlign w:val="center"/>
          </w:tcPr>
          <w:p>
            <w:pPr>
              <w:pStyle w:val="TableContents"/>
              <w:bidi w:val="0"/>
              <w:spacing w:before="0" w:after="283"/>
              <w:jc w:val="left"/>
              <w:rPr>
                <w:sz w:val="4"/>
                <w:szCs w:val="4"/>
              </w:rPr>
            </w:pPr>
            <w:r>
              <w:rPr>
                <w:sz w:val="4"/>
                <w:szCs w:val="4"/>
              </w:rPr>
            </w:r>
          </w:p>
        </w:tc>
        <w:tc>
          <w:tcPr>
            <w:tcW w:w="549" w:type="dxa"/>
            <w:gridSpan w:val="4"/>
            <w:tcBorders/>
            <w:vAlign w:val="center"/>
          </w:tcPr>
          <w:p>
            <w:pPr>
              <w:pStyle w:val="TableContents"/>
              <w:bidi w:val="0"/>
              <w:spacing w:before="0" w:after="283"/>
              <w:jc w:val="left"/>
              <w:rPr>
                <w:sz w:val="4"/>
                <w:szCs w:val="4"/>
              </w:rPr>
            </w:pPr>
            <w:r>
              <w:rPr>
                <w:sz w:val="4"/>
                <w:szCs w:val="4"/>
              </w:rPr>
            </w:r>
          </w:p>
        </w:tc>
      </w:tr>
      <w:tr>
        <w:trPr/>
        <w:tc>
          <w:tcPr>
            <w:tcW w:w="1808" w:type="dxa"/>
            <w:tcBorders/>
          </w:tcPr>
          <w:p>
            <w:pPr>
              <w:pStyle w:val="TableContents"/>
              <w:bidi w:val="0"/>
              <w:spacing w:before="0" w:after="283"/>
              <w:jc w:val="left"/>
              <w:rPr/>
            </w:pPr>
            <w:r>
              <w:rPr/>
              <w:t>Section 16.01.</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Agreement to Subordinate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16.02.</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Distribution on Dissolution, Liquidation and Reorganization; Subrogation of Subordinated Securities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81</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16.03.</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No Payment on Subordinated Securities in Event of Default on Senior Indebtedness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16.04.</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Payments on Subordinated Securities Permitted</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16.05.</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Authorization of Holders to Trustee to Effect Subordination</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16.06.</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Notices to Trustee</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16.07.</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Trustee as Holder of Senior Indebtedness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16.08.</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Modifications of Terms of Senior Indebtedness</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r>
        <w:trPr/>
        <w:tc>
          <w:tcPr>
            <w:tcW w:w="1808" w:type="dxa"/>
            <w:tcBorders/>
          </w:tcPr>
          <w:p>
            <w:pPr>
              <w:pStyle w:val="TableContents"/>
              <w:bidi w:val="0"/>
              <w:spacing w:before="0" w:after="283"/>
              <w:jc w:val="left"/>
              <w:rPr/>
            </w:pPr>
            <w:r>
              <w:rPr/>
              <w:t>Section 16.09.</w:t>
            </w:r>
          </w:p>
        </w:tc>
        <w:tc>
          <w:tcPr>
            <w:tcW w:w="121" w:type="dxa"/>
            <w:tcBorders/>
            <w:vAlign w:val="bottom"/>
          </w:tcPr>
          <w:p>
            <w:pPr>
              <w:pStyle w:val="TableContents"/>
              <w:bidi w:val="0"/>
              <w:spacing w:before="0" w:after="283"/>
              <w:jc w:val="left"/>
              <w:rPr/>
            </w:pPr>
            <w:r>
              <w:rPr/>
              <w:t> </w:t>
            </w:r>
          </w:p>
        </w:tc>
        <w:tc>
          <w:tcPr>
            <w:tcW w:w="7727" w:type="dxa"/>
            <w:tcBorders/>
          </w:tcPr>
          <w:p>
            <w:pPr>
              <w:pStyle w:val="TableContents"/>
              <w:bidi w:val="0"/>
              <w:spacing w:before="0" w:after="0"/>
              <w:jc w:val="left"/>
              <w:rPr>
                <w:rFonts w:ascii="Times New Roman" w:hAnsi="Times New Roman"/>
                <w:sz w:val="20"/>
              </w:rPr>
            </w:pPr>
            <w:r>
              <w:rPr>
                <w:rFonts w:ascii="Times New Roman" w:hAnsi="Times New Roman"/>
                <w:sz w:val="20"/>
              </w:rPr>
              <w:t>Reliance on Judicial Order or Certificate of Liquidating Agent</w:t>
            </w:r>
          </w:p>
        </w:tc>
        <w:tc>
          <w:tcPr>
            <w:tcW w:w="16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85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Reconciliation and tie between Trust Indenture Act of 1939 </w:t>
      </w:r>
    </w:p>
    <w:p>
      <w:pPr>
        <w:pStyle w:val="TextBody"/>
        <w:bidi w:val="0"/>
        <w:spacing w:before="0" w:after="0"/>
        <w:jc w:val="center"/>
        <w:rPr>
          <w:rFonts w:ascii="Times New Roman" w:hAnsi="Times New Roman"/>
          <w:sz w:val="20"/>
        </w:rPr>
      </w:pPr>
      <w:r>
        <w:rPr>
          <w:rFonts w:ascii="Times New Roman" w:hAnsi="Times New Roman"/>
          <w:sz w:val="20"/>
        </w:rPr>
        <w:t xml:space="preserve">and Indenture, dated as of March 11,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
        <w:gridCol w:w="120"/>
        <w:gridCol w:w="7197"/>
        <w:gridCol w:w="120"/>
        <w:gridCol w:w="1911"/>
      </w:tblGrid>
      <w:tr>
        <w:trPr/>
        <w:tc>
          <w:tcPr>
            <w:tcW w:w="85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r>
      <w:tr>
        <w:trPr/>
        <w:tc>
          <w:tcPr>
            <w:tcW w:w="8174" w:type="dxa"/>
            <w:gridSpan w:val="3"/>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Trust Indenture Act Section</w:t>
            </w:r>
          </w:p>
        </w:tc>
        <w:tc>
          <w:tcPr>
            <w:tcW w:w="120" w:type="dxa"/>
            <w:tcBorders/>
            <w:vAlign w:val="bottom"/>
          </w:tcPr>
          <w:p>
            <w:pPr>
              <w:pStyle w:val="TableContents"/>
              <w:bidi w:val="0"/>
              <w:spacing w:before="0" w:after="283"/>
              <w:jc w:val="left"/>
              <w:rPr/>
            </w:pPr>
            <w:r>
              <w:rPr/>
              <w:t>  </w:t>
            </w:r>
          </w:p>
        </w:tc>
        <w:tc>
          <w:tcPr>
            <w:tcW w:w="1911" w:type="dxa"/>
            <w:tcBorders>
              <w:bottom w:val="single" w:sz="8" w:space="0" w:color="000000"/>
            </w:tcBorders>
            <w:tcMar>
              <w:bottom w:w="28" w:type="dxa"/>
            </w:tcMar>
            <w:vAlign w:val="bottom"/>
          </w:tcPr>
          <w:p>
            <w:pPr>
              <w:pStyle w:val="TableContents"/>
              <w:bidi w:val="0"/>
              <w:spacing w:before="0" w:after="283"/>
              <w:jc w:val="left"/>
              <w:rPr>
                <w:b/>
              </w:rPr>
            </w:pPr>
            <w:r>
              <w:rPr>
                <w:b/>
              </w:rPr>
              <w:t>Indenture Section</w:t>
            </w:r>
          </w:p>
        </w:tc>
      </w:tr>
      <w:tr>
        <w:trPr/>
        <w:tc>
          <w:tcPr>
            <w:tcW w:w="857" w:type="dxa"/>
            <w:tcBorders/>
          </w:tcPr>
          <w:p>
            <w:pPr>
              <w:pStyle w:val="TableContents"/>
              <w:bidi w:val="0"/>
              <w:spacing w:before="0" w:after="283"/>
              <w:jc w:val="left"/>
              <w:rPr/>
            </w:pPr>
            <w:r>
              <w:rPr/>
              <w:t>§310</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(a)(1)</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6.07</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(a)(2)</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6.07</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(a)(5)</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6.07</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6.08</w:t>
            </w:r>
          </w:p>
        </w:tc>
      </w:tr>
      <w:tr>
        <w:trPr/>
        <w:tc>
          <w:tcPr>
            <w:tcW w:w="857" w:type="dxa"/>
            <w:tcBorders/>
          </w:tcPr>
          <w:p>
            <w:pPr>
              <w:pStyle w:val="TableContents"/>
              <w:bidi w:val="0"/>
              <w:spacing w:before="0" w:after="283"/>
              <w:jc w:val="left"/>
              <w:rPr/>
            </w:pPr>
            <w:r>
              <w:rPr/>
              <w:t>§311</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6.13</w:t>
            </w:r>
          </w:p>
        </w:tc>
      </w:tr>
      <w:tr>
        <w:trPr/>
        <w:tc>
          <w:tcPr>
            <w:tcW w:w="857"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p>
            <w:pPr>
              <w:pStyle w:val="TableContents"/>
              <w:bidi w:val="0"/>
              <w:spacing w:before="0" w:after="20"/>
              <w:jc w:val="left"/>
              <w:rPr>
                <w:rFonts w:ascii="Times New Roman" w:hAnsi="Times New Roman"/>
                <w:sz w:val="20"/>
              </w:rPr>
            </w:pPr>
            <w:r>
              <w:rPr>
                <w:rFonts w:ascii="Times New Roman" w:hAnsi="Times New Roman"/>
                <w:sz w:val="20"/>
              </w:rPr>
              <w:t>§313</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jc w:val="left"/>
              <w:rPr/>
            </w:pPr>
            <w:r>
              <w:rPr/>
              <w:t>7.01</w:t>
            </w:r>
          </w:p>
          <w:p>
            <w:pPr>
              <w:pStyle w:val="TableContents"/>
              <w:bidi w:val="0"/>
              <w:spacing w:before="0" w:after="20"/>
              <w:jc w:val="left"/>
              <w:rPr>
                <w:rFonts w:ascii="Times New Roman" w:hAnsi="Times New Roman"/>
                <w:sz w:val="20"/>
              </w:rPr>
            </w:pPr>
            <w:r>
              <w:rPr>
                <w:rFonts w:ascii="Times New Roman" w:hAnsi="Times New Roman"/>
                <w:sz w:val="20"/>
              </w:rPr>
              <w:t>7.03</w:t>
            </w:r>
          </w:p>
        </w:tc>
      </w:tr>
      <w:tr>
        <w:trPr/>
        <w:tc>
          <w:tcPr>
            <w:tcW w:w="857" w:type="dxa"/>
            <w:tcBorders/>
          </w:tcPr>
          <w:p>
            <w:pPr>
              <w:pStyle w:val="TableContents"/>
              <w:bidi w:val="0"/>
              <w:spacing w:before="0" w:after="283"/>
              <w:jc w:val="left"/>
              <w:rPr/>
            </w:pPr>
            <w:r>
              <w:rPr/>
              <w:t>§314</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7.04</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(a)(4)</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10.05</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(c)(1)</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1.02</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(c)(2)</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1.02</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1.02</w:t>
            </w:r>
          </w:p>
        </w:tc>
      </w:tr>
      <w:tr>
        <w:trPr/>
        <w:tc>
          <w:tcPr>
            <w:tcW w:w="857" w:type="dxa"/>
            <w:tcBorders/>
          </w:tcPr>
          <w:p>
            <w:pPr>
              <w:pStyle w:val="TableContents"/>
              <w:bidi w:val="0"/>
              <w:spacing w:before="0" w:after="283"/>
              <w:jc w:val="left"/>
              <w:rPr/>
            </w:pPr>
            <w:r>
              <w:rPr/>
              <w:t>§315</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6.01</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6.01</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6.01</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(d)</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6.01</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(e)</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5.15</w:t>
            </w:r>
          </w:p>
        </w:tc>
      </w:tr>
      <w:tr>
        <w:trPr/>
        <w:tc>
          <w:tcPr>
            <w:tcW w:w="857" w:type="dxa"/>
            <w:tcBorders/>
          </w:tcPr>
          <w:p>
            <w:pPr>
              <w:pStyle w:val="TableContents"/>
              <w:bidi w:val="0"/>
              <w:spacing w:before="0" w:after="283"/>
              <w:jc w:val="left"/>
              <w:rPr/>
            </w:pPr>
            <w:r>
              <w:rPr/>
              <w:t>§316</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 (last sentence)</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1.01 (Outstanding)</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(a)(1)(A)</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5.02, 5.12</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(a)(1)(B)</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5.13</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5.08</w:t>
            </w:r>
          </w:p>
        </w:tc>
      </w:tr>
      <w:tr>
        <w:trPr/>
        <w:tc>
          <w:tcPr>
            <w:tcW w:w="857" w:type="dxa"/>
            <w:tcBorders/>
          </w:tcPr>
          <w:p>
            <w:pPr>
              <w:pStyle w:val="TableContents"/>
              <w:bidi w:val="0"/>
              <w:spacing w:before="0" w:after="283"/>
              <w:jc w:val="left"/>
              <w:rPr/>
            </w:pPr>
            <w:r>
              <w:rPr/>
              <w:t>§317</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(a)(1)</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5.03</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(a)(2)</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5.04</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(b)</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10.03</w:t>
            </w:r>
          </w:p>
        </w:tc>
      </w:tr>
      <w:tr>
        <w:trPr/>
        <w:tc>
          <w:tcPr>
            <w:tcW w:w="857" w:type="dxa"/>
            <w:tcBorders/>
          </w:tcPr>
          <w:p>
            <w:pPr>
              <w:pStyle w:val="TableContents"/>
              <w:bidi w:val="0"/>
              <w:spacing w:before="0" w:after="283"/>
              <w:jc w:val="left"/>
              <w:rPr/>
            </w:pPr>
            <w:r>
              <w:rPr/>
              <w:t>§318</w:t>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(a)</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1.11</w:t>
            </w:r>
          </w:p>
        </w:tc>
      </w:tr>
      <w:tr>
        <w:trPr/>
        <w:tc>
          <w:tcPr>
            <w:tcW w:w="85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97" w:type="dxa"/>
            <w:tcBorders/>
          </w:tcPr>
          <w:p>
            <w:pPr>
              <w:pStyle w:val="TableContents"/>
              <w:bidi w:val="0"/>
              <w:spacing w:before="0" w:after="283"/>
              <w:jc w:val="left"/>
              <w:rPr/>
            </w:pPr>
            <w:r>
              <w:rPr/>
              <w:t>(c)</w:t>
            </w:r>
          </w:p>
        </w:tc>
        <w:tc>
          <w:tcPr>
            <w:tcW w:w="120" w:type="dxa"/>
            <w:tcBorders/>
            <w:vAlign w:val="bottom"/>
          </w:tcPr>
          <w:p>
            <w:pPr>
              <w:pStyle w:val="TableContents"/>
              <w:bidi w:val="0"/>
              <w:spacing w:before="0" w:after="283"/>
              <w:jc w:val="left"/>
              <w:rPr/>
            </w:pPr>
            <w:r>
              <w:rPr/>
              <w:t>  </w:t>
            </w:r>
          </w:p>
        </w:tc>
        <w:tc>
          <w:tcPr>
            <w:tcW w:w="1911" w:type="dxa"/>
            <w:tcBorders/>
          </w:tcPr>
          <w:p>
            <w:pPr>
              <w:pStyle w:val="TableContents"/>
              <w:bidi w:val="0"/>
              <w:spacing w:before="0" w:after="283"/>
              <w:jc w:val="left"/>
              <w:rPr/>
            </w:pPr>
            <w:r>
              <w:rPr/>
              <w:t>1.11</w:t>
            </w:r>
          </w:p>
        </w:tc>
      </w:tr>
    </w:tbl>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NOTE: This reconciliation and tie shall not, for any purpose, be deemed to be a part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INDENTURE, dated as of March 11, 2024 between Sixth Street Lending Partners, a Delaware statutory trust (the </w:t>
      </w:r>
      <w:r>
        <w:rPr>
          <w:rFonts w:ascii="Times New Roman" w:hAnsi="Times New Roman"/>
          <w:sz w:val="20"/>
          <w:u w:val="single"/>
        </w:rPr>
        <w:t>Company</w:t>
      </w:r>
      <w:r>
        <w:rPr>
          <w:rFonts w:ascii="Times New Roman" w:hAnsi="Times New Roman"/>
          <w:sz w:val="20"/>
        </w:rPr>
        <w:t>, as more fully set forth in Section 1.01), and U.S. Bank Trust Company, National Association, as Trustee (as trustee in such capacity and not in its individual capacity, the </w:t>
      </w:r>
      <w:r>
        <w:rPr>
          <w:rFonts w:ascii="Times New Roman" w:hAnsi="Times New Roman"/>
          <w:sz w:val="20"/>
          <w:u w:val="single"/>
        </w:rPr>
        <w:t>Trustee</w:t>
      </w:r>
      <w:r>
        <w:rPr>
          <w:rFonts w:ascii="Times New Roman" w:hAnsi="Times New Roman"/>
          <w:sz w:val="20"/>
        </w:rPr>
        <w:t xml:space="preserve">, as more fully set forth in Section 1.01).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WHEREAS, the Company deems it necessary to issue from time to time for its lawful purposes debt securities (hereinafter called the </w:t>
      </w:r>
      <w:r>
        <w:rPr>
          <w:rFonts w:ascii="Times New Roman" w:hAnsi="Times New Roman"/>
          <w:sz w:val="20"/>
          <w:u w:val="single"/>
        </w:rPr>
        <w:t>Securities</w:t>
      </w:r>
      <w:r>
        <w:rPr>
          <w:rFonts w:ascii="Times New Roman" w:hAnsi="Times New Roman"/>
          <w:sz w:val="20"/>
        </w:rPr>
        <w:t xml:space="preserve">) evidencing its secured or unsecured indebtedness, which may or may not be convertible into or exchangeable for any securities of any Person (including the Company), and has duly authorized the execution and delivery of this Indenture to provide for the issuance from time to time of the Securities, to be issued in one or more series, unlimited as to principal amount, to bear such rates of interest, to mature at such times and to have such other provisions as shall be fixed as hereinafter provided; </w:t>
      </w:r>
    </w:p>
    <w:p>
      <w:pPr>
        <w:pStyle w:val="TextBody"/>
        <w:bidi w:val="0"/>
        <w:spacing w:before="240" w:after="0"/>
        <w:jc w:val="left"/>
        <w:rPr>
          <w:rFonts w:ascii="Times New Roman" w:hAnsi="Times New Roman"/>
          <w:sz w:val="20"/>
        </w:rPr>
      </w:pPr>
      <w:r>
        <w:rPr>
          <w:rFonts w:ascii="Times New Roman" w:hAnsi="Times New Roman"/>
          <w:sz w:val="20"/>
        </w:rPr>
        <w:t xml:space="preserve">WHEREAS, this Indenture (as defined herein) is subject to the provisions of the Trust Indenture Act (as defined herein), that are required to be part of this Indenture and shall, to the extent applicable, be governed by such provisions;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things necessary to make this Indenture a valid and legally binding agreement of, and enforceable against, the Company, in accordance with its terms, have been done.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premises and the purchase of the Securities by the Holders (as defined herein) thereof, it is mutually covenanted and agreed, for the benefit of each other and for the equal and proportionate benefit of all Holders of the Securities, or of a series thereof,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ONE </w:t>
      </w:r>
    </w:p>
    <w:p>
      <w:pPr>
        <w:pStyle w:val="TextBody"/>
        <w:bidi w:val="0"/>
        <w:spacing w:before="12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except as otherwise expressly provided or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(a) the terms defined in this Article have the meanings assigned to them in this Article, and include the plural as well as the singular and, pursuant to Section 3.01, any such item may, with respect to any particular series of Securities, be amended or modified or specified as being inapplicable; </w:t>
      </w:r>
    </w:p>
    <w:p>
      <w:pPr>
        <w:pStyle w:val="TextBody"/>
        <w:bidi w:val="0"/>
        <w:spacing w:before="240" w:after="0"/>
        <w:jc w:val="left"/>
        <w:rPr>
          <w:rFonts w:ascii="Times New Roman" w:hAnsi="Times New Roman"/>
          <w:sz w:val="20"/>
        </w:rPr>
      </w:pPr>
      <w:r>
        <w:rPr>
          <w:rFonts w:ascii="Times New Roman" w:hAnsi="Times New Roman"/>
          <w:sz w:val="20"/>
        </w:rPr>
        <w:t xml:space="preserve">(b) all other terms used herein which are defined in the Trust Indenture Act either directly or by reference therein, have the meanings assigned to them therein, and the terms cash transaction and self-liquidating paper, as used in Section 311 of the Trust Indenture Act, shall have the meanings assigned to them in the rules of the Commission (as defined herein) adopted under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all accounting terms not otherwise defined herein have the meanings assigned to them in accordance with generally accepted accounting principles in the United States of America; </w:t>
      </w:r>
    </w:p>
    <w:p>
      <w:pPr>
        <w:pStyle w:val="TextBody"/>
        <w:bidi w:val="0"/>
        <w:spacing w:before="240" w:after="0"/>
        <w:jc w:val="left"/>
        <w:rPr>
          <w:rFonts w:ascii="Times New Roman" w:hAnsi="Times New Roman"/>
          <w:sz w:val="20"/>
        </w:rPr>
      </w:pPr>
      <w:r>
        <w:rPr>
          <w:rFonts w:ascii="Times New Roman" w:hAnsi="Times New Roman"/>
          <w:sz w:val="20"/>
        </w:rPr>
        <w:t xml:space="preserve">(d) the words herein, hereof and hereunder and other words of similar import refer to this Indenture as a whole and not to any particular Article, Section or other subdivision; </w:t>
      </w:r>
    </w:p>
    <w:p>
      <w:pPr>
        <w:pStyle w:val="TextBody"/>
        <w:bidi w:val="0"/>
        <w:spacing w:before="240" w:after="0"/>
        <w:jc w:val="left"/>
        <w:rPr>
          <w:rFonts w:ascii="Times New Roman" w:hAnsi="Times New Roman"/>
          <w:sz w:val="20"/>
        </w:rPr>
      </w:pPr>
      <w:r>
        <w:rPr>
          <w:rFonts w:ascii="Times New Roman" w:hAnsi="Times New Roman"/>
          <w:sz w:val="20"/>
        </w:rPr>
        <w:t xml:space="preserve">(e) or is not exclusive; </w:t>
      </w:r>
    </w:p>
    <w:p>
      <w:pPr>
        <w:pStyle w:val="TextBody"/>
        <w:bidi w:val="0"/>
        <w:spacing w:before="240" w:after="0"/>
        <w:jc w:val="left"/>
        <w:rPr>
          <w:rFonts w:ascii="Times New Roman" w:hAnsi="Times New Roman"/>
          <w:sz w:val="20"/>
        </w:rPr>
      </w:pPr>
      <w:r>
        <w:rPr>
          <w:rFonts w:ascii="Times New Roman" w:hAnsi="Times New Roman"/>
          <w:sz w:val="20"/>
        </w:rPr>
        <w:t xml:space="preserve">(f) provisions apply to successive events and transactions; and references to sections of or rules under the Exchange Act shall be deemed to include substitute, replacement of successor sections or rules adopted by the Commission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Certain terms, used in other Articles herein, are defined in those Articles.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when used with respect to any Holder of a Security, has the meaning specified in Section 1.04.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Amounts</w:t>
      </w:r>
      <w:r>
        <w:rPr>
          <w:rFonts w:ascii="Times New Roman" w:hAnsi="Times New Roman"/>
          <w:sz w:val="20"/>
        </w:rPr>
        <w:t xml:space="preserve"> means any additional amounts that are required by a Security or by or pursuant to a Board Resolution, under circumstances specified therein, to be paid by the Company in respect of certain taxes imposed on certain Holders and that are owing to such Holders.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Affiliate</w:t>
      </w:r>
      <w:r>
        <w:rPr>
          <w:rFonts w:ascii="Times New Roman" w:hAnsi="Times New Roman"/>
          <w:sz w:val="20"/>
        </w:rPr>
        <w:t xml:space="preserve">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Agent</w:t>
      </w:r>
      <w:r>
        <w:rPr>
          <w:rFonts w:ascii="Times New Roman" w:hAnsi="Times New Roman"/>
          <w:sz w:val="20"/>
        </w:rPr>
        <w:t xml:space="preserve"> means any Registrar, Paying Agent, Authenticating Agent, or Depositary Custodian.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Procedures</w:t>
      </w:r>
      <w:r>
        <w:rPr>
          <w:rFonts w:ascii="Times New Roman" w:hAnsi="Times New Roman"/>
          <w:sz w:val="20"/>
        </w:rPr>
        <w:t xml:space="preserve"> means, with respect to any matter at any time relating to a Global Note, the rules, policies and procedures of the Depositary applicable to such matter.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Authenticating Agent</w:t>
      </w:r>
      <w:r>
        <w:rPr>
          <w:rFonts w:ascii="Times New Roman" w:hAnsi="Times New Roman"/>
          <w:sz w:val="20"/>
        </w:rPr>
        <w:t xml:space="preserve"> means the Trustee or any authenticating agent appointed by the Trustee pursuant to Section 6.12 to act on behalf of the Trustee to authenticate Securities of one or more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Authorized Newspaper</w:t>
      </w:r>
      <w:r>
        <w:rPr>
          <w:rFonts w:ascii="Times New Roman" w:hAnsi="Times New Roman"/>
          <w:sz w:val="20"/>
        </w:rPr>
        <w:t xml:space="preserve"> means a newspaper, in the English language or in an official language of the country of publication, customarily published on each Business Day, whether or not published on Saturdays, Sundays or holidays, and of general circulation in each place in connection with which the term is used or in the financial community of each such place. Where successive publications are required to be made in Authorized Newspapers, the successive publications may be made in the same or in different newspapers in the same city meeting the foregoing requirements and in each case on any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Bankruptcy Law</w:t>
      </w:r>
      <w:r>
        <w:rPr>
          <w:rFonts w:ascii="Times New Roman" w:hAnsi="Times New Roman"/>
          <w:sz w:val="20"/>
        </w:rPr>
        <w:t xml:space="preserve"> has the meaning specified in Section 5.01.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of Directors</w:t>
      </w:r>
      <w:r>
        <w:rPr>
          <w:rFonts w:ascii="Times New Roman" w:hAnsi="Times New Roman"/>
          <w:sz w:val="20"/>
        </w:rPr>
        <w:t xml:space="preserve"> means the board of directors or trustees of the Company or any committee of that board duly authorized to act hereunder.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Board Resolution</w:t>
      </w:r>
      <w:r>
        <w:rPr>
          <w:rFonts w:ascii="Times New Roman" w:hAnsi="Times New Roman"/>
          <w:sz w:val="20"/>
        </w:rPr>
        <w:t xml:space="preserve"> means a copy of a resolution certified by the Secretary or an Assistant Secretary of the Company to have been duly adopted by the Board of Directors and to be in full force and effect on the date of such certification,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when used with respect to any Place of Payment or any other particular location referred to in this Indenture or in the Securities, means, unless otherwise specified with respect to any Securities pursuant to Section 3.01, each Monday, Tuesday, Wednesday, Thursday and Friday that is not a day on which the Corporate Trust Office or banking institutions in that Place of Payment or particular location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means the Securities and Exchange Commission, as from time to time constituted, created under the Exchange Act, or, if at any time after execution of this instrument such Commission is not existing and performing the duties now assigned to it under the Trust Indenture Act, then the body performing such duties on such date.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w:t>
      </w:r>
      <w:r>
        <w:rPr>
          <w:rFonts w:ascii="Times New Roman" w:hAnsi="Times New Roman"/>
          <w:sz w:val="20"/>
        </w:rPr>
        <w:t xml:space="preserve"> means the Person named as the Company in the first paragraph of this Indenture until a successor Person shall have become such pursuant to the applicable provisions of this Indenture, and thereafter Company shall mean such successor corporation.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Company Request</w:t>
      </w:r>
      <w:r>
        <w:rPr>
          <w:rFonts w:ascii="Times New Roman" w:hAnsi="Times New Roman"/>
          <w:sz w:val="20"/>
        </w:rPr>
        <w:t> and </w:t>
      </w:r>
      <w:r>
        <w:rPr>
          <w:rFonts w:ascii="Times New Roman" w:hAnsi="Times New Roman"/>
          <w:sz w:val="20"/>
          <w:u w:val="single"/>
        </w:rPr>
        <w:t>Company Order</w:t>
      </w:r>
      <w:r>
        <w:rPr>
          <w:rFonts w:ascii="Times New Roman" w:hAnsi="Times New Roman"/>
          <w:sz w:val="20"/>
        </w:rPr>
        <w:t xml:space="preserve"> mean, respectively, a written request or order signed in the name of the Company by a Chief Executive Officer, and by the Chief Financial Officer, the Chief Operating Officer, Chief Compliance Officer, any President or Vice President, the Secretary or an Assistant Secretary, of the Company,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Component Currency</w:t>
      </w:r>
      <w:r>
        <w:rPr>
          <w:rFonts w:ascii="Times New Roman" w:hAnsi="Times New Roman"/>
          <w:sz w:val="20"/>
        </w:rPr>
        <w:t xml:space="preserve"> has the meaning specified in Section 3.12(h). </w:t>
      </w:r>
    </w:p>
    <w:p>
      <w:pPr>
        <w:pStyle w:val="TextBody"/>
        <w:bidi w:val="0"/>
        <w:spacing w:before="240" w:after="0"/>
        <w:jc w:val="left"/>
        <w:rPr>
          <w:rFonts w:ascii="Times New Roman" w:hAnsi="Times New Roman"/>
          <w:sz w:val="20"/>
        </w:rPr>
      </w:pPr>
      <w:r>
        <w:rPr>
          <w:rFonts w:ascii="Times New Roman" w:hAnsi="Times New Roman"/>
          <w:sz w:val="20"/>
          <w:u w:val="single"/>
        </w:rPr>
        <w:t>Controlled Subsidiary</w:t>
      </w:r>
      <w:r>
        <w:rPr>
          <w:rFonts w:ascii="Times New Roman" w:hAnsi="Times New Roman"/>
          <w:sz w:val="20"/>
        </w:rPr>
        <w:t xml:space="preserve">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Date</w:t>
      </w:r>
      <w:r>
        <w:rPr>
          <w:rFonts w:ascii="Times New Roman" w:hAnsi="Times New Roman"/>
          <w:sz w:val="20"/>
        </w:rPr>
        <w:t xml:space="preserve"> has the meaning specified in Section 3.12(d).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Conversion Event</w:t>
      </w:r>
      <w:r>
        <w:rPr>
          <w:rFonts w:ascii="Times New Roman" w:hAnsi="Times New Roman"/>
          <w:sz w:val="20"/>
        </w:rPr>
        <w:t xml:space="preserve"> means the cessation of use of (i) a Foreign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 (iii) any currency unit (or composite currency) other than the ECU for the purposes for which it was established.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Corporate Trust Office</w:t>
      </w:r>
      <w:r>
        <w:rPr>
          <w:rFonts w:ascii="Times New Roman" w:hAnsi="Times New Roman"/>
          <w:sz w:val="20"/>
        </w:rPr>
        <w:t xml:space="preserve"> means the office of the Trustee at which, at any particular time, its corporate trust business in respect of this Indenture shall be administered, which office at the date hereof is located at 100 Wall Street, STE 600, New York, NY 10005, or the principal corporate trust office of any successor Trustee (or such other address as such successor Trustee may designate from time to time by notice to the Holders and the Company) or if at any time there is more than one Trustee, means the Corporate Trust Office of any such other Trustee with respect to the Securities of the applicable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corporation</w:t>
      </w:r>
      <w:r>
        <w:rPr>
          <w:rFonts w:ascii="Times New Roman" w:hAnsi="Times New Roman"/>
          <w:sz w:val="20"/>
        </w:rPr>
        <w:t xml:space="preserve"> includes corporations, associations, companies and business trusts.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Currency</w:t>
      </w:r>
      <w:r>
        <w:rPr>
          <w:rFonts w:ascii="Times New Roman" w:hAnsi="Times New Roman"/>
          <w:sz w:val="20"/>
        </w:rPr>
        <w:t xml:space="preserve"> means any currency or currencies, composite currency or currency unit or currency units, including, without limitation, the ECU, issued by the government of one or more countries or by any reorganized confederation or association of such governments.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w:t>
      </w:r>
      <w:r>
        <w:rPr>
          <w:rFonts w:ascii="Times New Roman" w:hAnsi="Times New Roman"/>
          <w:sz w:val="20"/>
        </w:rPr>
        <w:t xml:space="preserve"> means any event that is, or after notice or passage of time or both would be, an Event of Default.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Defaulted Interest</w:t>
      </w:r>
      <w:r>
        <w:rPr>
          <w:rFonts w:ascii="Times New Roman" w:hAnsi="Times New Roman"/>
          <w:sz w:val="20"/>
        </w:rPr>
        <w:t xml:space="preserve"> has the meaning specified in Section 3.07(a).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Depositary</w:t>
      </w:r>
      <w:r>
        <w:rPr>
          <w:rFonts w:ascii="Times New Roman" w:hAnsi="Times New Roman"/>
          <w:sz w:val="20"/>
        </w:rPr>
        <w:t> means, with respect to each global Security, the Person specified in Section 3.03 as the Depositary with respect to such Securities, until a successor shall have been appointed and become such pursuant to the applicable provisions of this Indenture, and thereafter, </w:t>
      </w:r>
      <w:r>
        <w:rPr>
          <w:rFonts w:ascii="Times New Roman" w:hAnsi="Times New Roman"/>
          <w:sz w:val="20"/>
          <w:u w:val="single"/>
        </w:rPr>
        <w:t>Depositary</w:t>
      </w:r>
      <w:r>
        <w:rPr>
          <w:rFonts w:ascii="Times New Roman" w:hAnsi="Times New Roman"/>
          <w:sz w:val="20"/>
        </w:rPr>
        <w:t xml:space="preserve"> shall mean or include such successor.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Depositary Custodian</w:t>
      </w:r>
      <w:r>
        <w:rPr>
          <w:rFonts w:ascii="Times New Roman" w:hAnsi="Times New Roman"/>
          <w:sz w:val="20"/>
        </w:rPr>
        <w:t xml:space="preserve"> means the Trustee as custodian with respect to the Global Notes or any successor entity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Dollar</w:t>
      </w:r>
      <w:r>
        <w:rPr>
          <w:rFonts w:ascii="Times New Roman" w:hAnsi="Times New Roman"/>
          <w:sz w:val="20"/>
        </w:rPr>
        <w:t> or </w:t>
      </w:r>
      <w:r>
        <w:rPr>
          <w:rFonts w:ascii="Times New Roman" w:hAnsi="Times New Roman"/>
          <w:sz w:val="20"/>
          <w:u w:val="single"/>
        </w:rPr>
        <w:t>$</w:t>
      </w:r>
      <w:r>
        <w:rPr>
          <w:rFonts w:ascii="Times New Roman" w:hAnsi="Times New Roman"/>
          <w:sz w:val="20"/>
        </w:rPr>
        <w:t xml:space="preserve"> means a dollar or other equivalent unit in such coin or currency of the United States of America as at the time shall be legal tender for the payment of public and private debts.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ECU</w:t>
      </w:r>
      <w:r>
        <w:rPr>
          <w:rFonts w:ascii="Times New Roman" w:hAnsi="Times New Roman"/>
          <w:sz w:val="20"/>
        </w:rPr>
        <w:t xml:space="preserve"> means the European Currency Unit as defined and revised from time to time by the Council of the European Communities.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Election Date</w:t>
      </w:r>
      <w:r>
        <w:rPr>
          <w:rFonts w:ascii="Times New Roman" w:hAnsi="Times New Roman"/>
          <w:sz w:val="20"/>
        </w:rPr>
        <w:t xml:space="preserve"> has the meaning specified in Section 3.12(h).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European Communities</w:t>
      </w:r>
      <w:r>
        <w:rPr>
          <w:rFonts w:ascii="Times New Roman" w:hAnsi="Times New Roman"/>
          <w:sz w:val="20"/>
        </w:rPr>
        <w:t xml:space="preserve"> means the European Union, the European Coal and Steel Community and the European Atomic Energy Community.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European Monetary System</w:t>
      </w:r>
      <w:r>
        <w:rPr>
          <w:rFonts w:ascii="Times New Roman" w:hAnsi="Times New Roman"/>
          <w:sz w:val="20"/>
        </w:rPr>
        <w:t xml:space="preserve"> means the European Monetary System established by the Resolution of December 5, 1978 of the Council of the European Communities.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has the meaning specified in Section 5.01.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means the United States Securities Exchange Act of 1934, as amended, and the rules and regulations promulgated by the Commission thereunder and any statute successor thereto, in each case as amended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Rate Agent</w:t>
      </w:r>
      <w:r>
        <w:rPr>
          <w:rFonts w:ascii="Times New Roman" w:hAnsi="Times New Roman"/>
          <w:sz w:val="20"/>
        </w:rPr>
        <w:t xml:space="preserve">, with respect to Securities of or within any series, means, unless otherwise specified with respect to any Securities pursuant to Section 3.01, a New York Clearing House bank designated pursuant to Section 3.01 or Section 3.13.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Exchange Rate Officers Certificate</w:t>
      </w:r>
      <w:r>
        <w:rPr>
          <w:rFonts w:ascii="Times New Roman" w:hAnsi="Times New Roman"/>
          <w:sz w:val="20"/>
        </w:rPr>
        <w:t xml:space="preserve"> means a certificate setting forth (i) the applicable Market Exchange Rate or the applicable bid quotation and (ii) the Dollar or Foreign Currency amounts of principal (and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or the applicable bid quotation signed by the Chief Financial Officer or any President or Vice President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Extension Notice</w:t>
      </w:r>
      <w:r>
        <w:rPr>
          <w:rFonts w:ascii="Times New Roman" w:hAnsi="Times New Roman"/>
          <w:sz w:val="20"/>
        </w:rPr>
        <w:t xml:space="preserve"> has the meaning specified in Section 3.08.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Extension Period</w:t>
      </w:r>
      <w:r>
        <w:rPr>
          <w:rFonts w:ascii="Times New Roman" w:hAnsi="Times New Roman"/>
          <w:sz w:val="20"/>
        </w:rPr>
        <w:t xml:space="preserve"> has the meaning specified in Section 3.08.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Final Maturity</w:t>
      </w:r>
      <w:r>
        <w:rPr>
          <w:rFonts w:ascii="Times New Roman" w:hAnsi="Times New Roman"/>
          <w:sz w:val="20"/>
        </w:rPr>
        <w:t xml:space="preserve"> has the meaning specified in Section 3.08.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Foreign Currency</w:t>
      </w:r>
      <w:r>
        <w:rPr>
          <w:rFonts w:ascii="Times New Roman" w:hAnsi="Times New Roman"/>
          <w:sz w:val="20"/>
        </w:rPr>
        <w:t xml:space="preserve"> means any Currency, including, without limitation, the ECU, issued by the government of one or more countries other than the United States of America or by any recognized confederation or association of such governments.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GAAP</w:t>
      </w:r>
      <w:r>
        <w:rPr>
          <w:rFonts w:ascii="Times New Roman" w:hAnsi="Times New Roman"/>
          <w:sz w:val="20"/>
        </w:rPr>
        <w:t xml:space="preserve">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Government Obligations</w:t>
      </w:r>
      <w:r>
        <w:rPr>
          <w:rFonts w:ascii="Times New Roman" w:hAnsi="Times New Roman"/>
          <w:sz w:val="20"/>
        </w:rPr>
        <w:t xml:space="preserve"> means securities that are (i) direct obligations of the United States of America or the government which issued the Foreign Currency in which the Securities of a particular series are payable, for the payment of which its full faith and credit is pledged or (ii) obligations of a Person controlled or supervised by and acting as an agency or instrumentality of the United States of America or such government that issued the Foreign Currency in which the Securities of such series are payable, the timely payment of which 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Holder</w:t>
      </w:r>
      <w:r>
        <w:rPr>
          <w:rFonts w:ascii="Times New Roman" w:hAnsi="Times New Roman"/>
          <w:sz w:val="20"/>
        </w:rPr>
        <w:t xml:space="preserve"> means, in the case of a Registered Security, the Person in whose name a Security is registered in the Security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Indenture</w:t>
      </w:r>
      <w:r>
        <w:rPr>
          <w:rFonts w:ascii="Times New Roman" w:hAnsi="Times New Roman"/>
          <w:sz w:val="20"/>
        </w:rPr>
        <w:t xml:space="preserve"> means this instrument as originally executed or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or those particular series of Securities for which such Person is Trustee established as contemplated by Section 3.01, exclusive, however, of any provisions or terms that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Indexed Security</w:t>
      </w:r>
      <w:r>
        <w:rPr>
          <w:rFonts w:ascii="Times New Roman" w:hAnsi="Times New Roman"/>
          <w:sz w:val="20"/>
        </w:rPr>
        <w:t xml:space="preserve"> means a Security as to which all or certain interest payments and/or the principal amount payable at Maturity are determined by reference to prices, changes in prices, or differences between prices, of securities, Currencies, intangibles, goods, articles or commodities or by such other objective price, economic or other measures as are specified in Section 3.01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w:t>
      </w:r>
      <w:r>
        <w:rPr>
          <w:rFonts w:ascii="Times New Roman" w:hAnsi="Times New Roman"/>
          <w:sz w:val="20"/>
        </w:rPr>
        <w:t xml:space="preserve">, when used with respect to an Original Issue Discount Security which by its terms bears interest only after Maturity, means interest payable after Maturity, and, when used with respect to a Security which provides for the payment of Additional Amounts pursuant to Section 10.04, includes such Additional Amounts.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 Payment Date</w:t>
      </w:r>
      <w:r>
        <w:rPr>
          <w:rFonts w:ascii="Times New Roman" w:hAnsi="Times New Roman"/>
          <w:sz w:val="20"/>
        </w:rPr>
        <w:t xml:space="preserve">, when used with respect to any Security, means the Stated Maturity of an installment of interest on such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Company Act</w:t>
      </w:r>
      <w:r>
        <w:rPr>
          <w:rFonts w:ascii="Times New Roman" w:hAnsi="Times New Roman"/>
          <w:sz w:val="20"/>
        </w:rPr>
        <w:t xml:space="preserve"> means the Investment Company Act of 1940, as amended, and the rules, regulations and interpretations promulgated thereunder, to the extent applicable, and any statute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Subordinated Security</w:t>
      </w:r>
      <w:r>
        <w:rPr>
          <w:rFonts w:ascii="Times New Roman" w:hAnsi="Times New Roman"/>
          <w:sz w:val="20"/>
        </w:rPr>
        <w:t> or </w:t>
      </w:r>
      <w:r>
        <w:rPr>
          <w:rFonts w:ascii="Times New Roman" w:hAnsi="Times New Roman"/>
          <w:sz w:val="20"/>
          <w:u w:val="single"/>
        </w:rPr>
        <w:t>Junior Subordinated Securities</w:t>
      </w:r>
      <w:r>
        <w:rPr>
          <w:rFonts w:ascii="Times New Roman" w:hAnsi="Times New Roman"/>
          <w:sz w:val="20"/>
        </w:rPr>
        <w:t xml:space="preserve"> means any Security or Securities designated pursuant to Section 3.01 as a Junior Subordinated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Junior Subordinated Indebtedness</w:t>
      </w:r>
      <w:r>
        <w:rPr>
          <w:rFonts w:ascii="Times New Roman" w:hAnsi="Times New Roman"/>
          <w:sz w:val="20"/>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which in the instrument creating or evidencing the same or pursuant to which the same is outstanding it is provided that such indebtedness ranks junior in right of payment to the Companys Senior Indebtedness and Senior Subordinated Indebtedness and equally and pari passu in right of payment to any other Junior Subordinated Indebtedness, (b) Junior Subordinated Securities, and (c) renewals, extensions, modifications and refinancings of any such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Market Exchange Rate</w:t>
      </w:r>
      <w:r>
        <w:rPr>
          <w:rFonts w:ascii="Times New Roman" w:hAnsi="Times New Roman"/>
          <w:sz w:val="20"/>
        </w:rPr>
        <w:t xml:space="preserve">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either New York City,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London or other principal market for such currency or currency unit in question, or such other quotations as the Exchange Rate Agent shall deem appropriate. Unless otherwise specified by the Exchange Rate Agent, if there is more than one market for dealing in any currency or currency unit by reason of foreign exchange regulations or otherwise, the market to be used in respect of such currency or currency unit shall be that upon which a nonresident issuer of securities designated in such currency or currency unit would purchase such currency or currency unit in order to make payments in respect of such securities as determined by the Exchange Rate Agent, in its sole discretion.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Maturity</w:t>
      </w:r>
      <w:r>
        <w:rPr>
          <w:rFonts w:ascii="Times New Roman" w:hAnsi="Times New Roman"/>
          <w:sz w:val="20"/>
        </w:rPr>
        <w:t xml:space="preserve">,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notice of exchange or conversion or otherwise.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Notice of Default</w:t>
      </w:r>
      <w:r>
        <w:rPr>
          <w:rFonts w:ascii="Times New Roman" w:hAnsi="Times New Roman"/>
          <w:sz w:val="20"/>
        </w:rPr>
        <w:t xml:space="preserve"> has the meaning provided in Section 5.01.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Officers Certificate</w:t>
      </w:r>
      <w:r>
        <w:rPr>
          <w:rFonts w:ascii="Times New Roman" w:hAnsi="Times New Roman"/>
          <w:sz w:val="20"/>
        </w:rPr>
        <w:t xml:space="preserve"> means a certificate signed by a Chief Executive Officer and by the Chief Financial Officer, the Chief Operating Officer, the Chief Compliance Officer, any President or Vice President, the Secretary or an Assistant Secretary of the Company, and delivered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Opinion of Counsel</w:t>
      </w:r>
      <w:r>
        <w:rPr>
          <w:rFonts w:ascii="Times New Roman" w:hAnsi="Times New Roman"/>
          <w:sz w:val="20"/>
        </w:rPr>
        <w:t xml:space="preserve"> means a written opinion of counsel, who may be counsel for the Company or who may be an employee of the Company, or other counsel acceptable to the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Optional Reset Date</w:t>
      </w:r>
      <w:r>
        <w:rPr>
          <w:rFonts w:ascii="Times New Roman" w:hAnsi="Times New Roman"/>
          <w:sz w:val="20"/>
        </w:rPr>
        <w:t xml:space="preserve"> has the meaning specified in Section 3.07(b).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Original Issue Discount Security</w:t>
      </w:r>
      <w:r>
        <w:rPr>
          <w:rFonts w:ascii="Times New Roman" w:hAnsi="Times New Roman"/>
          <w:sz w:val="20"/>
        </w:rPr>
        <w:t xml:space="preserve"> means any Security that provides for an amount less than the principal amount thereof to be due and payable upon a declaration of acceleration of the Maturity thereof pursuant to Section 5.02.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Original Stated Maturity</w:t>
      </w:r>
      <w:r>
        <w:rPr>
          <w:rFonts w:ascii="Times New Roman" w:hAnsi="Times New Roman"/>
          <w:sz w:val="20"/>
        </w:rPr>
        <w:t xml:space="preserve"> has the meaning specified in Section 3.08.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Outstanding</w:t>
      </w:r>
      <w:r>
        <w:rPr>
          <w:rFonts w:ascii="Times New Roman" w:hAnsi="Times New Roman"/>
          <w:sz w:val="20"/>
        </w:rPr>
        <w:t>, when used with respect to Securities or any series of Securities, means, as of the date of determination, all Securities or all Securities of such series, as the case may be, theretofore authenticated and delivered under this Indenture,</w:t>
      </w:r>
      <w:r>
        <w:rPr>
          <w:rFonts w:ascii="Times New Roman" w:hAnsi="Times New Roman"/>
          <w:sz w:val="20"/>
          <w:u w:val="single"/>
        </w:rPr>
        <w:t> except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Securities theretofore cancelled by the Trustee or delivered to the Trustee for cancellation; </w:t>
      </w:r>
    </w:p>
    <w:p>
      <w:pPr>
        <w:pStyle w:val="TextBody"/>
        <w:bidi w:val="0"/>
        <w:spacing w:before="120" w:after="0"/>
        <w:jc w:val="left"/>
        <w:rPr>
          <w:rFonts w:ascii="Times New Roman" w:hAnsi="Times New Roman"/>
          <w:sz w:val="20"/>
        </w:rPr>
      </w:pPr>
      <w:r>
        <w:rPr>
          <w:rFonts w:ascii="Times New Roman" w:hAnsi="Times New Roman"/>
          <w:sz w:val="20"/>
        </w:rPr>
        <w:t>(ii) Securities, or portions thereof, for whose payment or redemption or repayment at the option of the Holder, money in the necessary amount has been theretofore deposited with the Trustee or any Paying Agent (other than the Company) in trust or set aside and segregated in trust by the Company (if the Company shall act as its own Paying Agent) for the Holders of such Securities,</w:t>
      </w:r>
      <w:r>
        <w:rPr>
          <w:rFonts w:ascii="Times New Roman" w:hAnsi="Times New Roman"/>
          <w:sz w:val="20"/>
          <w:u w:val="single"/>
        </w:rPr>
        <w:t> provided</w:t>
      </w:r>
      <w:r>
        <w:rPr>
          <w:rFonts w:ascii="Times New Roman" w:hAnsi="Times New Roman"/>
          <w:sz w:val="20"/>
        </w:rPr>
        <w:t xml:space="preserve"> that, if such Securities are to be redeemed, notice of such redemption has been duly given pursuant to this Indenture or provision therefor satisfactory to the Trustee has been made; </w:t>
      </w:r>
    </w:p>
    <w:p>
      <w:pPr>
        <w:pStyle w:val="TextBody"/>
        <w:bidi w:val="0"/>
        <w:spacing w:before="120" w:after="0"/>
        <w:jc w:val="left"/>
        <w:rPr>
          <w:rFonts w:ascii="Times New Roman" w:hAnsi="Times New Roman"/>
          <w:sz w:val="20"/>
        </w:rPr>
      </w:pPr>
      <w:r>
        <w:rPr>
          <w:rFonts w:ascii="Times New Roman" w:hAnsi="Times New Roman"/>
          <w:sz w:val="20"/>
        </w:rPr>
        <w:t xml:space="preserve">(iii) Securities, except to the extent provided in Sections 14.02 and 14.03, with respect to which the Company has effected defeasance and/or covenant defeasance as provided in Article Fourteen; and </w:t>
      </w:r>
    </w:p>
    <w:p>
      <w:pPr>
        <w:pStyle w:val="TextBody"/>
        <w:bidi w:val="0"/>
        <w:spacing w:before="120" w:after="0"/>
        <w:jc w:val="left"/>
        <w:rPr>
          <w:rFonts w:ascii="Times New Roman" w:hAnsi="Times New Roman"/>
          <w:sz w:val="20"/>
        </w:rPr>
      </w:pPr>
      <w:r>
        <w:rPr>
          <w:rFonts w:ascii="Times New Roman" w:hAnsi="Times New Roman"/>
          <w:sz w:val="20"/>
        </w:rPr>
        <w:t xml:space="preserve">(iv) Securities that have been paid pursuant to Section 3.06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protected purchaser in whose hands such Securities are valid obligations of the Company;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w:t>
      </w:r>
      <w:r>
        <w:rPr>
          <w:rFonts w:ascii="Times New Roman" w:hAnsi="Times New Roman"/>
          <w:sz w:val="20"/>
          <w:u w:val="single"/>
        </w:rPr>
        <w:t> however</w:t>
      </w:r>
      <w:r>
        <w:rPr>
          <w:rFonts w:ascii="Times New Roman" w:hAnsi="Times New Roman"/>
          <w:sz w:val="20"/>
        </w:rPr>
        <w:t xml:space="preserve">, that in determining whether the Holders of the requisite principal amount of the Outstanding Securities have given any request, demand, authorization, direction, notice, consent or waiver hereunder or are present at a meeting of Holders for quorum purposes,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 of the principal amount (or, in the case of an Original Issue Discount Security or Indexed Security, the Dollar equivalent as of such date of original issuance of the amount determined as provided in clause (i) above or (iii) below, respectively)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Security pursuant to Section 3.01, and (iv) Securities owned by the Company or any other obligor upon the Securities or any Affiliate of the Company or of such other obligor shall be disregarded and deemed not to be Outstanding, except that, in determining whether the Trustee shall be protected in making such calculation or in relying upon any such request, demand, authorization, direction, notice, consent or waiver or upon any such determination as to the presence of a quorum, only Securities which a Responsible Officer of the Trustee actually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Paying Agent</w:t>
      </w:r>
      <w:r>
        <w:rPr>
          <w:rFonts w:ascii="Times New Roman" w:hAnsi="Times New Roman"/>
          <w:sz w:val="20"/>
        </w:rPr>
        <w:t xml:space="preserve"> means any Person authorized by the Company to pay the principal of (or premium, if any) or interest, if any, on any Securities on behalf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Junior Securities</w:t>
      </w:r>
      <w:r>
        <w:rPr>
          <w:rFonts w:ascii="Times New Roman" w:hAnsi="Times New Roman"/>
          <w:sz w:val="20"/>
        </w:rPr>
        <w:t xml:space="preserve">, has the meaning specified in Section 16.02.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Person</w:t>
      </w:r>
      <w:r>
        <w:rPr>
          <w:rFonts w:ascii="Times New Roman" w:hAnsi="Times New Roman"/>
          <w:sz w:val="20"/>
        </w:rPr>
        <w:t xml:space="preserve"> means any individual, corporation, partnership, joint venture, association, joint-stock company, limited liability company, trust, unincorporated organization or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Place of Payment</w:t>
      </w:r>
      <w:r>
        <w:rPr>
          <w:rFonts w:ascii="Times New Roman" w:hAnsi="Times New Roman"/>
          <w:sz w:val="20"/>
        </w:rPr>
        <w:t xml:space="preserve">, when used with respect to the Securities of or within any series, means the place or places where the principal of (and premium, if any) and interest, if any, on such Securities are payable as specified and as contemplated by Sections 3.01 and 10.02.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Predecessor Security</w:t>
      </w:r>
      <w:r>
        <w:rPr>
          <w:rFonts w:ascii="Times New Roman" w:hAnsi="Times New Roman"/>
          <w:sz w:val="20"/>
        </w:rPr>
        <w:t xml:space="preserve">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Date</w:t>
      </w:r>
      <w:r>
        <w:rPr>
          <w:rFonts w:ascii="Times New Roman" w:hAnsi="Times New Roman"/>
          <w:sz w:val="20"/>
        </w:rPr>
        <w:t xml:space="preserve">, when used with respect to any Security to be redeemed, in whole or in part, means the date fixed for such redemption by or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Redemption Price</w:t>
      </w:r>
      <w:r>
        <w:rPr>
          <w:rFonts w:ascii="Times New Roman" w:hAnsi="Times New Roman"/>
          <w:sz w:val="20"/>
        </w:rPr>
        <w:t xml:space="preserve">, when used with respect to any Security to be redeemed, means the price at which it is to be redeemed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Security</w:t>
      </w:r>
      <w:r>
        <w:rPr>
          <w:rFonts w:ascii="Times New Roman" w:hAnsi="Times New Roman"/>
          <w:sz w:val="20"/>
        </w:rPr>
        <w:t xml:space="preserve"> means any Security that is registered in the Security Register.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Regular Record Date</w:t>
      </w:r>
      <w:r>
        <w:rPr>
          <w:rFonts w:ascii="Times New Roman" w:hAnsi="Times New Roman"/>
          <w:sz w:val="20"/>
        </w:rPr>
        <w:t xml:space="preserve"> for the interest payable on any Interest Payment Date on the Registered Securities of or within any series means the date specified for that purpose as contemplated by Section 3.01, whether or not a Business Day.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Repayment Date</w:t>
      </w:r>
      <w:r>
        <w:rPr>
          <w:rFonts w:ascii="Times New Roman" w:hAnsi="Times New Roman"/>
          <w:sz w:val="20"/>
        </w:rPr>
        <w:t xml:space="preserve"> means, when used with respect to any Security to be repaid at the option of the Holder, means the date fixed for such repayment by or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Repayment Price</w:t>
      </w:r>
      <w:r>
        <w:rPr>
          <w:rFonts w:ascii="Times New Roman" w:hAnsi="Times New Roman"/>
          <w:sz w:val="20"/>
        </w:rPr>
        <w:t xml:space="preserve"> means, when used with respect to any Security to be repaid at the option of the Holder, means the price at which it is to be repaid by or pursuant to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Reset Notice</w:t>
      </w:r>
      <w:r>
        <w:rPr>
          <w:rFonts w:ascii="Times New Roman" w:hAnsi="Times New Roman"/>
          <w:sz w:val="20"/>
        </w:rPr>
        <w:t xml:space="preserve"> has the meaning specified in Section 3.07(b).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Responsible Officer</w:t>
      </w:r>
      <w:r>
        <w:rPr>
          <w:rFonts w:ascii="Times New Roman" w:hAnsi="Times New Roman"/>
          <w:sz w:val="20"/>
        </w:rPr>
        <w:t xml:space="preserve">, when used with respect to the Trustee, means any officer of the Trustee assigned by the Trustee to administer its corporate trust matters who shall have direct responsibility for the administration of this Indenture, or any other officer to whom any corporate trust matter is referred because of such officers knowledge of and familiarity with the particular subject.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w:t>
      </w:r>
      <w:r>
        <w:rPr>
          <w:rFonts w:ascii="Times New Roman" w:hAnsi="Times New Roman"/>
          <w:sz w:val="20"/>
        </w:rPr>
        <w:t> or </w:t>
      </w:r>
      <w:r>
        <w:rPr>
          <w:rFonts w:ascii="Times New Roman" w:hAnsi="Times New Roman"/>
          <w:sz w:val="20"/>
          <w:u w:val="single"/>
        </w:rPr>
        <w:t>Securities</w:t>
      </w:r>
      <w:r>
        <w:rPr>
          <w:rFonts w:ascii="Times New Roman" w:hAnsi="Times New Roman"/>
          <w:sz w:val="20"/>
        </w:rPr>
        <w:t xml:space="preserve"> has the meaning stated in the first recital of this Indenture and, more particularly, means any Security or Securities authenticated and delivered under this Indenture;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Security Register</w:t>
      </w:r>
      <w:r>
        <w:rPr>
          <w:rFonts w:ascii="Times New Roman" w:hAnsi="Times New Roman"/>
          <w:sz w:val="20"/>
        </w:rPr>
        <w:t> and </w:t>
      </w:r>
      <w:r>
        <w:rPr>
          <w:rFonts w:ascii="Times New Roman" w:hAnsi="Times New Roman"/>
          <w:sz w:val="20"/>
          <w:u w:val="single"/>
        </w:rPr>
        <w:t>Security Registrar</w:t>
      </w:r>
      <w:r>
        <w:rPr>
          <w:rFonts w:ascii="Times New Roman" w:hAnsi="Times New Roman"/>
          <w:sz w:val="20"/>
        </w:rPr>
        <w:t xml:space="preserve"> have the respective meanings specified in Section 3.05.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Indebtedness</w:t>
      </w:r>
      <w:r>
        <w:rPr>
          <w:rFonts w:ascii="Times New Roman" w:hAnsi="Times New Roman"/>
          <w:sz w:val="20"/>
        </w:rPr>
        <w:t xml:space="preserve"> means the principal of (and premium, if any) and unpaid interest on (a) indebtedness of the Company (including indebtedness of others guaranteed by the Company), whether outstanding on the date hereof or thereafter created, incurred, assumed or guaranteed, for money borrowed, unless in the instrument creating or evidencing the same or under which the same is outstanding it is provided that such indebtedness is not senior or prior in right of payment to Subordinated Indebtedness, (b) Senior Securities, and (c) renewals, extensions, modifications and refinancings of any such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Security</w:t>
      </w:r>
      <w:r>
        <w:rPr>
          <w:rFonts w:ascii="Times New Roman" w:hAnsi="Times New Roman"/>
          <w:sz w:val="20"/>
        </w:rPr>
        <w:t> or </w:t>
      </w:r>
      <w:r>
        <w:rPr>
          <w:rFonts w:ascii="Times New Roman" w:hAnsi="Times New Roman"/>
          <w:sz w:val="20"/>
          <w:u w:val="single"/>
        </w:rPr>
        <w:t>Senior Securities</w:t>
      </w:r>
      <w:r>
        <w:rPr>
          <w:rFonts w:ascii="Times New Roman" w:hAnsi="Times New Roman"/>
          <w:sz w:val="20"/>
        </w:rPr>
        <w:t xml:space="preserve"> means any Security or Securities designated pursuant to Section 3.01 as a Senior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Subordinated Indebtedness</w:t>
      </w:r>
      <w:r>
        <w:rPr>
          <w:rFonts w:ascii="Times New Roman" w:hAnsi="Times New Roman"/>
          <w:sz w:val="20"/>
        </w:rPr>
        <w:t> means the principal of (and premium, if any) and unpaid interest on (a) indebtedness of the Company (including indebtedness of others guaranteed by the Company), whether outstanding on the date hereof or thereafter created, incurred, assumed or guaranteed, for money borrowed, that in the instrument creating or evidencing the same or pursuant to which the same is outstanding it is provided that such indebtedness ranks junior in right of payment to the Companys Senior Indebtedness, equally and </w:t>
      </w:r>
      <w:r>
        <w:rPr>
          <w:rFonts w:ascii="Times New Roman" w:hAnsi="Times New Roman"/>
          <w:i/>
          <w:sz w:val="20"/>
        </w:rPr>
        <w:t>pari passu</w:t>
      </w:r>
      <w:r>
        <w:rPr>
          <w:rFonts w:ascii="Times New Roman" w:hAnsi="Times New Roman"/>
          <w:sz w:val="20"/>
        </w:rPr>
        <w:t xml:space="preserve"> in right of payment with all other Senior Subordinated Indebtedness and senior in right of payment to any Junior Subordinated Indebtedness, (b) Senior Subordinated Securities, and (c) renewals, extensions, modifications and refinancings of any such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Senior Subordinated Security</w:t>
      </w:r>
      <w:r>
        <w:rPr>
          <w:rFonts w:ascii="Times New Roman" w:hAnsi="Times New Roman"/>
          <w:sz w:val="20"/>
        </w:rPr>
        <w:t> or </w:t>
      </w:r>
      <w:r>
        <w:rPr>
          <w:rFonts w:ascii="Times New Roman" w:hAnsi="Times New Roman"/>
          <w:sz w:val="20"/>
          <w:u w:val="single"/>
        </w:rPr>
        <w:t>Senior Subordinated Securities</w:t>
      </w:r>
      <w:r>
        <w:rPr>
          <w:rFonts w:ascii="Times New Roman" w:hAnsi="Times New Roman"/>
          <w:sz w:val="20"/>
        </w:rPr>
        <w:t xml:space="preserve"> means any Security or Securities designated pursuant to Section 3.01 as a Senior Subordinated Security.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Significant Subsidiary</w:t>
      </w:r>
      <w:r>
        <w:rPr>
          <w:rFonts w:ascii="Times New Roman" w:hAnsi="Times New Roman"/>
          <w:sz w:val="20"/>
        </w:rPr>
        <w:t xml:space="preserve"> means any Subsidiary that would be a significant subsidiary as defined in Article 1, Rule 1-02 of Regulation S-X under the Exchange Act, as such regulation is in effect on the original date of this Indenture (but excluding any Subsidiary which is (a) a non-recourse or limited recourse Subsidiary, (b) a bankruptcy remote special purpose vehicle or (c) is not consolidated with the Company for purposes of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Special Record Date</w:t>
      </w:r>
      <w:r>
        <w:rPr>
          <w:rFonts w:ascii="Times New Roman" w:hAnsi="Times New Roman"/>
          <w:sz w:val="20"/>
        </w:rPr>
        <w:t xml:space="preserve"> for the payment of any Defaulted Interest on the Registered Securities of or within any series means a date fixed by the Trustee pursuant to Section 3.07.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Specified Amount</w:t>
      </w:r>
      <w:r>
        <w:rPr>
          <w:rFonts w:ascii="Times New Roman" w:hAnsi="Times New Roman"/>
          <w:sz w:val="20"/>
        </w:rPr>
        <w:t xml:space="preserve"> has the meaning specified in Section 3.12(h).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Stated Maturity</w:t>
      </w:r>
      <w:r>
        <w:rPr>
          <w:rFonts w:ascii="Times New Roman" w:hAnsi="Times New Roman"/>
          <w:sz w:val="20"/>
        </w:rPr>
        <w:t xml:space="preserve">,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Subordinated Indebtedness</w:t>
      </w:r>
      <w:r>
        <w:rPr>
          <w:rFonts w:ascii="Times New Roman" w:hAnsi="Times New Roman"/>
          <w:sz w:val="20"/>
        </w:rPr>
        <w:t xml:space="preserve"> means any Senior Subordinated Indebtedness or Junior Subordinated Indebtedness.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Subsequent Interest Period</w:t>
      </w:r>
      <w:r>
        <w:rPr>
          <w:rFonts w:ascii="Times New Roman" w:hAnsi="Times New Roman"/>
          <w:sz w:val="20"/>
        </w:rPr>
        <w:t xml:space="preserve"> has the meaning specified in Section 3.07(b).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with respect to any Person, any corporation, partnership, joint venture, limited liability company or other business entity of which a majority of the outstanding shares or other interests having voting power is at the time directly or indirectly owned or controlled by such Person or one or more of the Subsidiaries of such Person. Unless the context otherwise requires, all references to Subsidiary or Subsidiaries under this Indenture shall refer to Subsidiaries of the Company. In addition, for purposes of this definition, Subsidiary shall exclude any investments held by the Company in the ordinary course of business which are not, under GAAP, consolidated on the financial statements of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 Indenture Act</w:t>
      </w:r>
      <w:r>
        <w:rPr>
          <w:rFonts w:ascii="Times New Roman" w:hAnsi="Times New Roman"/>
          <w:sz w:val="20"/>
        </w:rPr>
        <w:t> or </w:t>
      </w:r>
      <w:r>
        <w:rPr>
          <w:rFonts w:ascii="Times New Roman" w:hAnsi="Times New Roman"/>
          <w:sz w:val="20"/>
          <w:u w:val="single"/>
        </w:rPr>
        <w:t>TIA</w:t>
      </w:r>
      <w:r>
        <w:rPr>
          <w:rFonts w:ascii="Times New Roman" w:hAnsi="Times New Roman"/>
          <w:sz w:val="20"/>
        </w:rPr>
        <w:t xml:space="preserve"> means the Trust Indenture Act of 1939, as amended, as in force at the date as of which this Indenture was executed, except as provided in Section 9.05.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Trustee</w:t>
      </w:r>
      <w:r>
        <w:rPr>
          <w:rFonts w:ascii="Times New Roman" w:hAnsi="Times New Roman"/>
          <w:sz w:val="20"/>
        </w:rPr>
        <w:t xml:space="preserve"> means the Person named as the Trustee in the first paragraph of this Indenture until a successor Trustee shall have become such pursuant to the applicable provisions of this Indenture, and thereafter Trustee shall mean or include each Person who is then a Trustee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at any time there is more than one such Person, Trustee as used with respect to the Securities of any series shall mean only the Trustee with respect to Securities of that series.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w:t>
      </w:r>
      <w:r>
        <w:rPr>
          <w:rFonts w:ascii="Times New Roman" w:hAnsi="Times New Roman"/>
          <w:sz w:val="20"/>
        </w:rPr>
        <w:t xml:space="preserve"> means, unless otherwise specified with respect to any Securities pursuant to Section 3.01, the United States of America (including the states and the District of Columbia), its territories, its possessions and other areas subject to its jurisdiction.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United States person</w:t>
      </w:r>
      <w:r>
        <w:rPr>
          <w:rFonts w:ascii="Times New Roman" w:hAnsi="Times New Roman"/>
          <w:sz w:val="20"/>
        </w:rPr>
        <w:t xml:space="preserve"> means, unless otherwise specified with respect to any Securities pursuant to Section 3.01, any individual who is a citizen or resident of the United States, a corporation, partnership or other entity created or organized in or under the laws of the United States, any state thereof or the District of Columbia (other than a partnership that is not treated as a United States Person under any applicable Treasury regulations), any estate the income of which is subject to United States federal income taxation regardless of its source, or any trust if a court within the United States is able to exercise primary supervision over the administration of the trust and one or more United States persons have the authority to control all substantial decisions of the trust. Notwithstanding the preceding sentence, to the extent provided in the Treasury regulations, certain trusts in existence on August 20, 1996, and treated as United States persons prior to such date that elect to continue to be treated as United States Persons, will also be United States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Valuation Date</w:t>
      </w:r>
      <w:r>
        <w:rPr>
          <w:rFonts w:ascii="Times New Roman" w:hAnsi="Times New Roman"/>
          <w:sz w:val="20"/>
        </w:rPr>
        <w:t xml:space="preserve"> has the meaning specified in Section 3.12(c).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Yield to Maturity</w:t>
      </w:r>
      <w:r>
        <w:rPr>
          <w:rFonts w:ascii="Times New Roman" w:hAnsi="Times New Roman"/>
          <w:sz w:val="20"/>
        </w:rPr>
        <w:t xml:space="preserve"> means the yield to maturity, computed at the time of issuance of a Security (or, if applicable, at the most recent redetermination of interest on such Security) and as set forth in such Security in accordance with generally accepted United States bond yield computation principles. </w:t>
      </w:r>
    </w:p>
    <w:p>
      <w:pPr>
        <w:pStyle w:val="TextBody"/>
        <w:bidi w:val="0"/>
        <w:spacing w:before="240" w:after="0"/>
        <w:jc w:val="left"/>
        <w:rPr>
          <w:rFonts w:ascii="Times New Roman" w:hAnsi="Times New Roman"/>
          <w:sz w:val="20"/>
        </w:rPr>
      </w:pPr>
      <w:r>
        <w:rPr>
          <w:rFonts w:ascii="Times New Roman" w:hAnsi="Times New Roman"/>
          <w:sz w:val="20"/>
        </w:rPr>
        <w:t xml:space="preserve">Section 1.02. </w:t>
      </w:r>
      <w:r>
        <w:rPr>
          <w:rFonts w:ascii="Times New Roman" w:hAnsi="Times New Roman"/>
          <w:sz w:val="20"/>
          <w:u w:val="single"/>
        </w:rPr>
        <w:t>Compliance Certificates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application or request by the Company to the Trustee to take any action under any provision of this Indenture, the Company shall furnish to the Trustee an Officers Certificate stating that all conditions precedent, if any, provided for in this Indenture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 </w:t>
      </w:r>
    </w:p>
    <w:p>
      <w:pPr>
        <w:pStyle w:val="TextBody"/>
        <w:bidi w:val="0"/>
        <w:spacing w:before="240" w:after="0"/>
        <w:jc w:val="left"/>
        <w:rPr>
          <w:rFonts w:ascii="Times New Roman" w:hAnsi="Times New Roman"/>
          <w:sz w:val="20"/>
        </w:rPr>
      </w:pPr>
      <w:r>
        <w:rPr>
          <w:rFonts w:ascii="Times New Roman" w:hAnsi="Times New Roman"/>
          <w:sz w:val="20"/>
        </w:rPr>
        <w:t xml:space="preserve">Every certificate or opinion with respect to compliance with a condition or covenant provided for in this Indenture (other than pursuant to Section 10.05) shall include; </w:t>
      </w:r>
    </w:p>
    <w:p>
      <w:pPr>
        <w:pStyle w:val="TextBody"/>
        <w:bidi w:val="0"/>
        <w:spacing w:before="240" w:after="0"/>
        <w:jc w:val="left"/>
        <w:rPr>
          <w:rFonts w:ascii="Times New Roman" w:hAnsi="Times New Roman"/>
          <w:sz w:val="20"/>
        </w:rPr>
      </w:pPr>
      <w:r>
        <w:rPr>
          <w:rFonts w:ascii="Times New Roman" w:hAnsi="Times New Roman"/>
          <w:sz w:val="20"/>
        </w:rPr>
        <w:t xml:space="preserve">(a) a statement that each individual signing such certificate or opinion has read such condition or covenant and the definitions herein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(b) a brief statement as to the nature and scope of the examination or investigation upon which the statements contained in such certificate are based; </w:t>
      </w:r>
    </w:p>
    <w:p>
      <w:pPr>
        <w:pStyle w:val="TextBody"/>
        <w:bidi w:val="0"/>
        <w:spacing w:before="240" w:after="0"/>
        <w:jc w:val="left"/>
        <w:rPr>
          <w:rFonts w:ascii="Times New Roman" w:hAnsi="Times New Roman"/>
          <w:sz w:val="20"/>
        </w:rPr>
      </w:pPr>
      <w:r>
        <w:rPr>
          <w:rFonts w:ascii="Times New Roman" w:hAnsi="Times New Roman"/>
          <w:sz w:val="20"/>
        </w:rPr>
        <w:t xml:space="preserve">(c) a statement that such individual signing the certificate or opinion has made such examination or investigation as is necessary to enable such individual to express an informed opinion as to whether or not such condition or covenant has been complied with; and </w:t>
      </w:r>
    </w:p>
    <w:p>
      <w:pPr>
        <w:pStyle w:val="TextBody"/>
        <w:bidi w:val="0"/>
        <w:spacing w:before="240" w:after="0"/>
        <w:jc w:val="left"/>
        <w:rPr>
          <w:rFonts w:ascii="Times New Roman" w:hAnsi="Times New Roman"/>
          <w:sz w:val="20"/>
        </w:rPr>
      </w:pPr>
      <w:r>
        <w:rPr>
          <w:rFonts w:ascii="Times New Roman" w:hAnsi="Times New Roman"/>
          <w:sz w:val="20"/>
        </w:rPr>
        <w:t xml:space="preserve">(d) a statement as to whether in the opinion of such individual such condition or covenant has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Section 1.03. </w:t>
      </w:r>
      <w:r>
        <w:rPr>
          <w:rFonts w:ascii="Times New Roman" w:hAnsi="Times New Roman"/>
          <w:sz w:val="20"/>
          <w:u w:val="single"/>
        </w:rPr>
        <w:t>Form of Documents Delivered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as to some matters and one or more other such Persons as to other matters, and any such Person may certify or give an opinion as to such matters in one or several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 or opinion of an officer of the Company may be based, insofar as it relates to legal matters, upon an Opinion of Counsel, or a certificate or representations by counsel, unless such officer knows, or in the exercise of reasonable care should know, that the opinion, certificate or representations with respect to the matters upon which his certificate or opinion is based are erroneous. Any such Opinion of Counsel or certificate or representations may be based, insofar as it relates to factual matters, upon a certificate or opinion of, or representations by, an officer or officers of the Company stating that the information as to such factual matters is in the possession of the Company, unless such counsel knows, or in the exercise of reasonable care should know, that the certificate or opinion or representations as to such matters are erroneous. </w:t>
      </w:r>
    </w:p>
    <w:p>
      <w:pPr>
        <w:pStyle w:val="TextBody"/>
        <w:bidi w:val="0"/>
        <w:spacing w:before="240" w:after="0"/>
        <w:jc w:val="left"/>
        <w:rPr>
          <w:rFonts w:ascii="Times New Roman" w:hAnsi="Times New Roman"/>
          <w:sz w:val="20"/>
        </w:rPr>
      </w:pPr>
      <w:r>
        <w:rPr>
          <w:rFonts w:ascii="Times New Roman" w:hAnsi="Times New Roman"/>
          <w:sz w:val="20"/>
        </w:rPr>
        <w:t xml:space="preserve">Where any Person is required to make, give or execute two or more applications, requests, consents, certificates, statements, opinions or other instruments under this Indenture, they may, but need not, be consolidated and form one instrument. </w:t>
      </w:r>
    </w:p>
    <w:p>
      <w:pPr>
        <w:pStyle w:val="TextBody"/>
        <w:bidi w:val="0"/>
        <w:spacing w:before="240" w:after="0"/>
        <w:jc w:val="left"/>
        <w:rPr>
          <w:rFonts w:ascii="Times New Roman" w:hAnsi="Times New Roman"/>
          <w:sz w:val="20"/>
        </w:rPr>
      </w:pPr>
      <w:r>
        <w:rPr>
          <w:rFonts w:ascii="Times New Roman" w:hAnsi="Times New Roman"/>
          <w:sz w:val="20"/>
        </w:rPr>
        <w:t xml:space="preserve">Section 1.04. </w:t>
      </w:r>
      <w:r>
        <w:rPr>
          <w:rFonts w:ascii="Times New Roman" w:hAnsi="Times New Roman"/>
          <w:sz w:val="20"/>
          <w:u w:val="single"/>
        </w:rPr>
        <w:t>Acts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w:t>
      </w:r>
    </w:p>
    <w:p>
      <w:pPr>
        <w:pStyle w:val="TextBody"/>
        <w:bidi w:val="0"/>
        <w:spacing w:before="240" w:after="0"/>
        <w:jc w:val="left"/>
        <w:rPr>
          <w:rFonts w:ascii="Times New Roman" w:hAnsi="Times New Roman"/>
          <w:sz w:val="20"/>
        </w:rPr>
      </w:pPr>
      <w:r>
        <w:rPr>
          <w:rFonts w:ascii="Times New Roman" w:hAnsi="Times New Roman"/>
          <w:sz w:val="20"/>
        </w:rPr>
        <w:t xml:space="preserve">Such instrument or instruments and any such record (and the action embodied therein and evidenced thereby) are herein sometimes referred to as the Act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 and the Company and any agent of the Trustee or the Company, if made in the manner provided in this Section. The record of any meeting of Holders of Securities shall be proved in the manner provided in Section 15.06. </w:t>
      </w:r>
    </w:p>
    <w:p>
      <w:pPr>
        <w:pStyle w:val="TextBody"/>
        <w:bidi w:val="0"/>
        <w:spacing w:before="240" w:after="0"/>
        <w:jc w:val="left"/>
        <w:rPr>
          <w:rFonts w:ascii="Times New Roman" w:hAnsi="Times New Roman"/>
          <w:sz w:val="20"/>
        </w:rPr>
      </w:pPr>
      <w:r>
        <w:rPr>
          <w:rFonts w:ascii="Times New Roman" w:hAnsi="Times New Roman"/>
          <w:sz w:val="20"/>
        </w:rPr>
        <w:t xml:space="preserve">(b)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individual capacity, such certificate or affidavit shall also constitute sufficient proof of his authority. The fact and date of the execution of any such instrument or writing, or the authority of the Person executing the same, may also be proved in any other manner that the Trustee deems reasonably sufficient. </w:t>
      </w:r>
    </w:p>
    <w:p>
      <w:pPr>
        <w:pStyle w:val="TextBody"/>
        <w:bidi w:val="0"/>
        <w:spacing w:before="240" w:after="0"/>
        <w:jc w:val="left"/>
        <w:rPr>
          <w:rFonts w:ascii="Times New Roman" w:hAnsi="Times New Roman"/>
          <w:sz w:val="20"/>
        </w:rPr>
      </w:pPr>
      <w:r>
        <w:rPr>
          <w:rFonts w:ascii="Times New Roman" w:hAnsi="Times New Roman"/>
          <w:sz w:val="20"/>
        </w:rPr>
        <w:t xml:space="preserve">(c) The ownership of Registered Securities shall be proved by the Security Register. </w:t>
      </w:r>
    </w:p>
    <w:p>
      <w:pPr>
        <w:pStyle w:val="TextBody"/>
        <w:bidi w:val="0"/>
        <w:spacing w:before="120" w:after="0"/>
        <w:jc w:val="left"/>
        <w:rPr>
          <w:rFonts w:ascii="Times New Roman" w:hAnsi="Times New Roman"/>
          <w:sz w:val="20"/>
        </w:rPr>
      </w:pPr>
      <w:r>
        <w:rPr>
          <w:rFonts w:ascii="Times New Roman" w:hAnsi="Times New Roman"/>
          <w:sz w:val="20"/>
        </w:rPr>
        <w:t xml:space="preserve">(d)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the Company shall solicit from the Holders of Registered Securities any request, demand, authorization, direction, notice, consent, waiver or other Act, the Company may, at its option, in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Times New Roman" w:hAnsi="Times New Roman"/>
          <w:sz w:val="20"/>
          <w:u w:val="single"/>
        </w:rPr>
        <w:t>provided</w:t>
      </w:r>
      <w:r>
        <w:rPr>
          <w:rFonts w:ascii="Times New Roman" w:hAnsi="Times New Roman"/>
          <w:sz w:val="20"/>
        </w:rPr>
        <w:t xml:space="preserve"> that no such authorization, agreement or consent by the Holders on such record date shall be deemed effective unless it shall become effective pursuant to the provisions of this Indenture not later than eleven months after the record date. </w:t>
      </w:r>
    </w:p>
    <w:p>
      <w:pPr>
        <w:pStyle w:val="TextBody"/>
        <w:bidi w:val="0"/>
        <w:spacing w:before="240" w:after="0"/>
        <w:jc w:val="left"/>
        <w:rPr>
          <w:rFonts w:ascii="Times New Roman" w:hAnsi="Times New Roman"/>
          <w:sz w:val="20"/>
        </w:rPr>
      </w:pPr>
      <w:r>
        <w:rPr>
          <w:rFonts w:ascii="Times New Roman" w:hAnsi="Times New Roman"/>
          <w:sz w:val="20"/>
        </w:rPr>
        <w:t xml:space="preserve">(f) 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any Security Registrar, any Paying Agent, any Authenticating Agent or the Company in reliance thereon, whether or not notation of such action is made upon such Security. </w:t>
      </w:r>
    </w:p>
    <w:p>
      <w:pPr>
        <w:pStyle w:val="TextBody"/>
        <w:bidi w:val="0"/>
        <w:spacing w:before="240" w:after="0"/>
        <w:jc w:val="left"/>
        <w:rPr>
          <w:rFonts w:ascii="Times New Roman" w:hAnsi="Times New Roman"/>
          <w:sz w:val="20"/>
        </w:rPr>
      </w:pPr>
      <w:r>
        <w:rPr>
          <w:rFonts w:ascii="Times New Roman" w:hAnsi="Times New Roman"/>
          <w:sz w:val="20"/>
        </w:rPr>
        <w:t xml:space="preserve">Section 1.05. </w:t>
      </w:r>
      <w:r>
        <w:rPr>
          <w:rFonts w:ascii="Times New Roman" w:hAnsi="Times New Roman"/>
          <w:sz w:val="20"/>
          <w:u w:val="single"/>
        </w:rPr>
        <w:t>Notices, Etc., to Trustee and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waiver or Act of Holders or other document provided or permitted by this Indenture to be made upon, given or furnished to, or filed with, </w:t>
      </w:r>
    </w:p>
    <w:p>
      <w:pPr>
        <w:pStyle w:val="TextBody"/>
        <w:bidi w:val="0"/>
        <w:spacing w:before="120" w:after="0"/>
        <w:jc w:val="left"/>
        <w:rPr>
          <w:rFonts w:ascii="Times New Roman" w:hAnsi="Times New Roman"/>
          <w:sz w:val="20"/>
        </w:rPr>
      </w:pPr>
      <w:r>
        <w:rPr>
          <w:rFonts w:ascii="Times New Roman" w:hAnsi="Times New Roman"/>
          <w:sz w:val="20"/>
        </w:rPr>
        <w:t xml:space="preserve">(i) the Trustee by any Holder or by the Company shall be sufficient for every purpose hereunder if in writing and sent, first-class postage prepaid, or sent via overnight courier guaranteeing next day delivery, or same day messenger service or by electronic mail (in PDF) to the Trustee at its Corporate Trust Office, Attention: Sixth Street Lending Partners, or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by the Trustee or by any Holder shall be sufficient for every purpose hereunder (unless otherwise herein expressly provided) if in writing and sent, first-class postage prepaid, or sent via overnight courier guaranteeing next day delivery, or same day messenger service, or by electronic mail (in PDF), to the Company, to the attention of its Chief Financial Officer at 2100 McKinney Avenue, Suite 1500, Dallas, TX 75201, with a copy to the Chief Compliance Officer at the same address.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or the Trustee, by notice to the other, may designate additional or different addresses for subsequent notices or communications.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 notices and communications (other than those sent to Holders) shall be deemed to have been duly given: (i) at the time delivered by hand, if personally delivered; (ii) when return receipt is delivered, if delivered by electronic mail; (iii) five Business Days after being deposited in the mail, postage prepaid; and (iv) the next Business Day after timely delivery to the courier, if sent by overnight air courier guaranteeing next day delivery. Notice to the Trustee shall be effective only if such receipt is acknowledged. </w:t>
      </w:r>
    </w:p>
    <w:p>
      <w:pPr>
        <w:pStyle w:val="TextBody"/>
        <w:bidi w:val="0"/>
        <w:spacing w:before="240" w:after="0"/>
        <w:jc w:val="left"/>
        <w:rPr>
          <w:rFonts w:ascii="Times New Roman" w:hAnsi="Times New Roman"/>
          <w:sz w:val="20"/>
        </w:rPr>
      </w:pPr>
      <w:r>
        <w:rPr>
          <w:rFonts w:ascii="Times New Roman" w:hAnsi="Times New Roman"/>
          <w:sz w:val="20"/>
        </w:rPr>
        <w:t xml:space="preserve">Whenever under this Indenture the Trustee or the Company is required to provide any notice by mail, in all cases each of the Trustee and the Company may alternatively provide notice by overnight courier, by facsimile, with confirmation of transmission, or by electronic mail, with return receipt requested. </w:t>
      </w:r>
    </w:p>
    <w:p>
      <w:pPr>
        <w:pStyle w:val="TextBody"/>
        <w:bidi w:val="0"/>
        <w:spacing w:before="240" w:after="0"/>
        <w:jc w:val="left"/>
        <w:rPr>
          <w:rFonts w:ascii="Times New Roman" w:hAnsi="Times New Roman"/>
          <w:sz w:val="20"/>
        </w:rPr>
      </w:pPr>
      <w:r>
        <w:rPr>
          <w:rFonts w:ascii="Times New Roman" w:hAnsi="Times New Roman"/>
          <w:sz w:val="20"/>
        </w:rPr>
        <w:t xml:space="preserve">Section 1.06. </w:t>
      </w:r>
      <w:r>
        <w:rPr>
          <w:rFonts w:ascii="Times New Roman" w:hAnsi="Times New Roman"/>
          <w:sz w:val="20"/>
          <w:u w:val="single"/>
        </w:rPr>
        <w:t>Notice to Holders;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of any event to Holders of Registered Securities by the Company or the Trustee, such notice shall be sufficiently given (unless otherwise herein expressly provided) if in writing and mailed, first-class postage prepaid, by overnight courier guaranteeing next day delivery, by facsimile or by electronic mail to each such Holder affected by such event, at his address, facsimile number or email address as it appears in the Security Register, not later than the latest date, and not earlier than the earliest date, prescribed for the giving of such notice. Any notice or communication shall also be so delivered to any Person described in TIA Section 313(c), to the extent required by the TIA. In any case where notice to Holders of Registered Securities is given as provided herein, neither the failure to send such notice, nor any defect in any notice so sent, to any particular Holder shall affect the sufficiency of such notice with respect to other Holders of Registered Securities. Any notice mailed or sent to a Holder in the manner herein prescribed shall be conclusively deemed to have been received by such Holder, whether or not such Holder actually receives such notice. In the case of a global Security, notices shall be given in accordance with the applicable procedures of the Depositary. Notwithstanding any other provision of this Indenture or any Note, where this Indenture or any Note provides for notice of any event (including any notice of redemption or repurchase) to a Holder of a global Security (whether by mail or otherwise), such notice shall be sufficiently given if given to the Depositary (or its designee) pursuant to the standing instructions from the Depositary or its designee, including by electronic mail in accordance with Applicable Procedures. </w:t>
      </w:r>
    </w:p>
    <w:p>
      <w:pPr>
        <w:pStyle w:val="TextBody"/>
        <w:bidi w:val="0"/>
        <w:spacing w:before="240" w:after="0"/>
        <w:jc w:val="left"/>
        <w:rPr>
          <w:rFonts w:ascii="Times New Roman" w:hAnsi="Times New Roman"/>
          <w:sz w:val="20"/>
        </w:rPr>
      </w:pPr>
      <w:r>
        <w:rPr>
          <w:rFonts w:ascii="Times New Roman" w:hAnsi="Times New Roman"/>
          <w:sz w:val="20"/>
        </w:rPr>
        <w:t xml:space="preserve">If by reason of the suspension of or irregularities in regular mail service or by reason of any other cause it shall be impracticable to give such notice by mail, then such notification to Holders of Registered Securities as shall be made with the approval of the Trustee shall constitute a sufficient notification to such Holders for every purpose hereunder. </w:t>
      </w:r>
    </w:p>
    <w:p>
      <w:pPr>
        <w:pStyle w:val="TextBody"/>
        <w:bidi w:val="0"/>
        <w:spacing w:before="240" w:after="0"/>
        <w:jc w:val="left"/>
        <w:rPr>
          <w:rFonts w:ascii="Times New Roman" w:hAnsi="Times New Roman"/>
          <w:sz w:val="20"/>
        </w:rPr>
      </w:pPr>
      <w:r>
        <w:rPr>
          <w:rFonts w:ascii="Times New Roman" w:hAnsi="Times New Roman"/>
          <w:sz w:val="20"/>
        </w:rPr>
        <w:t xml:space="preserve">Any request, demand, authorization, direction, notice, consent or waiver required or permitted under this Indenture shall be in the English language, except that any published notice may be in an official language of the country of publication. </w:t>
      </w:r>
    </w:p>
    <w:p>
      <w:pPr>
        <w:pStyle w:val="TextBody"/>
        <w:bidi w:val="0"/>
        <w:spacing w:before="240" w:after="0"/>
        <w:jc w:val="left"/>
        <w:rPr>
          <w:rFonts w:ascii="Times New Roman" w:hAnsi="Times New Roman"/>
          <w:sz w:val="20"/>
        </w:rPr>
      </w:pPr>
      <w:r>
        <w:rPr>
          <w:rFonts w:ascii="Times New Roman" w:hAnsi="Times New Roman"/>
          <w:sz w:val="20"/>
        </w:rPr>
        <w:t xml:space="preserve">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1.07. </w:t>
      </w:r>
      <w:r>
        <w:rPr>
          <w:rFonts w:ascii="Times New Roman" w:hAnsi="Times New Roman"/>
          <w:sz w:val="20"/>
          <w:u w:val="single"/>
        </w:rPr>
        <w:t>Effect of Headings and Table of Contents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Article and Section headings herein, the TIA cross reference table, and the Table of Contents are for convenience only and shall not affect the construction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1.08. </w:t>
      </w:r>
      <w:r>
        <w:rPr>
          <w:rFonts w:ascii="Times New Roman" w:hAnsi="Times New Roman"/>
          <w:sz w:val="20"/>
          <w:u w:val="single"/>
        </w:rPr>
        <w:t>Successors and Assigns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covenants and agreements in this Indenture by the Company shall bind its successors and assigns, whether so expressed or not. </w:t>
      </w:r>
    </w:p>
    <w:p>
      <w:pPr>
        <w:pStyle w:val="TextBody"/>
        <w:bidi w:val="0"/>
        <w:spacing w:before="240" w:after="0"/>
        <w:jc w:val="left"/>
        <w:rPr>
          <w:rFonts w:ascii="Times New Roman" w:hAnsi="Times New Roman"/>
          <w:sz w:val="20"/>
        </w:rPr>
      </w:pPr>
      <w:r>
        <w:rPr>
          <w:rFonts w:ascii="Times New Roman" w:hAnsi="Times New Roman"/>
          <w:sz w:val="20"/>
        </w:rPr>
        <w:t xml:space="preserve">Section 1.09. </w:t>
      </w:r>
      <w:r>
        <w:rPr>
          <w:rFonts w:ascii="Times New Roman" w:hAnsi="Times New Roman"/>
          <w:sz w:val="20"/>
          <w:u w:val="single"/>
        </w:rPr>
        <w:t>Separability Clause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any provision in this Indenture or in any Security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1.10. </w:t>
      </w:r>
      <w:r>
        <w:rPr>
          <w:rFonts w:ascii="Times New Roman" w:hAnsi="Times New Roman"/>
          <w:sz w:val="20"/>
          <w:u w:val="single"/>
        </w:rPr>
        <w:t>Benefits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Indenture or in the Securities, express or implied, shall give to any Person, other than the parties hereto, any Security Registrar, any Depositary Custodian, any Paying Agent, any Authenticating Agent and their successors hereunder and the Holders any benefit or any legal or equitable right, remedy or claim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1.11. </w:t>
      </w:r>
      <w:r>
        <w:rPr>
          <w:rFonts w:ascii="Times New Roman" w:hAnsi="Times New Roman"/>
          <w:sz w:val="20"/>
          <w:u w:val="single"/>
        </w:rPr>
        <w:t>Governing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and the Securities shall be governed by and construed in accordance with the law of the State of New York without regard to principles of conflicts of laws that would cause the application of laws of another jurisdiction. This Indenture is subject to the provisions of the Trust Indenture Act that are required to be part of this Indenture and shall, to the extent applicable, be governed by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Section 1.12. </w:t>
      </w:r>
      <w:r>
        <w:rPr>
          <w:rFonts w:ascii="Times New Roman" w:hAnsi="Times New Roman"/>
          <w:sz w:val="20"/>
          <w:u w:val="single"/>
        </w:rPr>
        <w:t>Legal Holidays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case where any Interest Payment Date, Redemption Date, Repayment Date, sinking fund payment date, Stated Maturity or Maturity of any Security shall not be a Business Day at any Place of Payment, then (notwithstanding any other provision of this Indenture or any Security other than a provision in the Securities of any series which specifically states that such provision shall apply in lieu of this Section), payment of principal (or premium, if any) or interest, if any, need not be made at such Place of Payment on such date, but may be made on the next succeeding Business Day at such Place of Payment with the same force and effect as if made on the Interest Payment Date, Redemption Date, Repayment Date or sinking fund payment date, or at the Stated Maturity or Maturity; </w:t>
      </w:r>
      <w:r>
        <w:rPr>
          <w:rFonts w:ascii="Times New Roman" w:hAnsi="Times New Roman"/>
          <w:sz w:val="20"/>
          <w:u w:val="single"/>
        </w:rPr>
        <w:t>provided</w:t>
      </w:r>
      <w:r>
        <w:rPr>
          <w:rFonts w:ascii="Times New Roman" w:hAnsi="Times New Roman"/>
          <w:sz w:val="20"/>
        </w:rPr>
        <w:t xml:space="preserve"> that no interest shall accrue on the amount so payable for the period from and after such Interest Payment Date, Redemption Date, Repayment Date, sinking fund payment date, Stated Maturity or Maturity,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1.13. </w:t>
      </w:r>
      <w:r>
        <w:rPr>
          <w:rFonts w:ascii="Times New Roman" w:hAnsi="Times New Roman"/>
          <w:sz w:val="20"/>
          <w:u w:val="single"/>
        </w:rPr>
        <w:t>Submission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irrevocably submits to the non-exclusive jurisdiction of any New York state or federal court sitting in The City of New York, New York County in any action or proceeding arising out of or relating to the Indenture and the Securities of any series, and the Company hereby irrevocably agrees that all claims in respect of such action or proceeding may be heard and determined in such New York state or federal court. The Company hereby irrevocably waives, to the fullest extent it may effectively do so, the defense of an inconvenient forum to the maintenance of such action or proceeding. </w:t>
      </w:r>
    </w:p>
    <w:p>
      <w:pPr>
        <w:pStyle w:val="TextBody"/>
        <w:bidi w:val="0"/>
        <w:spacing w:before="240" w:after="0"/>
        <w:jc w:val="left"/>
        <w:rPr>
          <w:rFonts w:ascii="Times New Roman" w:hAnsi="Times New Roman"/>
          <w:sz w:val="20"/>
        </w:rPr>
      </w:pPr>
      <w:r>
        <w:rPr>
          <w:rFonts w:ascii="Times New Roman" w:hAnsi="Times New Roman"/>
          <w:sz w:val="20"/>
        </w:rPr>
        <w:t xml:space="preserve">Section 1.14. </w:t>
      </w:r>
      <w:r>
        <w:rPr>
          <w:rFonts w:ascii="Times New Roman" w:hAnsi="Times New Roman"/>
          <w:sz w:val="20"/>
          <w:u w:val="single"/>
        </w:rPr>
        <w:t>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OF THE COMPANY AND THE TRUSTEE HEREBY IRREVOCABLY WAIVES, TO THE FULLEST EXTENT PERMITTED BY APPLICABLE LAW, ANY AND ALL RIGHT TO TRIAL BY JURY IN ANY LEGAL PROCEEDING ARISING OUT OF OR RELATING TO THIS INDENTURE, THE SECURITIES OR THE TRANSACTION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1.15. </w:t>
      </w:r>
      <w:r>
        <w:rPr>
          <w:rFonts w:ascii="Times New Roman" w:hAnsi="Times New Roman"/>
          <w:sz w:val="20"/>
          <w:u w:val="single"/>
        </w:rPr>
        <w:t>U.S.A. Patriot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TWO </w:t>
      </w:r>
    </w:p>
    <w:p>
      <w:pPr>
        <w:pStyle w:val="TextBody"/>
        <w:bidi w:val="0"/>
        <w:spacing w:before="120" w:after="0"/>
        <w:jc w:val="center"/>
        <w:rPr>
          <w:rFonts w:ascii="Times New Roman" w:hAnsi="Times New Roman"/>
          <w:b/>
          <w:sz w:val="20"/>
        </w:rPr>
      </w:pPr>
      <w:r>
        <w:rPr>
          <w:rFonts w:ascii="Times New Roman" w:hAnsi="Times New Roman"/>
          <w:b/>
          <w:sz w:val="20"/>
        </w:rPr>
        <w:t xml:space="preserve">SECURITIES FORMS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Forms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Registered Securities of each series, the temporary global Securities of each series, if any, and the permanent global Securities of each series, if any, to be endorsed thereon shall be in substantially the forms as shall be established in one or more indentures supplemental hereto or approved from time to time by or pursuant to a Board Resolution in accordance with Section 3.01, shall have such appropriate insertions, omissions, substitutions and other variations as are required or permitted by this Indenture or any indenture supplemental hereto, and may have such letters, numbers or other marks of identification or designation and such legends or endorsements placed thereon as the Company may deem appropriate and as are not inconsistent with the provisions of this Indenture, or as may be required to comply with any law or with any rule or regulation made pursuant thereto or with any rule or regulation of any stock exchange on which the Securities may be listed, or to conform to usage. </w:t>
      </w:r>
    </w:p>
    <w:p>
      <w:pPr>
        <w:pStyle w:val="TextBody"/>
        <w:bidi w:val="0"/>
        <w:spacing w:before="240" w:after="0"/>
        <w:jc w:val="left"/>
        <w:rPr>
          <w:rFonts w:ascii="Times New Roman" w:hAnsi="Times New Roman"/>
          <w:sz w:val="20"/>
        </w:rPr>
      </w:pPr>
      <w:r>
        <w:rPr>
          <w:rFonts w:ascii="Times New Roman" w:hAnsi="Times New Roman"/>
          <w:sz w:val="20"/>
        </w:rPr>
        <w:t xml:space="preserve">The definitive Securities shall be printed, lithographed or engraved or produced by any combination of these methods on a steel engraved border or steel engraved borders or may be produced in any other manner, all as determined by the officers executing such Securities, as evidenced by their execution of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Form of Trustees Certificate of Authentication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6.12, the Trustees certificate of authentication shall be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46"/>
        <w:gridCol w:w="112"/>
        <w:gridCol w:w="3424"/>
      </w:tblGrid>
      <w:tr>
        <w:trPr/>
        <w:tc>
          <w:tcPr>
            <w:tcW w:w="546" w:type="dxa"/>
            <w:tcBorders/>
            <w:vAlign w:val="center"/>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sz w:val="4"/>
                <w:szCs w:val="4"/>
              </w:rPr>
            </w:pPr>
            <w:r>
              <w:rPr>
                <w:sz w:val="4"/>
                <w:szCs w:val="4"/>
              </w:rPr>
            </w:r>
          </w:p>
        </w:tc>
        <w:tc>
          <w:tcPr>
            <w:tcW w:w="342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 as Trustee</w:t>
            </w:r>
          </w:p>
        </w:tc>
      </w:tr>
      <w:tr>
        <w:trPr>
          <w:trHeight w:val="240" w:hRule="atLeast"/>
        </w:trPr>
        <w:tc>
          <w:tcPr>
            <w:tcW w:w="546" w:type="dxa"/>
            <w:tcBorders/>
            <w:vAlign w:val="center"/>
          </w:tcPr>
          <w:p>
            <w:pPr>
              <w:pStyle w:val="TableContents"/>
              <w:bidi w:val="0"/>
              <w:spacing w:before="0" w:after="283"/>
              <w:jc w:val="left"/>
              <w:rPr>
                <w:sz w:val="4"/>
                <w:szCs w:val="4"/>
              </w:rPr>
            </w:pPr>
            <w:r>
              <w:rPr>
                <w:sz w:val="4"/>
                <w:szCs w:val="4"/>
              </w:rPr>
            </w:r>
          </w:p>
        </w:tc>
        <w:tc>
          <w:tcPr>
            <w:tcW w:w="3536" w:type="dxa"/>
            <w:gridSpan w:val="2"/>
            <w:tcBorders/>
            <w:vAlign w:val="center"/>
          </w:tcPr>
          <w:p>
            <w:pPr>
              <w:pStyle w:val="TableContents"/>
              <w:bidi w:val="0"/>
              <w:spacing w:before="0" w:after="283"/>
              <w:jc w:val="left"/>
              <w:rPr>
                <w:sz w:val="4"/>
                <w:szCs w:val="4"/>
              </w:rPr>
            </w:pPr>
            <w:r>
              <w:rPr>
                <w:sz w:val="4"/>
                <w:szCs w:val="4"/>
              </w:rPr>
            </w:r>
          </w:p>
        </w:tc>
      </w:tr>
      <w:tr>
        <w:trPr/>
        <w:tc>
          <w:tcPr>
            <w:tcW w:w="546"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112" w:type="dxa"/>
            <w:tcBorders>
              <w:bottom w:val="single" w:sz="2" w:space="0" w:color="000000"/>
            </w:tcBorders>
            <w:tcMar>
              <w:bottom w:w="28" w:type="dxa"/>
            </w:tcMar>
            <w:vAlign w:val="bottom"/>
          </w:tcPr>
          <w:p>
            <w:pPr>
              <w:pStyle w:val="TableContents"/>
              <w:bidi w:val="0"/>
              <w:spacing w:before="0" w:after="283"/>
              <w:jc w:val="left"/>
              <w:rPr/>
            </w:pPr>
            <w:r>
              <w:rPr/>
              <w:t> </w:t>
            </w:r>
          </w:p>
        </w:tc>
        <w:tc>
          <w:tcPr>
            <w:tcW w:w="342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46" w:type="dxa"/>
            <w:tcBorders/>
            <w:vAlign w:val="bottom"/>
          </w:tcPr>
          <w:p>
            <w:pPr>
              <w:pStyle w:val="TableContents"/>
              <w:bidi w:val="0"/>
              <w:spacing w:before="0" w:after="283"/>
              <w:jc w:val="left"/>
              <w:rPr>
                <w:sz w:val="4"/>
                <w:szCs w:val="4"/>
              </w:rPr>
            </w:pPr>
            <w:r>
              <w:rPr>
                <w:sz w:val="4"/>
                <w:szCs w:val="4"/>
              </w:rPr>
            </w:r>
          </w:p>
        </w:tc>
        <w:tc>
          <w:tcPr>
            <w:tcW w:w="112" w:type="dxa"/>
            <w:tcBorders/>
            <w:vAlign w:val="bottom"/>
          </w:tcPr>
          <w:p>
            <w:pPr>
              <w:pStyle w:val="TableContents"/>
              <w:bidi w:val="0"/>
              <w:spacing w:before="0" w:after="283"/>
              <w:jc w:val="left"/>
              <w:rPr/>
            </w:pPr>
            <w:r>
              <w:rPr/>
              <w:t> </w:t>
            </w:r>
          </w:p>
        </w:tc>
        <w:tc>
          <w:tcPr>
            <w:tcW w:w="342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Securities Issuable in Global Form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Securities of or within a series are issuable in global form, as specified as contemplated by Section 3.01, then, notwithstanding clause (viii) of Section 3.01 and the provisions of Section 3.02,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 or the Security Registrar in such manner and upon instructions given by such Person or Persons as shall be specified therein or in the Company Order to be delivered to the Trustee pursuant to Section 3.03 or 3.04. Subject to the provisions of Section 3.03 and, if applicable, Section 3.04, the Trustee or the Security Registrar shall deliver and redeliver any Security in permanent global form in the manner and upon instructions given by the Person or Persons specified therein or in the applicable Company Order.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the second to last sentence of Section 3.03 shall apply to any Security represented by a Security in global form if such Security was never issued and sold by the Company and the Company delivers to the Trustee or the Security Registrar the Security in global form together with written instructions with regard to the reduction in the principal amount of Securities represented thereby, together with the written statement contemplated by the second to last sentence of Section 3.03.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Section 3.07, unless otherwise specified as contemplated by Section 3.01, payment of principal of (and premium, if any) and interest, if any, on any Security in permanent global form shall be made to the Person or Persons specified therein. Neither the Trustee nor any Agent shall have responsibility for any actions taken or not taken by the Depositary.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the Trustee, any authenticating agent, any Paying Agent, and any Securities Registrar may deem the Person in whose name a Security shall be registered upon the Security Register to be, and may treat it as, the absolute owner of such Security (whether or not such Security shall be overdue and notwithstanding any notation of ownership or other writing thereon made by any Person other than the Company or any Security Registrar) for the purpose of receiving payment of or on account of the principal of and (subject to Section 3.07) accrued and unpaid interest on such Security, for conversion of such Security and for all other purposes; and neither the Company nor the Trustee nor any Paying Agent nor any Conversion Agent nor any Security Registrar shall be affected by any notice to the contrary. All such payments so made to any Holder for the time being, or upon its order, shall be valid, and, to the extent of the sum or sums so paid, effectual to satisfy and discharge the liability for monies payable upon any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as contemplated by Section 3.01 for the Securities evidenced thereby, every global Security authenticated and delivered hereunder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Certificated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Securities in physical, certificated form will be issued and delivered to each person that the Depositary identifies as a beneficial owner of the related Securities only if: </w:t>
      </w:r>
    </w:p>
    <w:p>
      <w:pPr>
        <w:pStyle w:val="TextBody"/>
        <w:bidi w:val="0"/>
        <w:spacing w:before="120" w:after="0"/>
        <w:jc w:val="left"/>
        <w:rPr>
          <w:rFonts w:ascii="Times New Roman" w:hAnsi="Times New Roman"/>
          <w:sz w:val="20"/>
        </w:rPr>
      </w:pPr>
      <w:r>
        <w:rPr>
          <w:rFonts w:ascii="Times New Roman" w:hAnsi="Times New Roman"/>
          <w:sz w:val="20"/>
        </w:rPr>
        <w:t xml:space="preserve">(a) the Depositary notifies the Company at any time that it is unwilling or unable to continue as depositary for the Securities in global form and a successor depositary is not appointed within 90 days; </w:t>
      </w:r>
    </w:p>
    <w:p>
      <w:pPr>
        <w:pStyle w:val="TextBody"/>
        <w:bidi w:val="0"/>
        <w:spacing w:before="240" w:after="0"/>
        <w:jc w:val="left"/>
        <w:rPr>
          <w:rFonts w:ascii="Times New Roman" w:hAnsi="Times New Roman"/>
          <w:sz w:val="20"/>
        </w:rPr>
      </w:pPr>
      <w:r>
        <w:rPr>
          <w:rFonts w:ascii="Times New Roman" w:hAnsi="Times New Roman"/>
          <w:sz w:val="20"/>
        </w:rPr>
        <w:t xml:space="preserve">(b) the Depositary ceases to be registered as a clearing agency under the Exchange Act and a successor depositary is not appointed within 90 days; or </w:t>
      </w:r>
    </w:p>
    <w:p>
      <w:pPr>
        <w:pStyle w:val="TextBody"/>
        <w:bidi w:val="0"/>
        <w:spacing w:before="240" w:after="0"/>
        <w:jc w:val="left"/>
        <w:rPr>
          <w:rFonts w:ascii="Times New Roman" w:hAnsi="Times New Roman"/>
          <w:sz w:val="20"/>
        </w:rPr>
      </w:pPr>
      <w:r>
        <w:rPr>
          <w:rFonts w:ascii="Times New Roman" w:hAnsi="Times New Roman"/>
          <w:sz w:val="20"/>
        </w:rPr>
        <w:t xml:space="preserve">(c) an Event of Default with respect to the Securities has occurred and is continuing and such beneficial owner requests that its Securities be issued in physical, certificated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THREE </w:t>
      </w:r>
    </w:p>
    <w:p>
      <w:pPr>
        <w:pStyle w:val="TextBody"/>
        <w:bidi w:val="0"/>
        <w:spacing w:before="120" w:after="0"/>
        <w:jc w:val="center"/>
        <w:rPr>
          <w:rFonts w:ascii="Times New Roman" w:hAnsi="Times New Roman"/>
          <w:b/>
          <w:sz w:val="20"/>
        </w:rPr>
      </w:pPr>
      <w:r>
        <w:rPr>
          <w:rFonts w:ascii="Times New Roman" w:hAnsi="Times New Roman"/>
          <w:b/>
          <w:sz w:val="20"/>
        </w:rPr>
        <w:t xml:space="preserve">THE SECURITIES </w:t>
      </w:r>
    </w:p>
    <w:p>
      <w:pPr>
        <w:pStyle w:val="TextBody"/>
        <w:bidi w:val="0"/>
        <w:spacing w:before="240" w:after="0"/>
        <w:jc w:val="left"/>
        <w:rPr>
          <w:rFonts w:ascii="Times New Roman" w:hAnsi="Times New Roman"/>
          <w:sz w:val="20"/>
        </w:rPr>
      </w:pPr>
      <w:r>
        <w:rPr>
          <w:rFonts w:ascii="Times New Roman" w:hAnsi="Times New Roman"/>
          <w:sz w:val="20"/>
        </w:rPr>
        <w:t>Section 3.01. </w:t>
      </w:r>
      <w:r>
        <w:rPr>
          <w:rFonts w:ascii="Times New Roman" w:hAnsi="Times New Roman"/>
          <w:sz w:val="20"/>
          <w:u w:val="single"/>
        </w:rPr>
        <w:t>Amount Unlimited; Issuable in Series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aggregate principal amount of Securities which may be authenticated and delivered under this Indenture is unlimited.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issued in one or more series, each of which may consist of one or more tranches, and shall be designated as Senior Securities, Senior Subordinated Securities or Junior Subordinated Securities. Senior Securities are unsubordinated, shall rank equally and </w:t>
      </w:r>
      <w:r>
        <w:rPr>
          <w:rFonts w:ascii="Times New Roman" w:hAnsi="Times New Roman"/>
          <w:i/>
          <w:sz w:val="20"/>
        </w:rPr>
        <w:t>pari passu</w:t>
      </w:r>
      <w:r>
        <w:rPr>
          <w:rFonts w:ascii="Times New Roman" w:hAnsi="Times New Roman"/>
          <w:sz w:val="20"/>
        </w:rPr>
        <w:t xml:space="preserve"> with all of the Companys Senior Indebtedness and senior to all Subordinated Securities. Senior Subordinated Securities shall rank junior to the Companys Senior Indebtedness, equally and </w:t>
      </w:r>
      <w:r>
        <w:rPr>
          <w:rFonts w:ascii="Times New Roman" w:hAnsi="Times New Roman"/>
          <w:i/>
          <w:sz w:val="20"/>
        </w:rPr>
        <w:t>pari passu</w:t>
      </w:r>
      <w:r>
        <w:rPr>
          <w:rFonts w:ascii="Times New Roman" w:hAnsi="Times New Roman"/>
          <w:sz w:val="20"/>
        </w:rPr>
        <w:t> with all other Senior Subordinated Indebtedness and senior to any Junior Subordinated Indebtedness. Junior Subordinated Securities shall rank junior to the Companys Senior Indebtedness and any Senior Subordinated Indebtedness and equally and </w:t>
      </w:r>
      <w:r>
        <w:rPr>
          <w:rFonts w:ascii="Times New Roman" w:hAnsi="Times New Roman"/>
          <w:i/>
          <w:sz w:val="20"/>
        </w:rPr>
        <w:t>pari passu</w:t>
      </w:r>
      <w:r>
        <w:rPr>
          <w:rFonts w:ascii="Times New Roman" w:hAnsi="Times New Roman"/>
          <w:sz w:val="20"/>
        </w:rPr>
        <w:t xml:space="preserve"> with all other Junior Subordinated Indebtedness. There shall be (i) established in one or more Board Resolutions or pursuant to authority granted by one or more Board Resolutions and, subject to Section 3.03, set forth, or determined in the manner provided, in an Officers Certificate, or (ii) established in one or more indentures supplemental hereto, prior to the issuance of Securities of any series, any or all of the following, as applicable (each of which (except for the matters set forth in clauses (i), (ii) and (xv) below), if so provided, may be determined from time to time by the Company with respect to unissued Securities of the series when issued from time to time, as provided in Section 3.03): </w:t>
      </w:r>
    </w:p>
    <w:p>
      <w:pPr>
        <w:pStyle w:val="TextBody"/>
        <w:bidi w:val="0"/>
        <w:spacing w:before="120" w:after="0"/>
        <w:jc w:val="left"/>
        <w:rPr>
          <w:rFonts w:ascii="Times New Roman" w:hAnsi="Times New Roman"/>
          <w:sz w:val="20"/>
        </w:rPr>
      </w:pPr>
      <w:r>
        <w:rPr>
          <w:rFonts w:ascii="Times New Roman" w:hAnsi="Times New Roman"/>
          <w:sz w:val="20"/>
        </w:rPr>
        <w:t xml:space="preserve">(i) the title of the Securities of the series including CUSIP numbers (which shall distinguish the Securities of such series from all other series of Securities); </w:t>
      </w:r>
    </w:p>
    <w:p>
      <w:pPr>
        <w:pStyle w:val="TextBody"/>
        <w:bidi w:val="0"/>
        <w:spacing w:before="120" w:after="0"/>
        <w:jc w:val="left"/>
        <w:rPr>
          <w:rFonts w:ascii="Times New Roman" w:hAnsi="Times New Roman"/>
          <w:sz w:val="20"/>
        </w:rPr>
      </w:pPr>
      <w:r>
        <w:rPr>
          <w:rFonts w:ascii="Times New Roman" w:hAnsi="Times New Roman"/>
          <w:sz w:val="20"/>
        </w:rPr>
        <w:t xml:space="preserve">(ii) 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3.04, 3.05, 3.06, 9.06, 11.07 or 13.05, and except for any Securities which, pursuant to Section 3.03, are deemed never to have been authenticated and delivered hereunder); </w:t>
      </w:r>
    </w:p>
    <w:p>
      <w:pPr>
        <w:pStyle w:val="TextBody"/>
        <w:bidi w:val="0"/>
        <w:spacing w:before="120" w:after="0"/>
        <w:jc w:val="left"/>
        <w:rPr>
          <w:rFonts w:ascii="Times New Roman" w:hAnsi="Times New Roman"/>
          <w:sz w:val="20"/>
        </w:rPr>
      </w:pPr>
      <w:r>
        <w:rPr>
          <w:rFonts w:ascii="Times New Roman" w:hAnsi="Times New Roman"/>
          <w:sz w:val="20"/>
        </w:rPr>
        <w:t xml:space="preserve">(iii) the date or dates, or the method by which such date or dates will be determined or extended, on which the principal of the Securities of the series shall be payable; </w:t>
      </w:r>
    </w:p>
    <w:p>
      <w:pPr>
        <w:pStyle w:val="TextBody"/>
        <w:bidi w:val="0"/>
        <w:spacing w:before="120" w:after="0"/>
        <w:jc w:val="left"/>
        <w:rPr>
          <w:rFonts w:ascii="Times New Roman" w:hAnsi="Times New Roman"/>
          <w:sz w:val="20"/>
        </w:rPr>
      </w:pPr>
      <w:r>
        <w:rPr>
          <w:rFonts w:ascii="Times New Roman" w:hAnsi="Times New Roman"/>
          <w:sz w:val="20"/>
        </w:rPr>
        <w:t xml:space="preserve">(iv) the rate or rates at which the Securities of the series shall bear interest, if any, or the method by which such rate or rates shall be determined, the date or dates from which such interest shall accrue or the method by which such date or dates shall be determined, the Interest Payment Dates on which such interest will be payable and the Regular Record Date, if any, for the interest payable on any Registered Security on any Interest Payment Date, or the method by which such date shall be determined, and the basis upon which such interest shall be calculated if other than that of a 360-day year of twelve 30-day months;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the place or places, if any, other than or in addition to the Corporate Trust Office, where the principal of (and premium, if any) and interest, if any, on Securities of the series shall be payable, any Registered Securities of the series may be surrendered for registration of transfer, Securities of the series may be surrendered for exchange, where Securities of that series that are convertible or exchangeable may be surrendered for conversion or exchange, as applicable, and where notices or demands to or upon the Company in respect of the Securities of the series and this Indenture may be served; </w:t>
      </w:r>
    </w:p>
    <w:p>
      <w:pPr>
        <w:pStyle w:val="TextBody"/>
        <w:bidi w:val="0"/>
        <w:spacing w:before="120" w:after="0"/>
        <w:jc w:val="left"/>
        <w:rPr>
          <w:rFonts w:ascii="Times New Roman" w:hAnsi="Times New Roman"/>
          <w:sz w:val="20"/>
        </w:rPr>
      </w:pPr>
      <w:r>
        <w:rPr>
          <w:rFonts w:ascii="Times New Roman" w:hAnsi="Times New Roman"/>
          <w:sz w:val="20"/>
        </w:rPr>
        <w:t xml:space="preserve">(vi) the period or periods within which, or the date or dates on which, the price or prices at which, the Currency or Currencies in which, and other terms and conditions upon which Securities of the series may be redeemed, in whole or in part, at the option of the Company, if the Company is to have the option; </w:t>
      </w:r>
    </w:p>
    <w:p>
      <w:pPr>
        <w:pStyle w:val="TextBody"/>
        <w:bidi w:val="0"/>
        <w:spacing w:before="120" w:after="0"/>
        <w:jc w:val="left"/>
        <w:rPr>
          <w:rFonts w:ascii="Times New Roman" w:hAnsi="Times New Roman"/>
          <w:sz w:val="20"/>
        </w:rPr>
      </w:pPr>
      <w:r>
        <w:rPr>
          <w:rFonts w:ascii="Times New Roman" w:hAnsi="Times New Roman"/>
          <w:sz w:val="20"/>
        </w:rPr>
        <w:t xml:space="preserve">(vii) the obligation, if any, of the Company to redeem, repay or purchase Securities of the series pursuant to any sinking fund or analogous provision or at the option of a Holder thereof, and the period or periods within which or the date or dates on which, the price or prices at which, the Currency or Currencies in which, and other terms and conditions upon which Securities of the series shall be redeemed, repaid or purchased, in whole or in part, pursuant to such obligation; </w:t>
      </w:r>
    </w:p>
    <w:p>
      <w:pPr>
        <w:pStyle w:val="TextBody"/>
        <w:bidi w:val="0"/>
        <w:spacing w:before="120" w:after="0"/>
        <w:jc w:val="left"/>
        <w:rPr>
          <w:rFonts w:ascii="Times New Roman" w:hAnsi="Times New Roman"/>
          <w:sz w:val="20"/>
        </w:rPr>
      </w:pPr>
      <w:r>
        <w:rPr>
          <w:rFonts w:ascii="Times New Roman" w:hAnsi="Times New Roman"/>
          <w:sz w:val="20"/>
        </w:rPr>
        <w:t xml:space="preserve">(viii) if other than denominations of $1,000 and any integral multiple thereof, the denomination or denominations in which any Registered Securities of the series shall be issuable; </w:t>
      </w:r>
    </w:p>
    <w:p>
      <w:pPr>
        <w:pStyle w:val="TextBody"/>
        <w:bidi w:val="0"/>
        <w:spacing w:before="120" w:after="0"/>
        <w:jc w:val="left"/>
        <w:rPr>
          <w:rFonts w:ascii="Times New Roman" w:hAnsi="Times New Roman"/>
          <w:sz w:val="20"/>
        </w:rPr>
      </w:pPr>
      <w:r>
        <w:rPr>
          <w:rFonts w:ascii="Times New Roman" w:hAnsi="Times New Roman"/>
          <w:sz w:val="20"/>
        </w:rPr>
        <w:t xml:space="preserve">(ix) if other than the Trustee, the identity of each Security Registrar, Depositary Custodian, and/or Paying Agent; </w:t>
      </w:r>
    </w:p>
    <w:p>
      <w:pPr>
        <w:pStyle w:val="TextBody"/>
        <w:bidi w:val="0"/>
        <w:spacing w:before="120" w:after="0"/>
        <w:jc w:val="left"/>
        <w:rPr>
          <w:rFonts w:ascii="Times New Roman" w:hAnsi="Times New Roman"/>
          <w:sz w:val="20"/>
        </w:rPr>
      </w:pPr>
      <w:r>
        <w:rPr>
          <w:rFonts w:ascii="Times New Roman" w:hAnsi="Times New Roman"/>
          <w:sz w:val="20"/>
        </w:rPr>
        <w:t xml:space="preserve">(x) if other than the principal amount thereof, the portion of the principal amount of Securities of the series that shall be payable upon declaration of acceleration of the Maturity thereof pursuant to Section 5.02, upon redemption of the Securities of the series which are redeemable before their Stated Maturity, upon surrender for repayment at the option of the Holder, or which the Trustee shall be entitled to claim pursuant to Section 5.04 or the method by which such portion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(xi) if other than Dollars, the Currency or Currencies in which payment of the principal of (or premium, if any) or interest, if any, on the Securities of the series shall be made or in which the Securities of the series shall be denominated and the particular provisions applicable thereto in accordance with, in addition to or in lieu of any of the provisions of Section 3.12; </w:t>
      </w:r>
    </w:p>
    <w:p>
      <w:pPr>
        <w:pStyle w:val="TextBody"/>
        <w:bidi w:val="0"/>
        <w:spacing w:before="120" w:after="0"/>
        <w:jc w:val="left"/>
        <w:rPr>
          <w:rFonts w:ascii="Times New Roman" w:hAnsi="Times New Roman"/>
          <w:sz w:val="20"/>
        </w:rPr>
      </w:pPr>
      <w:r>
        <w:rPr>
          <w:rFonts w:ascii="Times New Roman" w:hAnsi="Times New Roman"/>
          <w:sz w:val="20"/>
        </w:rPr>
        <w:t xml:space="preserve">(xii) whether the amount of payments of principal of (or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 </w:t>
      </w:r>
    </w:p>
    <w:p>
      <w:pPr>
        <w:pStyle w:val="TextBody"/>
        <w:bidi w:val="0"/>
        <w:spacing w:before="120" w:after="0"/>
        <w:jc w:val="left"/>
        <w:rPr>
          <w:rFonts w:ascii="Times New Roman" w:hAnsi="Times New Roman"/>
          <w:sz w:val="20"/>
        </w:rPr>
      </w:pPr>
      <w:r>
        <w:rPr>
          <w:rFonts w:ascii="Times New Roman" w:hAnsi="Times New Roman"/>
          <w:sz w:val="20"/>
        </w:rPr>
        <w:t xml:space="preserve">(xiii) whether the principal of (or premium, if any) or interest, if any, on the Securities of the series are to be payable, at the election of the Company or a Holder thereof, in one or more Currencies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or Currencies in which such Securities are denominated or stated to be payable and the Currency or Currencies in which such Securities are to be paid, in each case in accordance with, in addition to or in lieu of any of the provisions of Section 3.12;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(xiv) provisions, if any, granting special rights to the Holders of Securities of the series, including, without limitation, with respect to any collateral securing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(xv) any deletions from, modifications of or additions to the Events of Default or covenants (including any deletions from, modifications of or additions to any of the provisions of Section 10.06) of the Company with respect to Securities of the series, whether or not such Events of Default or covenants are consistent with the Events of Default or covenants set forth herein; </w:t>
      </w:r>
    </w:p>
    <w:p>
      <w:pPr>
        <w:pStyle w:val="TextBody"/>
        <w:bidi w:val="0"/>
        <w:spacing w:before="120" w:after="0"/>
        <w:jc w:val="left"/>
        <w:rPr>
          <w:rFonts w:ascii="Times New Roman" w:hAnsi="Times New Roman"/>
          <w:sz w:val="20"/>
        </w:rPr>
      </w:pPr>
      <w:r>
        <w:rPr>
          <w:rFonts w:ascii="Times New Roman" w:hAnsi="Times New Roman"/>
          <w:sz w:val="20"/>
        </w:rPr>
        <w:t xml:space="preserve">(xvi)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in certificated form and of like tenor of any authorized form and denomination and the circumstances under which any such exchanges may occur, if other than in the manner provided in Section 3.05, and the circumstances under which and the place or places where such exchanges may be made and if Securities of the series are to be issuable as a global Security, the identity of the depositary for such series; </w:t>
      </w:r>
    </w:p>
    <w:p>
      <w:pPr>
        <w:pStyle w:val="TextBody"/>
        <w:bidi w:val="0"/>
        <w:spacing w:before="120" w:after="0"/>
        <w:jc w:val="left"/>
        <w:rPr>
          <w:rFonts w:ascii="Times New Roman" w:hAnsi="Times New Roman"/>
          <w:sz w:val="20"/>
        </w:rPr>
      </w:pPr>
      <w:r>
        <w:rPr>
          <w:rFonts w:ascii="Times New Roman" w:hAnsi="Times New Roman"/>
          <w:sz w:val="20"/>
        </w:rPr>
        <w:t xml:space="preserve">(xvii) the date as of which any temporary global Security representing Outstanding Securities of the series shall be dated if other than the date of original issuance of the first Security of the series to be issued; </w:t>
      </w:r>
    </w:p>
    <w:p>
      <w:pPr>
        <w:pStyle w:val="TextBody"/>
        <w:bidi w:val="0"/>
        <w:spacing w:before="120" w:after="0"/>
        <w:jc w:val="left"/>
        <w:rPr>
          <w:rFonts w:ascii="Times New Roman" w:hAnsi="Times New Roman"/>
          <w:sz w:val="20"/>
        </w:rPr>
      </w:pPr>
      <w:r>
        <w:rPr>
          <w:rFonts w:ascii="Times New Roman" w:hAnsi="Times New Roman"/>
          <w:sz w:val="20"/>
        </w:rPr>
        <w:t xml:space="preserve">(xviii) the Person to whom any interest on any Registered Security of the series shall be payable, if other than the Person in whose name such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 and the extent to which, or the manner in which, any interest payable on a permanent global Security on an Interest Payment Date will be paid if other than in the manner provided in Section 3.07; </w:t>
      </w:r>
    </w:p>
    <w:p>
      <w:pPr>
        <w:pStyle w:val="TextBody"/>
        <w:bidi w:val="0"/>
        <w:spacing w:before="120" w:after="0"/>
        <w:jc w:val="left"/>
        <w:rPr>
          <w:rFonts w:ascii="Times New Roman" w:hAnsi="Times New Roman"/>
          <w:sz w:val="20"/>
        </w:rPr>
      </w:pPr>
      <w:r>
        <w:rPr>
          <w:rFonts w:ascii="Times New Roman" w:hAnsi="Times New Roman"/>
          <w:sz w:val="20"/>
        </w:rPr>
        <w:t xml:space="preserve">(xix) the applicability, if any, of Sections 14.02 and/or 14.03 to the Securities of the series and any provisions in modification of, in addition to or in lieu of any of the provisions of Article Fourteen; </w:t>
      </w:r>
    </w:p>
    <w:p>
      <w:pPr>
        <w:pStyle w:val="TextBody"/>
        <w:bidi w:val="0"/>
        <w:spacing w:before="120" w:after="0"/>
        <w:jc w:val="left"/>
        <w:rPr>
          <w:rFonts w:ascii="Times New Roman" w:hAnsi="Times New Roman"/>
          <w:sz w:val="20"/>
        </w:rPr>
      </w:pPr>
      <w:r>
        <w:rPr>
          <w:rFonts w:ascii="Times New Roman" w:hAnsi="Times New Roman"/>
          <w:sz w:val="20"/>
        </w:rPr>
        <w:t xml:space="preserve">(xx) if the Securities of such series are to be issuable in definitive form (whether upon original issue or upon exchange of a temporary Security of such series) only upon receipt of certain certificates or other documents or satisfaction of other conditions, then the form and/or terms of such certificates, documents or conditions; </w:t>
      </w:r>
    </w:p>
    <w:p>
      <w:pPr>
        <w:pStyle w:val="TextBody"/>
        <w:bidi w:val="0"/>
        <w:spacing w:before="120" w:after="0"/>
        <w:jc w:val="left"/>
        <w:rPr>
          <w:rFonts w:ascii="Times New Roman" w:hAnsi="Times New Roman"/>
          <w:sz w:val="20"/>
        </w:rPr>
      </w:pPr>
      <w:r>
        <w:rPr>
          <w:rFonts w:ascii="Times New Roman" w:hAnsi="Times New Roman"/>
          <w:sz w:val="20"/>
        </w:rPr>
        <w:t xml:space="preserve">(xxi) whether, under what circumstances and the Currency in which, the Company will pay Additional Amounts as contemplated by Section 10.04 on the Securities of the series to any Holder who is not a United States Person (including any modification to the definition of such term) in respect of any tax, assessment or governmental charge and, if so, whether the Company will have the option to redeem such Securities rather than pay such Additional Amounts (and the terms of any such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(xxii) the designation of the initial Exchange Rate Agent, if any; </w:t>
      </w:r>
    </w:p>
    <w:p>
      <w:pPr>
        <w:pStyle w:val="TextBody"/>
        <w:bidi w:val="0"/>
        <w:spacing w:before="120" w:after="0"/>
        <w:jc w:val="left"/>
        <w:rPr>
          <w:rFonts w:ascii="Times New Roman" w:hAnsi="Times New Roman"/>
          <w:sz w:val="20"/>
        </w:rPr>
      </w:pPr>
      <w:r>
        <w:rPr>
          <w:rFonts w:ascii="Times New Roman" w:hAnsi="Times New Roman"/>
          <w:sz w:val="20"/>
        </w:rPr>
        <w:t xml:space="preserve">(xxiii) if the Securities of the series are to be issued upon the exercise of warrants, the time, manner and place for such Securities to be authenticated and delivered; </w:t>
      </w:r>
    </w:p>
    <w:p>
      <w:pPr>
        <w:pStyle w:val="TextBody"/>
        <w:bidi w:val="0"/>
        <w:spacing w:before="120" w:after="0"/>
        <w:jc w:val="left"/>
        <w:rPr>
          <w:rFonts w:ascii="Times New Roman" w:hAnsi="Times New Roman"/>
          <w:sz w:val="20"/>
        </w:rPr>
      </w:pPr>
      <w:r>
        <w:rPr>
          <w:rFonts w:ascii="Times New Roman" w:hAnsi="Times New Roman"/>
          <w:sz w:val="20"/>
        </w:rPr>
        <w:t xml:space="preserve">(xxiv) if the Securities of the series are to be convertible into or exchangeable for any securities of any Person (including the Company), the terms and conditions upon which such Securities will be so convertible or exchangeable; </w:t>
      </w:r>
    </w:p>
    <w:p>
      <w:pPr>
        <w:pStyle w:val="TextBody"/>
        <w:bidi w:val="0"/>
        <w:spacing w:before="120" w:after="0"/>
        <w:jc w:val="left"/>
        <w:rPr>
          <w:rFonts w:ascii="Times New Roman" w:hAnsi="Times New Roman"/>
          <w:sz w:val="20"/>
        </w:rPr>
      </w:pPr>
      <w:r>
        <w:rPr>
          <w:rFonts w:ascii="Times New Roman" w:hAnsi="Times New Roman"/>
          <w:sz w:val="20"/>
        </w:rPr>
        <w:t xml:space="preserve">(xxv) if the Securities of the series are to be listed on a securities exchange, the name of such exchange may be indicated; and </w:t>
      </w:r>
    </w:p>
    <w:p>
      <w:pPr>
        <w:pStyle w:val="TextBody"/>
        <w:bidi w:val="0"/>
        <w:spacing w:before="120" w:after="0"/>
        <w:jc w:val="left"/>
        <w:rPr>
          <w:rFonts w:ascii="Times New Roman" w:hAnsi="Times New Roman"/>
          <w:sz w:val="20"/>
        </w:rPr>
      </w:pPr>
      <w:r>
        <w:rPr>
          <w:rFonts w:ascii="Times New Roman" w:hAnsi="Times New Roman"/>
          <w:sz w:val="20"/>
        </w:rPr>
        <w:t xml:space="preserve">(xxvi) any other terms of the series (which terms shall not be inconsistent with the provisions of this Indenture or the requirements of the Trust Indenture Act, except as permitted by Section 9.01(v)), including, but not limited to, secured Securities and guarantees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shall be substantially identical except as to denomination and except as may otherwise be provided in or pursuant to the Board Resolution referred to above (subject to Section 3.03) and set forth in the Officers Certificate referred to above or in any such indenture supplemental hereto. No Board Resolution or Officers Certificate may affect the Trustees own rights, duties or immunities under this Indenture or otherwise with respect to any series of Securities except as it may agree in writing.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of any one series need not be issued at the same time and, unless otherwise provided, a series may be reopened, without the consent of the Holders, for issuances of additional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If any of the terms of the Securities of any series are established by action taken pursuant to one or more Board Resolutions, a copy of an appropriate record of such action(s) shall be certified by the Secretary or an Assistant Secretary of the Company and delivered to the Trustee at or prior to the delivery of the Officers Certificate setting forth the terms of the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be responsible for making calculations called for under the Securities and this Indenture, including but not limited to determination of interest, additional interest, Additional Amounts, Redemption Price, Repayment Price, applicable premium, make whole Amount, premium, if any, and any other amounts payable on the Securities. The Company will make the calculations in good faith and, absent manifest error, its calculations will be final and binding on the Holders. The Company will provide a schedule of its calculations to the Trustee when requested by the Trustee, and the Trustee is entitled to rely conclusively on the accuracy of the Companys calculations without independent verification. The Trustee shall forward the Companys calculations to any Holder of the Securities upon the written request of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3.02. </w:t>
      </w:r>
      <w:r>
        <w:rPr>
          <w:rFonts w:ascii="Times New Roman" w:hAnsi="Times New Roman"/>
          <w:sz w:val="20"/>
          <w:u w:val="single"/>
        </w:rPr>
        <w:t>Denominations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each series shall be issuable in such denominations as shall be specified as contemplated by Section 3.01. With respect to Securities of any series denominated in Dollars, in the absence of any such provisions with respect to the Securities of any series, the Registered Securities of such series, other than Registered Securities issued in global form (which may be of any denomination), shall be issuable in denominations of $1,000 and any integral multiple thereof. </w:t>
      </w:r>
    </w:p>
    <w:p>
      <w:pPr>
        <w:pStyle w:val="TextBody"/>
        <w:bidi w:val="0"/>
        <w:spacing w:before="240" w:after="0"/>
        <w:jc w:val="left"/>
        <w:rPr>
          <w:rFonts w:ascii="Times New Roman" w:hAnsi="Times New Roman"/>
          <w:sz w:val="20"/>
        </w:rPr>
      </w:pPr>
      <w:r>
        <w:rPr>
          <w:rFonts w:ascii="Times New Roman" w:hAnsi="Times New Roman"/>
          <w:sz w:val="20"/>
        </w:rPr>
        <w:t>Section 3.03. </w:t>
      </w:r>
      <w:r>
        <w:rPr>
          <w:rFonts w:ascii="Times New Roman" w:hAnsi="Times New Roman"/>
          <w:sz w:val="20"/>
          <w:u w:val="single"/>
        </w:rPr>
        <w:t>Execution, Authentication, Delivery and Dating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shall be executed on behalf of the Company by a Chief Executive Officer, the Chief Financial Officer, Chief Operating Officer, Chief Compliance Officer, Secretary or one of its Presidents or Vice Presidents. The signature of any of these officers on the Securities may be manual or by facsimile, .pdf attachment or other electronically transmitted signature of the present or any future such authorized officer and may be imprinted or otherwise reproduced on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Securities bearing the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all the Securities of any series are not to be issued at one time and if the Board Resolution or supplemental indenture establishing such series shall so permit, such Company Order may set forth procedures acceptable to the Trustee for the issuance of such Securities and determining the terms of particular Securities of such series, such as interest rate, maturity date, date of issuance and date from which interest shall accrue. In authenticating such Securities, and accepting the additional responsibilities under this Indenture in relation to such Securities, the Trustee shall receive, and (subject to TIA Section 315(a) through 315(d)) shall be fully protected in relying upon, </w:t>
      </w:r>
    </w:p>
    <w:p>
      <w:pPr>
        <w:pStyle w:val="TextBody"/>
        <w:bidi w:val="0"/>
        <w:spacing w:before="240" w:after="0"/>
        <w:jc w:val="left"/>
        <w:rPr>
          <w:rFonts w:ascii="Times New Roman" w:hAnsi="Times New Roman"/>
          <w:sz w:val="20"/>
        </w:rPr>
      </w:pPr>
      <w:r>
        <w:rPr>
          <w:rFonts w:ascii="Times New Roman" w:hAnsi="Times New Roman"/>
          <w:sz w:val="20"/>
        </w:rPr>
        <w:t xml:space="preserve">(a) an Opinion of Counsel stating, </w:t>
      </w:r>
    </w:p>
    <w:p>
      <w:pPr>
        <w:pStyle w:val="TextBody"/>
        <w:bidi w:val="0"/>
        <w:spacing w:before="120" w:after="0"/>
        <w:jc w:val="left"/>
        <w:rPr>
          <w:rFonts w:ascii="Times New Roman" w:hAnsi="Times New Roman"/>
          <w:sz w:val="20"/>
        </w:rPr>
      </w:pPr>
      <w:r>
        <w:rPr>
          <w:rFonts w:ascii="Times New Roman" w:hAnsi="Times New Roman"/>
          <w:sz w:val="20"/>
        </w:rPr>
        <w:t xml:space="preserve">(i) that the form or forms of such Securities have been established in conformity with the provisions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that the terms of such Securities have been established in conformity with the provisions of this Indenture; and </w:t>
      </w:r>
    </w:p>
    <w:p>
      <w:pPr>
        <w:pStyle w:val="TextBody"/>
        <w:bidi w:val="0"/>
        <w:spacing w:before="120" w:after="0"/>
        <w:jc w:val="left"/>
        <w:rPr>
          <w:rFonts w:ascii="Times New Roman" w:hAnsi="Times New Roman"/>
          <w:sz w:val="20"/>
        </w:rPr>
      </w:pPr>
      <w:r>
        <w:rPr>
          <w:rFonts w:ascii="Times New Roman" w:hAnsi="Times New Roman"/>
          <w:sz w:val="20"/>
        </w:rPr>
        <w:t xml:space="preserve">(iii) that this Indenture and such Securities, when completed by appropriate insertions and executed and delivered by the Company to the Trustee for authentication in accordance with this Indenture, authenticated and delivered by the Trustee in accordance with this Indenture and issued by the Company in the manner and subject to any conditions specified in such Opinion of Counsel, will constitute legal, valid and binding obligations of the Company, enforceable in accordance with their terms, subject to applicable bankruptcy, insolvency, reorganization and other similar laws of general applicability relating to or affecting the enforcement of creditors rights, to general equitable principles and to such other qualifications as such counsel shall conclude do not materially affect the rights of Holders of such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an Officers Certificate stating, to the best of the knowledge of the signers of such certificate, that no Event of Default with respect to any of the Securities shall have occurred and be continuing. </w:t>
      </w:r>
    </w:p>
    <w:p>
      <w:pPr>
        <w:pStyle w:val="TextBody"/>
        <w:bidi w:val="0"/>
        <w:spacing w:before="240" w:after="0"/>
        <w:jc w:val="left"/>
        <w:rPr>
          <w:rFonts w:ascii="Times New Roman" w:hAnsi="Times New Roman"/>
          <w:sz w:val="20"/>
        </w:rPr>
      </w:pPr>
      <w:r>
        <w:rPr>
          <w:rFonts w:ascii="Times New Roman" w:hAnsi="Times New Roman"/>
          <w:sz w:val="20"/>
        </w:rPr>
        <w:t xml:space="preserve">If such form or terms have been so established, the Trustee shall not be required to authenticate such Securities if the issue of such Securities pursuant to this Indenture will affect the Trustees own rights, duties, obligations or immunities under the Securities and this Indenture or otherwise in a manner that is not reasonably acceptable to the Trustee. Notwithstanding the generality of the foregoing, the Trustee will not be required to authenticate Securities denominated in a Foreign Currency if the Trustee reasonably believes that it would be unable to perform its duties with respect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Each Security shall be dated the date of its authentication. </w:t>
      </w:r>
    </w:p>
    <w:p>
      <w:pPr>
        <w:pStyle w:val="TextBody"/>
        <w:bidi w:val="0"/>
        <w:spacing w:before="240" w:after="0"/>
        <w:jc w:val="left"/>
        <w:rPr>
          <w:rFonts w:ascii="Times New Roman" w:hAnsi="Times New Roman"/>
          <w:sz w:val="20"/>
        </w:rPr>
      </w:pPr>
      <w:r>
        <w:rPr>
          <w:rFonts w:ascii="Times New Roman" w:hAnsi="Times New Roman"/>
          <w:sz w:val="20"/>
        </w:rPr>
        <w:t xml:space="preserve">No Security shall be entitled to any benefit under this Indenture or be valid or obligatory for any purpose until authenticated substantially in the form set out in Section 2.02 by the Trustee or an Authenticating Agent by manual signature of an authorized signatory,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 for cancellation as provided in Section 3.10 together with a written statement (which need not comply with Section 1.02 and need not be accompanied by an Opinion of Counsel) stating that such Security has never been issued and sold by the Company, for all purposes of this Indenture such Security shall be deemed never to have been authenticated and delivered hereunder and shall never be entitled to the benefits of this Indenture. </w:t>
      </w:r>
    </w:p>
    <w:p>
      <w:pPr>
        <w:pStyle w:val="TextBody"/>
        <w:bidi w:val="0"/>
        <w:spacing w:before="240" w:after="0"/>
        <w:jc w:val="left"/>
        <w:rPr>
          <w:rFonts w:ascii="Times New Roman" w:hAnsi="Times New Roman"/>
          <w:sz w:val="20"/>
        </w:rPr>
      </w:pPr>
      <w:r>
        <w:rPr>
          <w:rFonts w:ascii="Times New Roman" w:hAnsi="Times New Roman"/>
          <w:sz w:val="20"/>
        </w:rPr>
        <w:t>The Company initially appoints The Depository Trust Company (</w:t>
      </w:r>
      <w:r>
        <w:rPr>
          <w:rFonts w:ascii="Times New Roman" w:hAnsi="Times New Roman"/>
          <w:sz w:val="20"/>
          <w:u w:val="single"/>
        </w:rPr>
        <w:t>DTC</w:t>
      </w:r>
      <w:r>
        <w:rPr>
          <w:rFonts w:ascii="Times New Roman" w:hAnsi="Times New Roman"/>
          <w:sz w:val="20"/>
        </w:rPr>
        <w:t xml:space="preserve">) to act as Depositary with respect to the global Securities and the Trustee as Depositary Custodian. The Company has entered into a letter of representations with the Depositary in the form provided by the Depositary and the Trustee and each Agent are hereby authorized to act in accordance with such letter and Applicable Procedures.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3.04. </w:t>
      </w:r>
      <w:r>
        <w:rPr>
          <w:rFonts w:ascii="Times New Roman" w:hAnsi="Times New Roman"/>
          <w:sz w:val="20"/>
          <w:u w:val="single"/>
        </w:rPr>
        <w:t>Temporary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Pending the preparation of definitive Securities of any series, the Company may execute, and upon Company Order the Trustee shall authenticate and deliver, temporary Securities that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officers executing such Securities may determine, as conclusively evidenced by their execution of such Securities. In the case of Securities of any series, such temporary Securities may be in global form. </w:t>
      </w:r>
    </w:p>
    <w:p>
      <w:pPr>
        <w:pStyle w:val="TextBody"/>
        <w:bidi w:val="0"/>
        <w:spacing w:before="240" w:after="0"/>
        <w:jc w:val="left"/>
        <w:rPr>
          <w:rFonts w:ascii="Times New Roman" w:hAnsi="Times New Roman"/>
          <w:sz w:val="20"/>
        </w:rPr>
      </w:pPr>
      <w:r>
        <w:rPr>
          <w:rFonts w:ascii="Times New Roman" w:hAnsi="Times New Roman"/>
          <w:sz w:val="20"/>
        </w:rPr>
        <w:t xml:space="preserve">Except in the case of temporary Securities in global form (which shall be exchanged as provided in or pursuant to a Board Resolution),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a like principal amount and like tenor of definitive Securities of the same series of authorized denominations. Until so exchanged, the temporary Securities of any series shall in all respects be entitled to the same benefits under this Indenture as definitive Securities of such series. </w:t>
      </w:r>
    </w:p>
    <w:p>
      <w:pPr>
        <w:pStyle w:val="TextBody"/>
        <w:bidi w:val="0"/>
        <w:spacing w:before="240" w:after="0"/>
        <w:jc w:val="left"/>
        <w:rPr>
          <w:rFonts w:ascii="Times New Roman" w:hAnsi="Times New Roman"/>
          <w:sz w:val="20"/>
        </w:rPr>
      </w:pPr>
      <w:r>
        <w:rPr>
          <w:rFonts w:ascii="Times New Roman" w:hAnsi="Times New Roman"/>
          <w:sz w:val="20"/>
        </w:rPr>
        <w:t>Section 3.05. </w:t>
      </w:r>
      <w:r>
        <w:rPr>
          <w:rFonts w:ascii="Times New Roman" w:hAnsi="Times New Roman"/>
          <w:sz w:val="20"/>
          <w:u w:val="single"/>
        </w:rPr>
        <w:t>Registration, Registration of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shall cause to be kept at the Corporate Trust Office of the Trustee or in any office or agency of the Company in a Place of Payment a register for each series of Securities (the registers maintained in such office or in any such office or agency of the Company in a Place of Payment being herein sometimes referred to collectively as the </w:t>
      </w:r>
      <w:r>
        <w:rPr>
          <w:rFonts w:ascii="Times New Roman" w:hAnsi="Times New Roman"/>
          <w:sz w:val="20"/>
          <w:u w:val="single"/>
        </w:rPr>
        <w:t>Security Register</w:t>
      </w:r>
      <w:r>
        <w:rPr>
          <w:rFonts w:ascii="Times New Roman" w:hAnsi="Times New Roman"/>
          <w:sz w:val="20"/>
        </w:rPr>
        <w:t xml:space="preserve">) in which, subject to such reasonable regulations as it may prescribe, the Company shall provide for the registration of Registered Securities and of transfers of Registered Securities. The Security Register shall be in written form or any other form capable of being converted into written form within a reasonable time. The Trustee, at its Corporate Trust Office, is hereby initially appointed Security Registrar for the purpose of registering Registered Securities and transfers of Registered Securities on such Security Register as herein provided, and for facilitating exchanges of temporary global Securities for permanent global Securities or definitive Securities, or both, or of permanent global Securities for definitive Securities, or both, as herein provided. In the event that the Trustee shall cease to be Security Registrar, it shall have the right to examine the Security Register at all reasonable times.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for registration of transfer of any Registered Security of any series to the Security Registrar or any co-Security Registrar, and satisfaction of the requirements for such transfer set forth in this Section 3.05, the Company shall execute, and the Trustee shall, upon receipt of a Company Order, authenticate and deliver, in the name of the designated transferee or transferees, one or more new Registered Securities of the same series, of any authorized denominations and of a like aggregate principal amount, bearing a number not contemporaneously outstanding and containing identical terms and provisions.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the option of the Holder, Registered Securities of any series may be exchanged for other Registered Securities of the same series, of any authorized denomination or denominations and of a like aggregate principal amount, containing identical terms and provisions, upon surrender of the Registered Securities to be exchanged at any such office or agency. Whenever any Registered Securities are so surrendered for exchange, the Company shall execute, and the Trustee shall authenticate and deliver, the Registered Securities that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 xml:space="preserve">Whenever any Securities are so surrendered for exchange, the Company shall execute, and the Trustee, upon receipt of a Company Order, shall authenticate and deliver, the Securities that the Holder making the exchange is entitled to receive. </w:t>
      </w:r>
    </w:p>
    <w:p>
      <w:pPr>
        <w:pStyle w:val="TextBody"/>
        <w:bidi w:val="0"/>
        <w:spacing w:before="240" w:after="0"/>
        <w:jc w:val="left"/>
        <w:rPr>
          <w:rFonts w:ascii="Times New Roman" w:hAnsi="Times New Roman"/>
          <w:sz w:val="20"/>
        </w:rPr>
      </w:pPr>
      <w:r>
        <w:rPr>
          <w:rFonts w:ascii="Times New Roman" w:hAnsi="Times New Roman"/>
          <w:sz w:val="20"/>
        </w:rPr>
        <w:t>Notwithstanding the foregoing, except as otherwise specified as contemplated by Section 3.01 and 2.04, any permanent global Security shall be exchangeable only as provided in this paragraph. If any beneficial owner of an interest in a permanent global Security is entitled to exchange such interest for Securities of such series and of like tenor and principal amount of another authorized form and denomination, as specified as contemplated by Section 3.01 and provided that any applicable notice provided in the permanent global Security shall have been given, then without unnecessary delay but in any event not later than the earliest date on which such interest may be so exchanged, the Company shall deliver to the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Trustee, as the Companys agent for such purpose, or to the Security Registrar, to be exchanged, in whole or from time to time in part, for definitive Securities of the same series without charge and the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 such exchanges may occur during a period beginning at the opening of business 15 days before any selection of Securities to be redeemed and ending on the relevant Redemption Date if the Security for which exchange is requested may be among those selected for redemption. If a Registered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or interest, as the case may be, will not be payable on such Interest Payment Date or proposed date for payment, as the case may be, in respect of such Registered Security, but will be payable on such Interest Payment Date or proposed date for payment, as the case may be, only to the Person to whom interest in respect of such portion of such permanent global Security is payable in accordance with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issued upon any registration of transfer or exchange of Securities shall be valid obligations of the Company, evidencing the same debt and entitled to the same benefits under this Indenture, as the Securities surrendered upon such registration of transfer or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Every Registered Security presented or surrendered for registration of transfer or for exchange shall (if so required by the Company or the Security Registrar or any transfer agent) be duly endorsed, or be accompanied by a written instrument of transfer in form satisfactory to the Company and the Security Registrar, duly executed by the Holder thereof or his attorney or any transfer agent duly authorized in writing.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registration of transfer or exchange of Securities, but the Company or the Trustee may require payment of a sum sufficient to cover any tax or other governmental charge that may be imposed in connection with any registration of transfer or exchange of Securities, other than exchanges pursuant to Section 3.04, 9.06, 11.07 or 13.05 not involving any transfer.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be required (i) to issue, register the transfer of or exchange any Security if such Security may be among those selected for redemption during a period beginning at the opening of business 15 days before selection of the Securities to be redeemed under Section 11.03 and ending at the close of business on the day the relevant notice of redemption is sent, or (ii) to register the transfer of or exchange any Registered Security so selected for redemption in whole or in part, except, in the case of any Registered Security to be redeemed in part, the portion thereof not to be redeemed, or (iii) to issue, register the transfer of or exchange any Security that has been surrendered for repayment at the option of the Holder, except the portion, if any, of such Security not to be so repaid. </w:t>
      </w:r>
    </w:p>
    <w:p>
      <w:pPr>
        <w:pStyle w:val="TextBody"/>
        <w:bidi w:val="0"/>
        <w:spacing w:before="240" w:after="0"/>
        <w:jc w:val="left"/>
        <w:rPr>
          <w:rFonts w:ascii="Times New Roman" w:hAnsi="Times New Roman"/>
          <w:sz w:val="20"/>
        </w:rPr>
      </w:pPr>
      <w:r>
        <w:rPr>
          <w:rFonts w:ascii="Times New Roman" w:hAnsi="Times New Roman"/>
          <w:sz w:val="20"/>
        </w:rPr>
        <w:t>Section 3.06. </w:t>
      </w:r>
      <w:r>
        <w:rPr>
          <w:rFonts w:ascii="Times New Roman" w:hAnsi="Times New Roman"/>
          <w:sz w:val="20"/>
          <w:u w:val="single"/>
        </w:rPr>
        <w:t>Mutilated, Destroyed, Lost and Stolen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any mutilated Security is surrendered to the Trustee or the Company, together with, in proper cases, such security or indemnity as may be required by the Company or the Trustee to save each of them or any agent of either of them harmless, the Company shall execute and the Trustee shall authenticate and deliver in exchange therefor a new Security of the same series and principal amount, containing identical terms and provisions and bearing a number not contemporaneously outstanding. </w:t>
      </w:r>
    </w:p>
    <w:p>
      <w:pPr>
        <w:pStyle w:val="TextBody"/>
        <w:bidi w:val="0"/>
        <w:spacing w:before="240" w:after="0"/>
        <w:jc w:val="left"/>
        <w:rPr>
          <w:rFonts w:ascii="Times New Roman" w:hAnsi="Times New Roman"/>
          <w:sz w:val="20"/>
        </w:rPr>
      </w:pPr>
      <w:r>
        <w:rPr>
          <w:rFonts w:ascii="Times New Roman" w:hAnsi="Times New Roman"/>
          <w:sz w:val="20"/>
        </w:rPr>
        <w:t xml:space="preserve">If there shall be delivered to the Company and to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protected purchaser, the Company shall, subject to the following paragraph, execute and upon its request the Trustee shall authenticate and deliver, in lieu of any such destroyed, lost or stolen Security, a new Security of the same series and principal amount, containing identical terms and provisions and bearing a number not contemporaneously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provisions of the previous two paragraphs, in case any such mutilated, destroyed, lost or stolen Security has become or is about to become due and payable, the Company in its discretion may, instead of issuing a new Security, pay such Security. </w:t>
      </w:r>
    </w:p>
    <w:p>
      <w:pPr>
        <w:pStyle w:val="TextBody"/>
        <w:bidi w:val="0"/>
        <w:spacing w:before="240" w:after="0"/>
        <w:jc w:val="left"/>
        <w:rPr>
          <w:rFonts w:ascii="Times New Roman" w:hAnsi="Times New Roman"/>
          <w:sz w:val="20"/>
        </w:rPr>
      </w:pPr>
      <w:r>
        <w:rPr>
          <w:rFonts w:ascii="Times New Roman" w:hAnsi="Times New Roman"/>
          <w:sz w:val="20"/>
        </w:rPr>
        <w:t xml:space="preserve">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 </w:t>
      </w:r>
    </w:p>
    <w:p>
      <w:pPr>
        <w:pStyle w:val="TextBody"/>
        <w:bidi w:val="0"/>
        <w:spacing w:before="240" w:after="0"/>
        <w:jc w:val="left"/>
        <w:rPr>
          <w:rFonts w:ascii="Times New Roman" w:hAnsi="Times New Roman"/>
          <w:sz w:val="20"/>
        </w:rPr>
      </w:pPr>
      <w:r>
        <w:rPr>
          <w:rFonts w:ascii="Times New Roman" w:hAnsi="Times New Roman"/>
          <w:sz w:val="20"/>
        </w:rPr>
        <w:t xml:space="preserve">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Section are exclusive and shall preclude (to the extent lawful) all other rights and remedies with respect to the replacement or payment of mutilated, destroyed, lost or stolen Securities. </w:t>
      </w:r>
    </w:p>
    <w:p>
      <w:pPr>
        <w:pStyle w:val="TextBody"/>
        <w:bidi w:val="0"/>
        <w:spacing w:before="240" w:after="0"/>
        <w:jc w:val="left"/>
        <w:rPr>
          <w:rFonts w:ascii="Times New Roman" w:hAnsi="Times New Roman"/>
          <w:sz w:val="20"/>
        </w:rPr>
      </w:pPr>
      <w:r>
        <w:rPr>
          <w:rFonts w:ascii="Times New Roman" w:hAnsi="Times New Roman"/>
          <w:sz w:val="20"/>
        </w:rPr>
        <w:t>Section 3.07. </w:t>
      </w:r>
      <w:r>
        <w:rPr>
          <w:rFonts w:ascii="Times New Roman" w:hAnsi="Times New Roman"/>
          <w:sz w:val="20"/>
          <w:u w:val="single"/>
        </w:rPr>
        <w:t>Payment of Interest; Interest Rights Preserved; Optional Interest Reset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Except as otherwise specified with respect to a series of Securities in accordance with the provisions of Section 3.01, interest, if any, on any Registered Security that is payable, and is punctually paid or duly provided for, on any Interest Payment Date shall be paid to the Person in whose name that Security (or one or more Predecessor Securities) is registered at the close of business on the Regular Record Date for such interest at the office or agency of the Company maintained for such purpose pursuant to Section 10.02;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each installment of interest, if any, on any Registered Security may at the Companys option be paid by (i) mailing a check for such interest, payable to or upon the written order of the Person entitled thereto pursuant to Section 3.09, to the address of such Person as it appears on the Security Register or (ii) transfer to an account maintained by the payee located in the United States. </w:t>
      </w:r>
    </w:p>
    <w:p>
      <w:pPr>
        <w:pStyle w:val="TextBody"/>
        <w:bidi w:val="0"/>
        <w:spacing w:before="240" w:after="0"/>
        <w:jc w:val="left"/>
        <w:rPr>
          <w:rFonts w:ascii="Times New Roman" w:hAnsi="Times New Roman"/>
          <w:sz w:val="20"/>
        </w:rPr>
      </w:pPr>
      <w:r>
        <w:rPr>
          <w:rFonts w:ascii="Times New Roman" w:hAnsi="Times New Roman"/>
          <w:sz w:val="20"/>
        </w:rPr>
        <w:t>Except as otherwise specified with respect to a series of Securities in accordance with the provisions of Section 3.01, any interest on any Registered Security of any series that is payable, but is not punctually paid or duly provided for, on any Interest Payment Date (herein called </w:t>
      </w:r>
      <w:r>
        <w:rPr>
          <w:rFonts w:ascii="Times New Roman" w:hAnsi="Times New Roman"/>
          <w:sz w:val="20"/>
          <w:u w:val="single"/>
        </w:rPr>
        <w:t>Defaulted Interest</w:t>
      </w:r>
      <w:r>
        <w:rPr>
          <w:rFonts w:ascii="Times New Roman" w:hAnsi="Times New Roman"/>
          <w:sz w:val="20"/>
        </w:rPr>
        <w:t xml:space="preserve">) shall forthwith cease to be payable to the registered Holder thereof on the relevant Regular Record Date by virtue of having been such Holder, and such Defaulted Interest may be paid by the Company, at its election in each case, as provided in clause (i) or (ii) below: </w:t>
      </w:r>
    </w:p>
    <w:p>
      <w:pPr>
        <w:pStyle w:val="TextBody"/>
        <w:bidi w:val="0"/>
        <w:spacing w:before="120" w:after="0"/>
        <w:jc w:val="left"/>
        <w:rPr>
          <w:rFonts w:ascii="Times New Roman" w:hAnsi="Times New Roman"/>
          <w:sz w:val="20"/>
        </w:rPr>
      </w:pPr>
      <w:r>
        <w:rPr>
          <w:rFonts w:ascii="Times New Roman" w:hAnsi="Times New Roman"/>
          <w:sz w:val="20"/>
        </w:rPr>
        <w:t xml:space="preserve">(i) The Company may elect to make payment of any Defaulted Interest to the Persons in whose names the Registered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Registered Security of such series and the date of the proposed payment (which shall not be less than 20 days after such notice is received by the Trustee), and at the same time the Company shall deposit with the Trustee an amount of money in the Currency in which the Securities of such series are payable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Company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in the name and at the expense of the Company, the Trustee shall cause notice of the proposed payment of such Defaulted Interest and the Special Record Date therefor to be sent pursuant to Applicable Procedures or mailed, first-class postage prepaid, to each Holder of Registered Securities of such series at his address as it appears in the Security Register not less than 10 days prior to such Special Record Date. Notice of the proposed payment of such Defaulted Interest and the Special Record Date therefor having been mailed or sent as aforesaid, such Defaulted Interest shall be paid to the Persons in whose names the Registered Securities of such series (or their respective Predecessor Securities) are registered at the close of business on such Special Record Date and shall no longer be payable pursuant to the following clause (ii).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may make payment of any Defaulted Interest on the Registered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(and certification by the Company that the proposed manner of payment complies with the requirements of this clause (ii)), such manner of payment shall be deemed practicable by the Trustee. </w:t>
      </w:r>
    </w:p>
    <w:p>
      <w:pPr>
        <w:pStyle w:val="TextBody"/>
        <w:bidi w:val="0"/>
        <w:spacing w:before="240" w:after="0"/>
        <w:jc w:val="left"/>
        <w:rPr>
          <w:rFonts w:ascii="Times New Roman" w:hAnsi="Times New Roman"/>
          <w:sz w:val="20"/>
        </w:rPr>
      </w:pPr>
      <w:r>
        <w:rPr>
          <w:rFonts w:ascii="Times New Roman" w:hAnsi="Times New Roman"/>
          <w:sz w:val="20"/>
        </w:rPr>
        <w:t>(b) 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Times New Roman" w:hAnsi="Times New Roman"/>
          <w:sz w:val="20"/>
          <w:u w:val="single"/>
        </w:rPr>
        <w:t>Optional Reset Date</w:t>
      </w:r>
      <w:r>
        <w:rPr>
          <w:rFonts w:ascii="Times New Roman" w:hAnsi="Times New Roman"/>
          <w:sz w:val="20"/>
        </w:rPr>
        <w:t>). The Company may exercise such option with respect to such Security by notifying the Trustee of such exercise at least 45 but not more than 60 days prior to an Optional Reset Date for such Security. Not later than 40 days prior to each Optional Reset Date, the Trustee shall transmit, in the manner provided for in Section 1.06, to the Holder of any such Security a notice (the </w:t>
      </w:r>
      <w:r>
        <w:rPr>
          <w:rFonts w:ascii="Times New Roman" w:hAnsi="Times New Roman"/>
          <w:sz w:val="20"/>
          <w:u w:val="single"/>
        </w:rPr>
        <w:t>Reset Notice</w:t>
      </w:r>
      <w:r>
        <w:rPr>
          <w:rFonts w:ascii="Times New Roman" w:hAnsi="Times New Roman"/>
          <w:sz w:val="20"/>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Times New Roman" w:hAnsi="Times New Roman"/>
          <w:sz w:val="20"/>
          <w:u w:val="single"/>
        </w:rPr>
        <w:t>Subsequent Interest Period</w:t>
      </w:r>
      <w:r>
        <w:rPr>
          <w:rFonts w:ascii="Times New Roman" w:hAnsi="Times New Roman"/>
          <w:sz w:val="20"/>
        </w:rPr>
        <w:t xml:space="preserve">), including the date or dates on which or the period or periods during which and the price or prices at which such redemption may occur during the Subsequent Interest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not later than 20 days prior to the Optional Reset Date (or if 20 days does not fall on a Business Day, the next succeeding Business Day), the Company may, at its option, revoke the interest rate (or the spread or spread multiplier used to calculate such interest rate, if applicable) provided for in the Reset Notice and establish a higher interest rate (or a spread or spread multiplier providing for a higher interest rate, if applicable) for the Subsequent Interest Period by causing the Trustee to transmit, in the manner provided for in Section 1.06, notice of such higher interest rate (or such higher spread or spread multiplier providing for a higher interest rate,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providing for a higher interest rate, if applicable). </w:t>
      </w:r>
    </w:p>
    <w:p>
      <w:pPr>
        <w:pStyle w:val="TextBody"/>
        <w:bidi w:val="0"/>
        <w:spacing w:before="240" w:after="0"/>
        <w:jc w:val="left"/>
        <w:rPr>
          <w:rFonts w:ascii="Times New Roman" w:hAnsi="Times New Roman"/>
          <w:sz w:val="20"/>
        </w:rPr>
      </w:pPr>
      <w:r>
        <w:rPr>
          <w:rFonts w:ascii="Times New Roman" w:hAnsi="Times New Roman"/>
          <w:sz w:val="20"/>
        </w:rPr>
        <w:t xml:space="preserve">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 shall be at least 25 but not more than 35 days prior to such Optional Reset Date and except that, if the Holder has tendered any Security for repayment pursuant to the Reset Notice, the Holder may, by written notice to the Trustee, revoke such tender or repayment until the close of business on the tenth day before such Optional Reset Date.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provisions of this Section and Section 3.05, each Security delivered under this Indenture upon registration of transfer of or in exchange for or in lieu of any other Security shall carry the rights to interest accrued and unpaid, and to accrue, that were carried by such other Security. </w:t>
      </w:r>
    </w:p>
    <w:p>
      <w:pPr>
        <w:pStyle w:val="TextBody"/>
        <w:bidi w:val="0"/>
        <w:spacing w:before="240" w:after="0"/>
        <w:jc w:val="left"/>
        <w:rPr>
          <w:rFonts w:ascii="Times New Roman" w:hAnsi="Times New Roman"/>
          <w:sz w:val="20"/>
        </w:rPr>
      </w:pPr>
      <w:r>
        <w:rPr>
          <w:rFonts w:ascii="Times New Roman" w:hAnsi="Times New Roman"/>
          <w:sz w:val="20"/>
        </w:rPr>
        <w:t>Section 3.08. </w:t>
      </w:r>
      <w:r>
        <w:rPr>
          <w:rFonts w:ascii="Times New Roman" w:hAnsi="Times New Roman"/>
          <w:sz w:val="20"/>
          <w:u w:val="single"/>
        </w:rPr>
        <w:t>Optional Extension of Maturity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Times New Roman" w:hAnsi="Times New Roman"/>
          <w:sz w:val="20"/>
          <w:u w:val="single"/>
        </w:rPr>
        <w:t>Extension Period</w:t>
      </w:r>
      <w:r>
        <w:rPr>
          <w:rFonts w:ascii="Times New Roman" w:hAnsi="Times New Roman"/>
          <w:sz w:val="20"/>
        </w:rPr>
        <w:t>) up to but not beyond the date (the </w:t>
      </w:r>
      <w:r>
        <w:rPr>
          <w:rFonts w:ascii="Times New Roman" w:hAnsi="Times New Roman"/>
          <w:sz w:val="20"/>
          <w:u w:val="single"/>
        </w:rPr>
        <w:t>Final Maturity</w:t>
      </w:r>
      <w:r>
        <w:rPr>
          <w:rFonts w:ascii="Times New Roman" w:hAnsi="Times New Roman"/>
          <w:sz w:val="20"/>
        </w:rPr>
        <w:t>) set forth on the face of such Security. The Company may exercise such option with respect to any Security by notifying the Trustee of such exercise at least 45 but not more than 60 days prior to the Stated Maturity of such Security in effect prior to the exercise of such option (the </w:t>
      </w:r>
      <w:r>
        <w:rPr>
          <w:rFonts w:ascii="Times New Roman" w:hAnsi="Times New Roman"/>
          <w:sz w:val="20"/>
          <w:u w:val="single"/>
        </w:rPr>
        <w:t>Original Stated Maturity</w:t>
      </w:r>
      <w:r>
        <w:rPr>
          <w:rFonts w:ascii="Times New Roman" w:hAnsi="Times New Roman"/>
          <w:sz w:val="20"/>
        </w:rPr>
        <w:t>). If the Company exercises such option, the Trustee shall transmit, in the manner provided for in Section 1.06, to the Holder of such Security not later than 40 days prior to the Original Stated Maturity a notice (the </w:t>
      </w:r>
      <w:r>
        <w:rPr>
          <w:rFonts w:ascii="Times New Roman" w:hAnsi="Times New Roman"/>
          <w:sz w:val="20"/>
          <w:u w:val="single"/>
        </w:rPr>
        <w:t>Extension Notice</w:t>
      </w:r>
      <w:r>
        <w:rPr>
          <w:rFonts w:ascii="Times New Roman" w:hAnsi="Times New Roman"/>
          <w:sz w:val="20"/>
        </w:rPr>
        <w:t xml:space="preserve">), prepared by the Company, indicating (i) the election of the Company to extend the Stated Maturity, (ii) the new Stated Maturity, (iii) the interest rate (or spread, spread multiplier or other formula to calculate such interest rate, if applicable),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not later than 20 days before the Original Stated Maturity (or if 20 days does not fall on a Business Day, the next succeeding Business Day) of such Security, the Company may, at its option, revoke the interest rate (or spread, spread multiplier or other formula to calculate such interest rate, if applicable) provided for in the Extension Notice and establish a higher interest rate (or spread, spread multiplier or other formula to calculate such higher interest rate, if applicable) for the Extension Period by causing the Trustee to transmit, in the manner provided for in Section 1.06, notice of such higher interest rate (or spread, spread multiplier or other formula to calculate such interest rate, if applicable) to the Holder of such Security. Such notice shall be irrevocable. All Securities with respect to which the Stated Maturity is extended will bear such higher interest rate.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extends the Stated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Stated Maturity thereof, the Holder must follow the procedures set forth in Article Thirteen for repayment at the option of Holders, except that the period for delivery or notification to the Trustee shall be at least 25 but not more than 35 days prior to the Original Stated Maturity and except that, if the Holder has tendered any Security for repayment pursuant to an Extension Notice, the Holder may by written notice to the Trustee revoke such tender for repayment until the close of business on the tenth day before the Original Stated Maturity. </w:t>
      </w:r>
    </w:p>
    <w:p>
      <w:pPr>
        <w:pStyle w:val="TextBody"/>
        <w:bidi w:val="0"/>
        <w:spacing w:before="240" w:after="0"/>
        <w:jc w:val="left"/>
        <w:rPr>
          <w:rFonts w:ascii="Times New Roman" w:hAnsi="Times New Roman"/>
          <w:sz w:val="20"/>
        </w:rPr>
      </w:pPr>
      <w:r>
        <w:rPr>
          <w:rFonts w:ascii="Times New Roman" w:hAnsi="Times New Roman"/>
          <w:sz w:val="20"/>
        </w:rPr>
        <w:t>Section 3.09. </w:t>
      </w:r>
      <w:r>
        <w:rPr>
          <w:rFonts w:ascii="Times New Roman" w:hAnsi="Times New Roman"/>
          <w:sz w:val="20"/>
          <w:u w:val="single"/>
        </w:rPr>
        <w:t>Persons Deemed Owners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a Registered Security for registration of transfer, the Company, the Trustee and any agent of the Company or the Trustee may treat the Person in whose name such Registered Security is registered as the owner of such Registered Security for the purpose of receiving payment of principal of (and premium, if any) and (subject to Sections 3.05 and 3.07) interest, if any, on such Registered Security and for all other purposes whatsoever, whether or not such Registered Security be overdue, and neither the Company, the Trustee nor any agent of the Company or the Trustee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None of the Company, the Trustee,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 respect to any global temporary or permanent Security, nothing herein shall prevent the Company, the Trustee, or any agent of the Company or the Trustee,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3.10. </w:t>
      </w:r>
      <w:r>
        <w:rPr>
          <w:rFonts w:ascii="Times New Roman" w:hAnsi="Times New Roman"/>
          <w:sz w:val="20"/>
          <w:u w:val="single"/>
        </w:rPr>
        <w:t>Cancellation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Securities surrendered for payment, redemption, repayment at the option of the Holder, registration of transfer or exchange or for credit against any sinking fund payment shall, if surrendered to any Person other than the Trustee, be delivered to the Trustee, and any such Securities surrendered directly to the Trustee for any such purpose shall be promptly cancelled by the Trustee.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cancelled by the Trustee. If the Company shall so acquire any of the Securities, however, such acquisition shall not operate as a redemption or satisfaction of the indebtedness represented by such Securities unless and until the same are surrendered to the Trustee for cancellation. No Securities shall be authenticated in lieu of or in exchange for any Securities cancelled as provided in this Section, except as expressly permitted by this Indenture. Cancelled Securities held by the Trustee shall be destroyed by the Trustee in accordance with its customary procedures. </w:t>
      </w:r>
    </w:p>
    <w:p>
      <w:pPr>
        <w:pStyle w:val="TextBody"/>
        <w:bidi w:val="0"/>
        <w:spacing w:before="240" w:after="0"/>
        <w:jc w:val="left"/>
        <w:rPr>
          <w:rFonts w:ascii="Times New Roman" w:hAnsi="Times New Roman"/>
          <w:sz w:val="20"/>
        </w:rPr>
      </w:pPr>
      <w:r>
        <w:rPr>
          <w:rFonts w:ascii="Times New Roman" w:hAnsi="Times New Roman"/>
          <w:sz w:val="20"/>
        </w:rPr>
        <w:t>Section 3.11. </w:t>
      </w:r>
      <w:r>
        <w:rPr>
          <w:rFonts w:ascii="Times New Roman" w:hAnsi="Times New Roman"/>
          <w:sz w:val="20"/>
          <w:u w:val="single"/>
        </w:rPr>
        <w:t>Computation of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Section 3.01 with respect to Securities of any series, interest, if any, on the Securities of each series shall be computed on the basis of a 360-day year consisting of twelve 30-day months. </w:t>
      </w:r>
    </w:p>
    <w:p>
      <w:pPr>
        <w:pStyle w:val="TextBody"/>
        <w:bidi w:val="0"/>
        <w:spacing w:before="240" w:after="0"/>
        <w:jc w:val="left"/>
        <w:rPr>
          <w:rFonts w:ascii="Times New Roman" w:hAnsi="Times New Roman"/>
          <w:sz w:val="20"/>
        </w:rPr>
      </w:pPr>
      <w:r>
        <w:rPr>
          <w:rFonts w:ascii="Times New Roman" w:hAnsi="Times New Roman"/>
          <w:sz w:val="20"/>
        </w:rPr>
        <w:t>Section 3.12. </w:t>
      </w:r>
      <w:r>
        <w:rPr>
          <w:rFonts w:ascii="Times New Roman" w:hAnsi="Times New Roman"/>
          <w:sz w:val="20"/>
          <w:u w:val="single"/>
        </w:rPr>
        <w:t>Currency and Manner of Payments in Respect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with respect to any Securities pursuant to Section 3.01, with respect to Registered Securities of any series not permitting the election provided for in paragraph (b) below or the Holders of which have not made the election provided for in paragraph (b) below, payment of the principal of (and premium, if any) and interest, if any, on any Registered Security of such series will be made in the Currency in which such Registered Security is payable. The provisions of this Section 3.12 may be modified or superseded with respect to any Securities pursuant to Section 3.01. </w:t>
      </w:r>
    </w:p>
    <w:p>
      <w:pPr>
        <w:pStyle w:val="TextBody"/>
        <w:bidi w:val="0"/>
        <w:spacing w:before="240" w:after="0"/>
        <w:jc w:val="left"/>
        <w:rPr>
          <w:rFonts w:ascii="Times New Roman" w:hAnsi="Times New Roman"/>
          <w:sz w:val="20"/>
        </w:rPr>
      </w:pPr>
      <w:r>
        <w:rPr>
          <w:rFonts w:ascii="Times New Roman" w:hAnsi="Times New Roman"/>
          <w:sz w:val="20"/>
        </w:rPr>
        <w:t xml:space="preserve">(b) It may be provided pursuant to Section 3.01 with respect to Registered Securities of any series that Holders shall have the option, subject to paragraphs (d) and (e) below, to receive payments of principal of (or premium, if any) or interest, if any, on such Registered Securities in any of the Currencies which may be designated for such election by delivering to the Trustee for such series of Registered Securities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 for such series of Registered Securities (but any such 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must be made not later than the close of business on the Election Date immediately preceding the next payment date to be effective for the payment to be made on such payment date and no such change of election may be made with respect to payments to be made on any Registered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Registered Security who shall not have delivered any such election to the Trustee of such series of Registered Securities not later than the close of business on the applicable Election Date will be paid the amount due on the applicable payment date in the relevant Currency as provided in Section 3.12(a). The Trustee for each such series of Registered Securities shall notify the Exchange Rate Agent as soon as practicable after the Election Date of the aggregate principal amount of Registered Securities for which Holders have made such written election. </w:t>
      </w:r>
    </w:p>
    <w:p>
      <w:pPr>
        <w:pStyle w:val="TextBody"/>
        <w:bidi w:val="0"/>
        <w:spacing w:before="240" w:after="0"/>
        <w:jc w:val="left"/>
        <w:rPr>
          <w:rFonts w:ascii="Times New Roman" w:hAnsi="Times New Roman"/>
          <w:sz w:val="20"/>
        </w:rPr>
      </w:pPr>
      <w:r>
        <w:rPr>
          <w:rFonts w:ascii="Times New Roman" w:hAnsi="Times New Roman"/>
          <w:sz w:val="20"/>
        </w:rPr>
        <w:t>(c) 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Registered Securities of any series, the Exchange Rate Agent will deliver to the Company a written notice specifying the Currency in which Registered Securities of such series are payable, the respective aggregate amounts of principal of (and premium, if any) and interest, if any, on the Registered Securities to be paid on such payment date, specifying the amounts in such Currency so payable in respect of the Registered Securities as to which the Holders of Registered Securities denominated in any Currency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 for such series of Registered Securities an Exchange Rate Officers Certificate in respect of the Dollar or Foreign Currency or Currencies payments to be made on such payment date. Unless otherwise specified pursuant to Section 3.01, the Dollar or Foreign Currency or Currencies amount receivable by Holders of Registered Securities who have elected payment in a Currency as provided in paragraph (b) above shall be determined by the Company on the basis of the applicable Market Exchange Rate in effect on the second Business Day (the </w:t>
      </w:r>
      <w:r>
        <w:rPr>
          <w:rFonts w:ascii="Times New Roman" w:hAnsi="Times New Roman"/>
          <w:sz w:val="20"/>
          <w:u w:val="single"/>
        </w:rPr>
        <w:t>Valuation Date</w:t>
      </w:r>
      <w:r>
        <w:rPr>
          <w:rFonts w:ascii="Times New Roman" w:hAnsi="Times New Roman"/>
          <w:sz w:val="20"/>
        </w:rPr>
        <w:t xml:space="preserve">) immediately preceding each payment date, and such determination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(d) If a Conversion Event occurs with respect to a Foreign Currency in which any of the Securities are denominated or payable other than pursuant to an election provided for pursuant to paragraph (b) above, then with respect to each date for the payment of principal of (and premium, if any) and interest, if any on the applicable Securities denominated or payable in such Foreign Currency occurring after the last date on which such Foreign Currency was used (the </w:t>
      </w:r>
      <w:r>
        <w:rPr>
          <w:rFonts w:ascii="Times New Roman" w:hAnsi="Times New Roman"/>
          <w:sz w:val="20"/>
          <w:u w:val="single"/>
        </w:rPr>
        <w:t>Conversion Date</w:t>
      </w:r>
      <w:r>
        <w:rPr>
          <w:rFonts w:ascii="Times New Roman" w:hAnsi="Times New Roman"/>
          <w:sz w:val="20"/>
        </w:rPr>
        <w:t xml:space="preserve">), the Dollar shall be the currency of payment for use on each such payment date. Unless otherwise specified pursuant to Section 3.01, the Dollar amount to be paid by the Company to the Trustee of each such series of Securities and by such Trustee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Unless otherwise specified pursuant to Section 3.01, if the Holder of a Registered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of this Section 3.12. </w:t>
      </w:r>
    </w:p>
    <w:p>
      <w:pPr>
        <w:pStyle w:val="TextBody"/>
        <w:bidi w:val="0"/>
        <w:spacing w:before="240" w:after="0"/>
        <w:jc w:val="left"/>
        <w:rPr>
          <w:rFonts w:ascii="Times New Roman" w:hAnsi="Times New Roman"/>
          <w:sz w:val="20"/>
        </w:rPr>
      </w:pPr>
      <w:r>
        <w:rPr>
          <w:rFonts w:ascii="Times New Roman" w:hAnsi="Times New Roman"/>
          <w:sz w:val="20"/>
        </w:rPr>
        <w:t>(f) The </w:t>
      </w:r>
      <w:r>
        <w:rPr>
          <w:rFonts w:ascii="Times New Roman" w:hAnsi="Times New Roman"/>
          <w:sz w:val="20"/>
          <w:u w:val="single"/>
        </w:rPr>
        <w:t>Dollar Equivalent of the Foreign Currency</w:t>
      </w:r>
      <w:r>
        <w:rPr>
          <w:rFonts w:ascii="Times New Roman" w:hAnsi="Times New Roman"/>
          <w:sz w:val="20"/>
        </w:rPr>
        <w:t xml:space="preserve"> shall be determined by the Exchange Rate Agent and shall be obtained for each subsequent payment date by converting the specified Foreign Currency into Dollars at the Market Exchange Rate on the Conversion Date. </w:t>
      </w:r>
    </w:p>
    <w:p>
      <w:pPr>
        <w:pStyle w:val="TextBody"/>
        <w:bidi w:val="0"/>
        <w:spacing w:before="240" w:after="0"/>
        <w:jc w:val="left"/>
        <w:rPr>
          <w:rFonts w:ascii="Times New Roman" w:hAnsi="Times New Roman"/>
          <w:sz w:val="20"/>
        </w:rPr>
      </w:pPr>
      <w:r>
        <w:rPr>
          <w:rFonts w:ascii="Times New Roman" w:hAnsi="Times New Roman"/>
          <w:sz w:val="20"/>
        </w:rPr>
        <w:t>(g) The </w:t>
      </w:r>
      <w:r>
        <w:rPr>
          <w:rFonts w:ascii="Times New Roman" w:hAnsi="Times New Roman"/>
          <w:sz w:val="20"/>
          <w:u w:val="single"/>
        </w:rPr>
        <w:t>Dollar Equivalent of the Currency Unit</w:t>
      </w:r>
      <w:r>
        <w:rPr>
          <w:rFonts w:ascii="Times New Roman" w:hAnsi="Times New Roman"/>
          <w:sz w:val="20"/>
        </w:rPr>
        <w:t xml:space="preserve"> shall be determined by the Exchange Rate Agent and subject to the provisions of paragraph (h) below shall be the sum of each amount obtained by converting the Specified Amount of each Component Currency into Dollars at the Market Exchange Rate for such Component Currency on the Valuation Date with respect to each payment. </w:t>
      </w:r>
    </w:p>
    <w:p>
      <w:pPr>
        <w:pStyle w:val="TextBody"/>
        <w:bidi w:val="0"/>
        <w:spacing w:before="240" w:after="0"/>
        <w:jc w:val="left"/>
        <w:rPr>
          <w:rFonts w:ascii="Times New Roman" w:hAnsi="Times New Roman"/>
          <w:sz w:val="20"/>
        </w:rPr>
      </w:pPr>
      <w:r>
        <w:rPr>
          <w:rFonts w:ascii="Times New Roman" w:hAnsi="Times New Roman"/>
          <w:sz w:val="20"/>
        </w:rPr>
        <w:t xml:space="preserve">(h) For purposes of this Section 3.12,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Component Currency</w:t>
      </w:r>
      <w:r>
        <w:rPr>
          <w:rFonts w:ascii="Times New Roman" w:hAnsi="Times New Roman"/>
          <w:sz w:val="20"/>
        </w:rPr>
        <w:t xml:space="preserve"> shall mean any currency which, on the Conversion Date, was a component currency of the relevant currency unit, including, but not limited to, the ECU.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Specified Amount</w:t>
      </w:r>
      <w:r>
        <w:rPr>
          <w:rFonts w:ascii="Times New Roman" w:hAnsi="Times New Roman"/>
          <w:sz w:val="20"/>
        </w:rPr>
        <w:t xml:space="preserve"> of a Component Currency shall mean the number of units of such Component Currency or fractions thereof which were represented in the relevant currency unit, including, but not limited to, the ECU,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ECU,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Conversion Event (other than any event referred to above in this definition of </w:t>
      </w:r>
      <w:r>
        <w:rPr>
          <w:rFonts w:ascii="Times New Roman" w:hAnsi="Times New Roman"/>
          <w:sz w:val="20"/>
          <w:u w:val="single"/>
        </w:rPr>
        <w:t>Specified Amount</w:t>
      </w:r>
      <w:r>
        <w:rPr>
          <w:rFonts w:ascii="Times New Roman" w:hAnsi="Times New Roman"/>
          <w:sz w:val="20"/>
        </w:rPr>
        <w:t xml:space="preserve">)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 </w:t>
      </w:r>
    </w:p>
    <w:p>
      <w:pPr>
        <w:pStyle w:val="TextBody"/>
        <w:bidi w:val="0"/>
        <w:spacing w:before="120" w:after="0"/>
        <w:jc w:val="left"/>
        <w:rPr>
          <w:rFonts w:ascii="Times New Roman" w:hAnsi="Times New Roman"/>
          <w:sz w:val="20"/>
        </w:rPr>
      </w:pPr>
      <w:r>
        <w:rPr>
          <w:rFonts w:ascii="Times New Roman" w:hAnsi="Times New Roman"/>
          <w:sz w:val="20"/>
        </w:rPr>
        <w:t>An </w:t>
      </w:r>
      <w:r>
        <w:rPr>
          <w:rFonts w:ascii="Times New Roman" w:hAnsi="Times New Roman"/>
          <w:sz w:val="20"/>
          <w:u w:val="single"/>
        </w:rPr>
        <w:t>Election Date</w:t>
      </w:r>
      <w:r>
        <w:rPr>
          <w:rFonts w:ascii="Times New Roman" w:hAnsi="Times New Roman"/>
          <w:sz w:val="20"/>
        </w:rPr>
        <w:t xml:space="preserve"> shall mean the Regular Record Date for the applicable series of Registered Securities or at least 16 days prior to Maturity, as the case may be, or such other prior date for any series of Registered Securities as specified pursuant to clause (xiii) of Section 3.01 by which the written election referred to in Section 3.12(b) may be made. </w:t>
      </w:r>
    </w:p>
    <w:p>
      <w:pPr>
        <w:pStyle w:val="TextBody"/>
        <w:bidi w:val="0"/>
        <w:spacing w:before="240" w:after="0"/>
        <w:jc w:val="left"/>
        <w:rPr>
          <w:rFonts w:ascii="Times New Roman" w:hAnsi="Times New Roman"/>
          <w:sz w:val="20"/>
        </w:rPr>
      </w:pPr>
      <w:r>
        <w:rPr>
          <w:rFonts w:ascii="Times New Roman" w:hAnsi="Times New Roman"/>
          <w:sz w:val="20"/>
        </w:rPr>
        <w:t xml:space="preserve">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 for the appropriate series of Securities and all Holders of such Securities denominated or payable in the relevant Currency. The Exchange Rate Agent shall promptly give written notice to the Company and the Trustee for the appropriate series of Securities of any such decision or determination.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Company determines in good faith that a Conversion Event has occurred with respect to a Foreign Currency, the Company will immediately give written notice thereof and of the applicable Conversion Date to the Trustee of the appropriate series of Securities and to the Exchange Rate Agent (and such Trustee will promptly thereafter give notice in the manner provided in Section 1.06 to the affected Holders) specifying the Conversion Date. In the event the Company so determines that a Conversion Event has occurred with respect to the ECU or any other currency unit in which Securities are denominated or payable, the Company will immediately give written notice thereof to the Trustee of the appropriate series of Securities and to the Exchange Rate Agent (and such Trustee will promptly thereafter give notice in the manner provided in Section 1.06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 of the appropriate series of Securities and to the Exchange Rate Agent.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of the appropriate series of Securities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3.13. </w:t>
      </w:r>
      <w:r>
        <w:rPr>
          <w:rFonts w:ascii="Times New Roman" w:hAnsi="Times New Roman"/>
          <w:sz w:val="20"/>
          <w:u w:val="single"/>
        </w:rPr>
        <w:t>Appointment and Resignation of Successor Exchange Rate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specified pursuant to Section 3.01, if and so long as the Securities of any series (i) are denominated in a Foreign Currency or (ii) may be payable in a Foreign Currency, or so long as it is required under any other provision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Foreign Currency into the applicable payment Currency for the payment of principal (and premium, if any) and interest, if any, pursuant to Section 3.12. </w:t>
      </w:r>
    </w:p>
    <w:p>
      <w:pPr>
        <w:pStyle w:val="TextBody"/>
        <w:bidi w:val="0"/>
        <w:spacing w:before="240" w:after="0"/>
        <w:jc w:val="left"/>
        <w:rPr>
          <w:rFonts w:ascii="Times New Roman" w:hAnsi="Times New Roman"/>
          <w:sz w:val="20"/>
        </w:rPr>
      </w:pPr>
      <w:r>
        <w:rPr>
          <w:rFonts w:ascii="Times New Roman" w:hAnsi="Times New Roman"/>
          <w:sz w:val="20"/>
        </w:rPr>
        <w:t xml:space="preserve">(b) No resignation of the Exchange Rate Agent and no appointment of a successor Exchange Rate Agent pursuant to this Section shall become effective until the acceptance of appointment by the successor Exchange Rate Agent as evidenced by a written instrument delivered to the Company and the Trustee of the appropriate series of Securities accepting such appointment executed by the successor Exchange Rate Agent. </w:t>
      </w:r>
    </w:p>
    <w:p>
      <w:pPr>
        <w:pStyle w:val="TextBody"/>
        <w:bidi w:val="0"/>
        <w:spacing w:before="240" w:after="0"/>
        <w:jc w:val="left"/>
        <w:rPr>
          <w:rFonts w:ascii="Times New Roman" w:hAnsi="Times New Roman"/>
          <w:sz w:val="20"/>
        </w:rPr>
      </w:pPr>
      <w:r>
        <w:rPr>
          <w:rFonts w:ascii="Times New Roman" w:hAnsi="Times New Roman"/>
          <w:sz w:val="20"/>
        </w:rPr>
        <w:t xml:space="preserve">(c) 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 </w:t>
      </w:r>
    </w:p>
    <w:p>
      <w:pPr>
        <w:pStyle w:val="TextBody"/>
        <w:bidi w:val="0"/>
        <w:spacing w:before="240" w:after="0"/>
        <w:jc w:val="left"/>
        <w:rPr>
          <w:rFonts w:ascii="Times New Roman" w:hAnsi="Times New Roman"/>
          <w:sz w:val="20"/>
        </w:rPr>
      </w:pPr>
      <w:r>
        <w:rPr>
          <w:rFonts w:ascii="Times New Roman" w:hAnsi="Times New Roman"/>
          <w:sz w:val="20"/>
        </w:rPr>
        <w:t>Section 3.14. </w:t>
      </w:r>
      <w:r>
        <w:rPr>
          <w:rFonts w:ascii="Times New Roman" w:hAnsi="Times New Roman"/>
          <w:sz w:val="20"/>
          <w:u w:val="single"/>
        </w:rPr>
        <w:t>CUSIP Numbers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in issuing the Securities may use CUSIP numbers (if then generally in use), and, if so, the Trustee shall indicate the respective CUSIP numbers of the Securities in notices of redemption as a convenience to Holders; </w:t>
      </w:r>
      <w:r>
        <w:rPr>
          <w:rFonts w:ascii="Times New Roman" w:hAnsi="Times New Roman"/>
          <w:sz w:val="20"/>
          <w:u w:val="single"/>
        </w:rPr>
        <w:t>provided</w:t>
      </w:r>
      <w:r>
        <w:rPr>
          <w:rFonts w:ascii="Times New Roman" w:hAnsi="Times New Roman"/>
          <w:sz w:val="20"/>
        </w:rPr>
        <w:t xml:space="preserve"> that any such notice may state that no representation is made as to the correctness of such numbers either as printed on the Securities or as contained in any notice of redemption and that reliance may be placed only on the other identification numbers printed on the Securities, and any such redemption shall not be affected by any defect in or omission of such numbers. The Company shall advise the Trustee as promptly as practicable in writing of any change in the CUSIP numbers.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FOUR </w:t>
      </w:r>
    </w:p>
    <w:p>
      <w:pPr>
        <w:pStyle w:val="TextBody"/>
        <w:bidi w:val="0"/>
        <w:spacing w:before="120" w:after="0"/>
        <w:jc w:val="center"/>
        <w:rPr>
          <w:rFonts w:ascii="Times New Roman" w:hAnsi="Times New Roman"/>
          <w:b/>
          <w:sz w:val="20"/>
        </w:rPr>
      </w:pPr>
      <w:r>
        <w:rPr>
          <w:rFonts w:ascii="Times New Roman" w:hAnsi="Times New Roman"/>
          <w:b/>
          <w:sz w:val="20"/>
        </w:rPr>
        <w:t xml:space="preserve">SATISFACTION AND DISCHARGE </w:t>
      </w:r>
    </w:p>
    <w:p>
      <w:pPr>
        <w:pStyle w:val="TextBody"/>
        <w:bidi w:val="0"/>
        <w:spacing w:before="240" w:after="0"/>
        <w:jc w:val="left"/>
        <w:rPr>
          <w:rFonts w:ascii="Times New Roman" w:hAnsi="Times New Roman"/>
          <w:sz w:val="20"/>
        </w:rPr>
      </w:pPr>
      <w:r>
        <w:rPr>
          <w:rFonts w:ascii="Times New Roman" w:hAnsi="Times New Roman"/>
          <w:sz w:val="20"/>
        </w:rPr>
        <w:t>Section 4.01. </w:t>
      </w:r>
      <w:r>
        <w:rPr>
          <w:rFonts w:ascii="Times New Roman" w:hAnsi="Times New Roman"/>
          <w:sz w:val="20"/>
          <w:u w:val="single"/>
        </w:rPr>
        <w:t>Satisfaction and Discharge of Indenture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below, 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any surviving rights of tender for repayment at the option of the Holders and any right to receive Additional Amounts, as provided in Section 10.04), and the Trustee, upon receipt of a Company Order, and at the expense of the Company, shall execute proper instruments acknowledging satisfaction and discharge of this Indenture as to such series when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either </w:t>
      </w:r>
    </w:p>
    <w:p>
      <w:pPr>
        <w:pStyle w:val="TextBody"/>
        <w:bidi w:val="0"/>
        <w:spacing w:before="120" w:after="0"/>
        <w:jc w:val="left"/>
        <w:rPr>
          <w:rFonts w:ascii="Times New Roman" w:hAnsi="Times New Roman"/>
          <w:sz w:val="20"/>
        </w:rPr>
      </w:pPr>
      <w:r>
        <w:rPr>
          <w:rFonts w:ascii="Times New Roman" w:hAnsi="Times New Roman"/>
          <w:sz w:val="20"/>
        </w:rPr>
        <w:t xml:space="preserve">(i) all Securities of such series theretofore authenticated and delivered (other than (i) Securities that have been destroyed, lost or stolen and which have been replaced or paid as provided in Section 3.06 and (ii) Securities of such series for whose payment money has theretofore been deposited in trust with the Trustee or any Paying Agent or segregated and held in trust by the Company and thereafter repaid to the Company or discharged from such trust, as provided in Section 10.03) have been delivered to the Trustee for cancellation; or </w:t>
      </w:r>
    </w:p>
    <w:p>
      <w:pPr>
        <w:pStyle w:val="TextBody"/>
        <w:bidi w:val="0"/>
        <w:spacing w:before="120" w:after="0"/>
        <w:jc w:val="left"/>
        <w:rPr>
          <w:rFonts w:ascii="Times New Roman" w:hAnsi="Times New Roman"/>
          <w:sz w:val="20"/>
        </w:rPr>
      </w:pPr>
      <w:r>
        <w:rPr>
          <w:rFonts w:ascii="Times New Roman" w:hAnsi="Times New Roman"/>
          <w:sz w:val="20"/>
        </w:rPr>
        <w:t xml:space="preserve">(ii) all Securities of such series </w:t>
      </w:r>
    </w:p>
    <w:p>
      <w:pPr>
        <w:pStyle w:val="TextBody"/>
        <w:bidi w:val="0"/>
        <w:spacing w:before="120" w:after="0"/>
        <w:jc w:val="left"/>
        <w:rPr>
          <w:rFonts w:ascii="Times New Roman" w:hAnsi="Times New Roman"/>
          <w:sz w:val="20"/>
        </w:rPr>
      </w:pPr>
      <w:r>
        <w:rPr>
          <w:rFonts w:ascii="Times New Roman" w:hAnsi="Times New Roman"/>
          <w:sz w:val="20"/>
        </w:rPr>
        <w:t xml:space="preserve">(1) have become due and payable, or </w:t>
      </w:r>
    </w:p>
    <w:p>
      <w:pPr>
        <w:pStyle w:val="TextBody"/>
        <w:bidi w:val="0"/>
        <w:spacing w:before="120" w:after="0"/>
        <w:jc w:val="left"/>
        <w:rPr>
          <w:rFonts w:ascii="Times New Roman" w:hAnsi="Times New Roman"/>
          <w:sz w:val="20"/>
        </w:rPr>
      </w:pPr>
      <w:r>
        <w:rPr>
          <w:rFonts w:ascii="Times New Roman" w:hAnsi="Times New Roman"/>
          <w:sz w:val="20"/>
        </w:rPr>
        <w:t xml:space="preserve">(2) will become due and payable at their Stated Maturity within one year, or </w:t>
      </w:r>
    </w:p>
    <w:p>
      <w:pPr>
        <w:pStyle w:val="TextBody"/>
        <w:bidi w:val="0"/>
        <w:spacing w:before="120" w:after="0"/>
        <w:jc w:val="left"/>
        <w:rPr>
          <w:rFonts w:ascii="Times New Roman" w:hAnsi="Times New Roman"/>
          <w:sz w:val="20"/>
        </w:rPr>
      </w:pPr>
      <w:r>
        <w:rPr>
          <w:rFonts w:ascii="Times New Roman" w:hAnsi="Times New Roman"/>
          <w:sz w:val="20"/>
        </w:rPr>
        <w:t xml:space="preserve">(3) if redeemable at the option of the Company, are to be called for redemption within one year under arrangements satisfactory to the Trustee for the giving of notice of redemption by the Trustee in the name, and at the expense, of the Company, and the Company, in the case of (i), (ii) or (iii) above, has irrevocably deposited or caused to be deposited with the Trustee as trust funds in trust for such purpose, solely for the benefit of the Holders, an amount in the Currency in which the Securities of such series are payable, sufficient to pay and discharge the entire indebtedness on such Securities not theretofore delivered to the Trustee for cancellation, for principal (and premium, if any) and interest, if any, to the date of such deposit (in the case of Securities which have become due and payable) or to the Stated Maturity or Redemption Date,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irrevocably paid or caused to be irrevocably paid all other sums payable hereunder by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(c) the Company has delivered to the Trustee an Officers Certificate and an Opinion of Counsel, each stating that all conditions precedent herein provided for relating to the satisfaction and discharge of this Indenture as to such series have been complied with.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satisfaction and discharge of this Indenture, the obligations of the Company to the Trustee and any predecessor Trustee under Section 6.06, the obligations of the Company to any Authenticating Agent under Section 6.12 and, if money shall have been deposited with the Trustee pursuant to subclause (ii) of clause (a) of this Section, the obligations of the Trustee under Section 4.02 and the last paragraph of Section 10.03 shall survive any termination of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4.02. </w:t>
      </w:r>
      <w:r>
        <w:rPr>
          <w:rFonts w:ascii="Times New Roman" w:hAnsi="Times New Roman"/>
          <w:sz w:val="20"/>
          <w:u w:val="single"/>
        </w:rPr>
        <w:t>Application of Trust Funds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the last paragraph of Section 10.03, all money deposited with the Trustee pursuant to Section 4.01 shall be held in trust and applied by it, in accordance with the provisions of the Securities and this Indenture, to the payment, either directly or through any Paying Agent (including the Company acting as its own Paying Agent), to the Persons entitled thereto, of the principal (and premium, if any) and interest, if any, for whose payment such money has been deposited with or received by the Trustee, but such money need not be segregated from other funds except to the extent required by law.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FIVE </w:t>
      </w:r>
    </w:p>
    <w:p>
      <w:pPr>
        <w:pStyle w:val="TextBody"/>
        <w:bidi w:val="0"/>
        <w:spacing w:before="12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sz w:val="20"/>
        </w:rPr>
        <w:t>Section 5.01. </w:t>
      </w:r>
      <w:r>
        <w:rPr>
          <w:rFonts w:ascii="Times New Roman" w:hAnsi="Times New Roman"/>
          <w:sz w:val="20"/>
          <w:u w:val="single"/>
        </w:rPr>
        <w:t>Events of Default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Event of Default</w:t>
      </w:r>
      <w:r>
        <w:rPr>
          <w:rFonts w:ascii="Times New Roman" w:hAnsi="Times New Roman"/>
          <w:sz w:val="20"/>
        </w:rPr>
        <w:t xml:space="preserve">, wherever used herein with respect to any particular series of Securities, means any one of the following events (whatever the reason for such Event of Default and whether or not it shall be voluntary or involuntary or be effected by operation of law or pursuant to any judgment, decree or order of any court or any order, rule or regulation of any administrative or governmental body), unless it is either inapplicable to a particular series or is specifically deleted or modified in or pursuant to the supplemental indenture or a Board Resolution establishing such series of Securities or is in the form of Security for such series: </w:t>
      </w:r>
    </w:p>
    <w:p>
      <w:pPr>
        <w:pStyle w:val="TextBody"/>
        <w:bidi w:val="0"/>
        <w:spacing w:before="120" w:after="0"/>
        <w:jc w:val="left"/>
        <w:rPr>
          <w:rFonts w:ascii="Times New Roman" w:hAnsi="Times New Roman"/>
          <w:sz w:val="20"/>
        </w:rPr>
      </w:pPr>
      <w:r>
        <w:rPr>
          <w:rFonts w:ascii="Times New Roman" w:hAnsi="Times New Roman"/>
          <w:sz w:val="20"/>
        </w:rPr>
        <w:t xml:space="preserve">(i) default in the payment of any interest upon any Security of that series, when such interest becomes due and payable, and continuance of such default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(ii) default in the payment of the principal of (or premium, if any) any Security of that series when it becomes due and payable at its Maturity, including upon any Redemption Date or required repurchase date; or </w:t>
      </w:r>
    </w:p>
    <w:p>
      <w:pPr>
        <w:pStyle w:val="TextBody"/>
        <w:bidi w:val="0"/>
        <w:spacing w:before="120" w:after="0"/>
        <w:jc w:val="left"/>
        <w:rPr>
          <w:rFonts w:ascii="Times New Roman" w:hAnsi="Times New Roman"/>
          <w:sz w:val="20"/>
        </w:rPr>
      </w:pPr>
      <w:r>
        <w:rPr>
          <w:rFonts w:ascii="Times New Roman" w:hAnsi="Times New Roman"/>
          <w:sz w:val="20"/>
        </w:rPr>
        <w:t xml:space="preserve">(iii) default in the deposit of any sinking fund payment, when and as due by the terms of any Security of that series, and continuance of such default for a period of 5 days; or </w:t>
      </w:r>
    </w:p>
    <w:p>
      <w:pPr>
        <w:pStyle w:val="TextBody"/>
        <w:bidi w:val="0"/>
        <w:spacing w:before="120" w:after="0"/>
        <w:jc w:val="left"/>
        <w:rPr>
          <w:rFonts w:ascii="Times New Roman" w:hAnsi="Times New Roman"/>
          <w:sz w:val="20"/>
        </w:rPr>
      </w:pPr>
      <w:r>
        <w:rPr>
          <w:rFonts w:ascii="Times New Roman" w:hAnsi="Times New Roman"/>
          <w:sz w:val="20"/>
        </w:rPr>
        <w:t xml:space="preserve">(iv) the Companys failure for 60 consecutive days after written notice from the Trustee or the Holders of at least 25% in principal amount of the Securities of such series then Outstanding to the Company and the Trustee, as applicable, has been received to comply with any of the Companys other agreements contained in such Securities or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(v) the Company, pursuant to or within the meaning of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(1) commences a voluntary case or proceeding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(2) consents to the commencement of any bankruptcy or insolvency case or proceeding against it, or files a petition or answer or consent seeking reorganization or relief against it, </w:t>
      </w:r>
    </w:p>
    <w:p>
      <w:pPr>
        <w:pStyle w:val="TextBody"/>
        <w:bidi w:val="0"/>
        <w:spacing w:before="120" w:after="0"/>
        <w:jc w:val="left"/>
        <w:rPr>
          <w:rFonts w:ascii="Times New Roman" w:hAnsi="Times New Roman"/>
          <w:sz w:val="20"/>
        </w:rPr>
      </w:pPr>
      <w:r>
        <w:rPr>
          <w:rFonts w:ascii="Times New Roman" w:hAnsi="Times New Roman"/>
          <w:sz w:val="20"/>
        </w:rPr>
        <w:t xml:space="preserve">(3) consents to the entry of a decree or order for relief against it in an involuntary case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consents to the filing of such petition or to the appointment of or taking possession by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(5) makes an assignment for the benefit of creditors, or admits in writing of its inability to pay its debts generally as they become due or takes any corporate action in furtherance of any such action; </w:t>
      </w:r>
    </w:p>
    <w:p>
      <w:pPr>
        <w:pStyle w:val="TextBody"/>
        <w:bidi w:val="0"/>
        <w:spacing w:before="120" w:after="0"/>
        <w:jc w:val="left"/>
        <w:rPr>
          <w:rFonts w:ascii="Times New Roman" w:hAnsi="Times New Roman"/>
          <w:sz w:val="20"/>
        </w:rPr>
      </w:pPr>
      <w:r>
        <w:rPr>
          <w:rFonts w:ascii="Times New Roman" w:hAnsi="Times New Roman"/>
          <w:sz w:val="20"/>
        </w:rPr>
        <w:t>The term </w:t>
      </w:r>
      <w:r>
        <w:rPr>
          <w:rFonts w:ascii="Times New Roman" w:hAnsi="Times New Roman"/>
          <w:sz w:val="20"/>
          <w:u w:val="single"/>
        </w:rPr>
        <w:t>Bankruptcy Law</w:t>
      </w:r>
      <w:r>
        <w:rPr>
          <w:rFonts w:ascii="Times New Roman" w:hAnsi="Times New Roman"/>
          <w:sz w:val="20"/>
        </w:rPr>
        <w:t> means title 11, U.S. Code or any applicable federal or state bankruptcy, insolvency, reorganization or other similar law. The term </w:t>
      </w:r>
      <w:r>
        <w:rPr>
          <w:rFonts w:ascii="Times New Roman" w:hAnsi="Times New Roman"/>
          <w:sz w:val="20"/>
          <w:u w:val="single"/>
        </w:rPr>
        <w:t>Custodian</w:t>
      </w:r>
      <w:r>
        <w:rPr>
          <w:rFonts w:ascii="Times New Roman" w:hAnsi="Times New Roman"/>
          <w:sz w:val="20"/>
        </w:rPr>
        <w:t xml:space="preserve"> means any custodian, receiver, trustee, assignee, liquidator, sequestrator or other similar official under any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(vi) a court of competent jurisdiction enters an order or decree under any Bankruptcy Law that: </w:t>
      </w:r>
    </w:p>
    <w:p>
      <w:pPr>
        <w:pStyle w:val="TextBody"/>
        <w:bidi w:val="0"/>
        <w:spacing w:before="120" w:after="0"/>
        <w:jc w:val="left"/>
        <w:rPr>
          <w:rFonts w:ascii="Times New Roman" w:hAnsi="Times New Roman"/>
          <w:sz w:val="20"/>
        </w:rPr>
      </w:pPr>
      <w:r>
        <w:rPr>
          <w:rFonts w:ascii="Times New Roman" w:hAnsi="Times New Roman"/>
          <w:sz w:val="20"/>
        </w:rPr>
        <w:t xml:space="preserve">(1) is for relief against the Company in an involuntary case or proceeding, or </w:t>
      </w:r>
    </w:p>
    <w:p>
      <w:pPr>
        <w:pStyle w:val="TextBody"/>
        <w:bidi w:val="0"/>
        <w:spacing w:before="120" w:after="0"/>
        <w:jc w:val="left"/>
        <w:rPr>
          <w:rFonts w:ascii="Times New Roman" w:hAnsi="Times New Roman"/>
          <w:sz w:val="20"/>
        </w:rPr>
      </w:pPr>
      <w:r>
        <w:rPr>
          <w:rFonts w:ascii="Times New Roman" w:hAnsi="Times New Roman"/>
          <w:sz w:val="20"/>
        </w:rPr>
        <w:t xml:space="preserve">(2) adjudges the Company bankrupt or insolvent, or approves as properly filed a petition seeking reorganization, arrangement, adjustment or composition of or in respect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(3) appoints a Custodian of the Company or for all or substantially all of its property, or </w:t>
      </w:r>
    </w:p>
    <w:p>
      <w:pPr>
        <w:pStyle w:val="TextBody"/>
        <w:bidi w:val="0"/>
        <w:spacing w:before="120" w:after="0"/>
        <w:jc w:val="left"/>
        <w:rPr>
          <w:rFonts w:ascii="Times New Roman" w:hAnsi="Times New Roman"/>
          <w:sz w:val="20"/>
        </w:rPr>
      </w:pPr>
      <w:r>
        <w:rPr>
          <w:rFonts w:ascii="Times New Roman" w:hAnsi="Times New Roman"/>
          <w:sz w:val="20"/>
        </w:rPr>
        <w:t xml:space="preserve">(4) orders the winding up or liquidation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and the continuance of any such decree or order for relief or any such other decree or order remains unstayed and in effect for a period of 90 consecutive days; </w:t>
      </w:r>
    </w:p>
    <w:p>
      <w:pPr>
        <w:pStyle w:val="TextBody"/>
        <w:bidi w:val="0"/>
        <w:spacing w:before="120" w:after="0"/>
        <w:jc w:val="left"/>
        <w:rPr>
          <w:rFonts w:ascii="Times New Roman" w:hAnsi="Times New Roman"/>
          <w:sz w:val="20"/>
        </w:rPr>
      </w:pPr>
      <w:r>
        <w:rPr>
          <w:rFonts w:ascii="Times New Roman" w:hAnsi="Times New Roman"/>
          <w:sz w:val="20"/>
        </w:rPr>
        <w:t xml:space="preserve">(vii) if, pursuant to Sections 18(a)(1)(C)(ii) and 61 of the Investment Company Act, or any successor provisions, on the last business day of each of twenty-four consecutive calendar months any class of Securities shall have an asset coverage (as such term is used in the Investment Company Act) of less than 100 per centum, giving effect to any amendments to such provisions of the Investment Company Act or to any exemptive relief granted to the Company by the Commission; or </w:t>
      </w:r>
    </w:p>
    <w:p>
      <w:pPr>
        <w:pStyle w:val="TextBody"/>
        <w:bidi w:val="0"/>
        <w:spacing w:before="120" w:after="0"/>
        <w:jc w:val="left"/>
        <w:rPr>
          <w:rFonts w:ascii="Times New Roman" w:hAnsi="Times New Roman"/>
          <w:sz w:val="20"/>
        </w:rPr>
      </w:pPr>
      <w:r>
        <w:rPr>
          <w:rFonts w:ascii="Times New Roman" w:hAnsi="Times New Roman"/>
          <w:sz w:val="20"/>
        </w:rPr>
        <w:t xml:space="preserve">(viii) default by the Company or any of its Significant Subsidiaries,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Securities of any series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(ix) any other Event of Default provided with respect to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5.02. </w:t>
      </w:r>
      <w:r>
        <w:rPr>
          <w:rFonts w:ascii="Times New Roman" w:hAnsi="Times New Roman"/>
          <w:sz w:val="20"/>
          <w:u w:val="single"/>
        </w:rPr>
        <w:t>Acceleration of Maturity; Rescission and Annulment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at the time Outstanding occurs and is continuing, then and in every such case (other than an Event of Default specified in Section 5.01(v) or 5.01(vi), the Trustee (if a Responsible Officer has actual knowledge of such Event of Default) or the Holders of not less than 25% in principal amount of the Outstanding Securities of that series may declare the principal (or, if any Securities are Original Issue Discount Securities or Indexed Securities, such portion of the principal as may be specified in the terms thereof) of all the Securities of that series to be due and payable immediately, by a notice in writing to the Company (and to the Trustee if given by the Holders), and upon any such declaration such principal or specified portion thereof shall become immediately due and payable; provided that 100% of the principal of, and accrued and unpaid interest on, the Notes will automatically become due and payable in the case of an Event of Default specified in Section 5.01(v) or 5.01(vi) hereof.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such a declaration of acceleration with respect to Securities of any series has been made and before a judgment or decree for payment of the money due has been obtained by the Trustee as hereinafter provided in this Article, the Holders of a majority in principal amount of the Outstanding Securities of that series, by written notice to the Company and the Trustee, may rescind and annul such declaration and its consequences if: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paid or deposited with the Trustee a sum sufficient to pay in the Currency in which the Securities of such series are payable (except as otherwise specified pursuant to Section 3.01 for the Securities of such series and except, if applicable, as provided in Sections 3.12(b), 3.12(d) and 3.12(e)): </w:t>
      </w:r>
    </w:p>
    <w:p>
      <w:pPr>
        <w:pStyle w:val="TextBody"/>
        <w:bidi w:val="0"/>
        <w:spacing w:before="120" w:after="0"/>
        <w:jc w:val="left"/>
        <w:rPr>
          <w:rFonts w:ascii="Times New Roman" w:hAnsi="Times New Roman"/>
          <w:sz w:val="20"/>
        </w:rPr>
      </w:pPr>
      <w:r>
        <w:rPr>
          <w:rFonts w:ascii="Times New Roman" w:hAnsi="Times New Roman"/>
          <w:sz w:val="20"/>
        </w:rPr>
        <w:t xml:space="preserve">(1) all overdue installments of interest, if any, on all Outstanding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(2) the principal of (and premium, if any) all Outstanding Securities of that series that have become due otherwise than by such declaration of acceleration and interest thereon at the rate or rates borne by or provided for in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(3) to the extent that payment of such interest is lawful, interest upon overdue installments of interest at the rate or rates borne by or provided for in such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(4) all sums paid or advanced by the Trustee hereunder and the reasonable compensation, expenses, disbursements and advances of the Trustee, its agents and counsel; and </w:t>
      </w:r>
    </w:p>
    <w:p>
      <w:pPr>
        <w:pStyle w:val="TextBody"/>
        <w:bidi w:val="0"/>
        <w:spacing w:before="120" w:after="0"/>
        <w:jc w:val="left"/>
        <w:rPr>
          <w:rFonts w:ascii="Times New Roman" w:hAnsi="Times New Roman"/>
          <w:sz w:val="20"/>
        </w:rPr>
      </w:pPr>
      <w:r>
        <w:rPr>
          <w:rFonts w:ascii="Times New Roman" w:hAnsi="Times New Roman"/>
          <w:sz w:val="20"/>
        </w:rPr>
        <w:t xml:space="preserve">(ii) all Events of Default with respect to Securities of that series, other than the nonpayment of the principal of (or premium, if any) or interest on Securities of that series that have become due solely by such declaration of acceleration, have been cured or waived as provided in Section 5.13. </w:t>
      </w:r>
    </w:p>
    <w:p>
      <w:pPr>
        <w:pStyle w:val="TextBody"/>
        <w:bidi w:val="0"/>
        <w:spacing w:before="240" w:after="0"/>
        <w:jc w:val="left"/>
        <w:rPr>
          <w:rFonts w:ascii="Times New Roman" w:hAnsi="Times New Roman"/>
          <w:sz w:val="20"/>
        </w:rPr>
      </w:pPr>
      <w:r>
        <w:rPr>
          <w:rFonts w:ascii="Times New Roman" w:hAnsi="Times New Roman"/>
          <w:sz w:val="20"/>
        </w:rPr>
        <w:t xml:space="preserve">No such rescission shall affect any subsequent default or impair any right consequent thereon.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5.03. </w:t>
      </w:r>
      <w:r>
        <w:rPr>
          <w:rFonts w:ascii="Times New Roman" w:hAnsi="Times New Roman"/>
          <w:sz w:val="20"/>
          <w:u w:val="single"/>
        </w:rPr>
        <w:t>Collection of Indebtedness and Suits for Enforcement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that if: </w:t>
      </w:r>
    </w:p>
    <w:p>
      <w:pPr>
        <w:pStyle w:val="TextBody"/>
        <w:bidi w:val="0"/>
        <w:spacing w:before="120" w:after="0"/>
        <w:jc w:val="left"/>
        <w:rPr>
          <w:rFonts w:ascii="Times New Roman" w:hAnsi="Times New Roman"/>
          <w:sz w:val="20"/>
        </w:rPr>
      </w:pPr>
      <w:r>
        <w:rPr>
          <w:rFonts w:ascii="Times New Roman" w:hAnsi="Times New Roman"/>
          <w:sz w:val="20"/>
        </w:rPr>
        <w:t xml:space="preserve">(i) default is made in the payment of any installment of interest on any Security of any series when such interest becomes due and payable and such default continues for a period of 30 days, or </w:t>
      </w:r>
    </w:p>
    <w:p>
      <w:pPr>
        <w:pStyle w:val="TextBody"/>
        <w:bidi w:val="0"/>
        <w:spacing w:before="120" w:after="0"/>
        <w:jc w:val="left"/>
        <w:rPr>
          <w:rFonts w:ascii="Times New Roman" w:hAnsi="Times New Roman"/>
          <w:sz w:val="20"/>
        </w:rPr>
      </w:pPr>
      <w:r>
        <w:rPr>
          <w:rFonts w:ascii="Times New Roman" w:hAnsi="Times New Roman"/>
          <w:sz w:val="20"/>
        </w:rPr>
        <w:t xml:space="preserve">(ii) default is made in the payment of the principal of (or premium, if any) any Security of any series at its Maturity, </w:t>
      </w:r>
    </w:p>
    <w:p>
      <w:pPr>
        <w:pStyle w:val="TextBody"/>
        <w:bidi w:val="0"/>
        <w:spacing w:before="240" w:after="0"/>
        <w:jc w:val="left"/>
        <w:rPr>
          <w:rFonts w:ascii="Times New Roman" w:hAnsi="Times New Roman"/>
          <w:sz w:val="20"/>
        </w:rPr>
      </w:pPr>
      <w:r>
        <w:rPr>
          <w:rFonts w:ascii="Times New Roman" w:hAnsi="Times New Roman"/>
          <w:sz w:val="20"/>
        </w:rPr>
        <w:t xml:space="preserve">then the Company will, upon demand of the Trustee, pay to the Trustee, for the benefit of the Holders of Securities of such series, the whole amount then due and payable on such Securities for principal (and premium, if any) and interest, if any, with interest upon any overdue principal (and premium, if any) and, to the extent that payment of such interest shall be legally enforceable, upon any overdue installments of interest, if any, at the rate or rates borne by or provided for in such Securities, and, in addition thereto, such further amount as shall be sufficient to cover the costs and expenses of collection, including the reasonable compensation, expenses, disbursements and advances of the Trustee, its agents and counsel.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Company or any other obligor upon Securities of such series and collect the moneys adjudged or decreed to be payable in the manner provided by law out of the property of the Company or any other obligor upon such Securities of such series, wherever situated.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 </w:t>
      </w:r>
    </w:p>
    <w:p>
      <w:pPr>
        <w:pStyle w:val="TextBody"/>
        <w:bidi w:val="0"/>
        <w:spacing w:before="240" w:after="0"/>
        <w:jc w:val="left"/>
        <w:rPr>
          <w:rFonts w:ascii="Times New Roman" w:hAnsi="Times New Roman"/>
          <w:sz w:val="20"/>
        </w:rPr>
      </w:pPr>
      <w:r>
        <w:rPr>
          <w:rFonts w:ascii="Times New Roman" w:hAnsi="Times New Roman"/>
          <w:sz w:val="20"/>
        </w:rPr>
        <w:t>Section 5.04. </w:t>
      </w:r>
      <w:r>
        <w:rPr>
          <w:rFonts w:ascii="Times New Roman" w:hAnsi="Times New Roman"/>
          <w:sz w:val="20"/>
          <w:u w:val="single"/>
        </w:rPr>
        <w:t>Trustee May File Proofs of Claim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of any series shall then be due and payable as therein expressed or by declaration or otherwise and irrespective of whether the Trustee shall have made any demand on the Company for the payment of any overdue principal, premium or interest) shall be entitled and empowered, by intervention in such proceeding or otherwise: </w:t>
      </w:r>
    </w:p>
    <w:p>
      <w:pPr>
        <w:pStyle w:val="TextBody"/>
        <w:bidi w:val="0"/>
        <w:spacing w:before="120" w:after="0"/>
        <w:jc w:val="left"/>
        <w:rPr>
          <w:rFonts w:ascii="Times New Roman" w:hAnsi="Times New Roman"/>
          <w:sz w:val="20"/>
        </w:rPr>
      </w:pPr>
      <w:r>
        <w:rPr>
          <w:rFonts w:ascii="Times New Roman" w:hAnsi="Times New Roman"/>
          <w:sz w:val="20"/>
        </w:rPr>
        <w:t xml:space="preserve">(i) to file and prove a claim for the whole amount of principal (or in the case of Original Issue Discount Securities or Indexed Securities, such portion of the principal as may be provided for in the terms thereof) (and premium, if any) and interest, if any, owing and unpaid in respect of the Securities and to file such other papers or documents (and take such other actions, including voting for the election of a trustee in bankruptcy or similar official and serving on a committee of creditors) as may be necessary or advisable in order to have the claims of the Trustee (including any claim for the reasonable compensation, expenses, disbursements and advances of the Trustee, its agents and counsel) and of the Holders allowed in such judicial proceeding,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collect and receive any moneys or other property payable or deliverable on any such claims and to distribute the same; </w:t>
      </w:r>
    </w:p>
    <w:p>
      <w:pPr>
        <w:pStyle w:val="TextBody"/>
        <w:bidi w:val="0"/>
        <w:spacing w:before="240" w:after="0"/>
        <w:jc w:val="left"/>
        <w:rPr>
          <w:rFonts w:ascii="Times New Roman" w:hAnsi="Times New Roman"/>
          <w:sz w:val="20"/>
        </w:rPr>
      </w:pPr>
      <w:r>
        <w:rPr>
          <w:rFonts w:ascii="Times New Roman" w:hAnsi="Times New Roman"/>
          <w:sz w:val="20"/>
        </w:rPr>
        <w:t xml:space="preserve">and any custodian, receiver, assignee, trustee, liquidator, sequestrator (or other similar official) in any such judicial proceeding is hereby authorized by each Holder of Securities of such series to make such payments to the Trustee, and in the event that the Trustee shall consent to the making of such payments directly to the Holders, to pay to the Trustee any amount due to it for the reasonable compensation, expenses, disbursements and advances of the Trustee and any predecessor Trustee, their agents and counsel, and any other amounts due the Trustee or any predecessor Trustee under Section 6.06. To the extent that the payment of any such compensation, expenses, disbursements and advances of the Trustee, its agents and counsel, and any other amounts due the Trustee under Section 6.06 hereof out of the estate in any such proceeding, shall be unpaid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Subject to Article Eight and Section 9.02 and unless otherwise provided as contemplated by Section 3.01, nothing herein contained shall be deemed to authorize the Trustee to authorize or consent to or accept or adopt on behalf of any Holder of a Security any plan of reorganization, arrangement, adjustment or composition affecting the Securities or the rights of any Holder thereof, or to authorize the Trustee to vote in respect of the claim of any Holder of a Security in any such proceeding. </w:t>
      </w:r>
    </w:p>
    <w:p>
      <w:pPr>
        <w:pStyle w:val="TextBody"/>
        <w:bidi w:val="0"/>
        <w:spacing w:before="240" w:after="0"/>
        <w:jc w:val="left"/>
        <w:rPr>
          <w:rFonts w:ascii="Times New Roman" w:hAnsi="Times New Roman"/>
          <w:sz w:val="20"/>
        </w:rPr>
      </w:pPr>
      <w:r>
        <w:rPr>
          <w:rFonts w:ascii="Times New Roman" w:hAnsi="Times New Roman"/>
          <w:sz w:val="20"/>
        </w:rPr>
        <w:t>Section 5.05. </w:t>
      </w:r>
      <w:r>
        <w:rPr>
          <w:rFonts w:ascii="Times New Roman" w:hAnsi="Times New Roman"/>
          <w:sz w:val="20"/>
          <w:u w:val="single"/>
        </w:rPr>
        <w:t>Trustee May Enforce Claims Without Possession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All rights of action and claims under this Indenture or any of the Securities may be prosecuted and enforced by the Trustee without the possession of any of the Securities or the production thereof in any proceeding relating thereto, and any such proceeding instituted by the Trustee shall be brought in its own name and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 </w:t>
      </w:r>
    </w:p>
    <w:p>
      <w:pPr>
        <w:pStyle w:val="TextBody"/>
        <w:bidi w:val="0"/>
        <w:spacing w:before="240" w:after="0"/>
        <w:jc w:val="left"/>
        <w:rPr>
          <w:rFonts w:ascii="Times New Roman" w:hAnsi="Times New Roman"/>
          <w:sz w:val="20"/>
        </w:rPr>
      </w:pPr>
      <w:r>
        <w:rPr>
          <w:rFonts w:ascii="Times New Roman" w:hAnsi="Times New Roman"/>
          <w:sz w:val="20"/>
        </w:rPr>
        <w:t>Section 5.06. </w:t>
      </w:r>
      <w:r>
        <w:rPr>
          <w:rFonts w:ascii="Times New Roman" w:hAnsi="Times New Roman"/>
          <w:sz w:val="20"/>
          <w:u w:val="single"/>
        </w:rPr>
        <w:t>Application of Money Collected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money or property collected by the Trustee pursuant to this Article and after an Event of Default any money or other property distributable in respect of the Companys obligations under this Indenture shall be applied in the following order, at the date or dates fixed by the Trustee and, in case of the distribution of such money or property on account of principal (or premium, if any) or interest, if any, upon presentation of the Securities and the notation thereon of the payment if only partially paid and upon surrender thereof if fully paid: </w:t>
      </w:r>
    </w:p>
    <w:p>
      <w:pPr>
        <w:pStyle w:val="TextBody"/>
        <w:bidi w:val="0"/>
        <w:spacing w:before="120" w:after="0"/>
        <w:jc w:val="left"/>
        <w:rPr>
          <w:rFonts w:ascii="Times New Roman" w:hAnsi="Times New Roman"/>
          <w:sz w:val="20"/>
        </w:rPr>
      </w:pPr>
      <w:r>
        <w:rPr>
          <w:rFonts w:ascii="Times New Roman" w:hAnsi="Times New Roman"/>
          <w:sz w:val="20"/>
        </w:rPr>
        <w:t xml:space="preserve">FIRST: To the payment of all amounts due the Trustee and any predecessor Trustee under Section 6.06;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SECOND: To the payment of the amounts then due and unpaid upon any Senior Securities for principal (and premium, if any) and interest, if any, in respect of which or for the benefit of which such money has been collected, ratably, without preference or priority of any kind, according to the aggregate amounts due and payable on such Senior Securities for principal (and premium, if any) and interest, if any,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THIRD: To the payment of the amounts then due and unpaid upon any Senior Subordinated Securities for principal (and premium, if any) and interest, if any, in respect of which or for the benefit of which such money has been collected, ratably, without preference or priority of any kind, according to the aggregate amounts due and payable on such Senior Subordinated Securities for principal (and premium, if any) and interest, if any,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FOURTH: To the payment of the amounts then due and unpaid upon any other Securities for principal (and premium, if any) and interest, if any, in respect of which or for the benefit of which such money has been collected, ratably, without preference or priority of any kind, according to the aggregate amounts due and payable on such Securities for principal (and premium, if any) and interest, if any, respectively; and </w:t>
      </w:r>
    </w:p>
    <w:p>
      <w:pPr>
        <w:pStyle w:val="TextBody"/>
        <w:bidi w:val="0"/>
        <w:spacing w:before="240" w:after="0"/>
        <w:jc w:val="left"/>
        <w:rPr>
          <w:rFonts w:ascii="Times New Roman" w:hAnsi="Times New Roman"/>
          <w:sz w:val="20"/>
        </w:rPr>
      </w:pPr>
      <w:r>
        <w:rPr>
          <w:rFonts w:ascii="Times New Roman" w:hAnsi="Times New Roman"/>
          <w:sz w:val="20"/>
        </w:rPr>
        <w:t xml:space="preserve">FIFTH: To the payment of the remainder, if any, to the Company or any other Person or Persons entitled thereto. </w:t>
      </w:r>
    </w:p>
    <w:p>
      <w:pPr>
        <w:pStyle w:val="TextBody"/>
        <w:bidi w:val="0"/>
        <w:spacing w:before="240" w:after="0"/>
        <w:jc w:val="left"/>
        <w:rPr>
          <w:rFonts w:ascii="Times New Roman" w:hAnsi="Times New Roman"/>
          <w:sz w:val="20"/>
        </w:rPr>
      </w:pPr>
      <w:r>
        <w:rPr>
          <w:rFonts w:ascii="Times New Roman" w:hAnsi="Times New Roman"/>
          <w:sz w:val="20"/>
        </w:rPr>
        <w:t>Section 5.07. </w:t>
      </w:r>
      <w:r>
        <w:rPr>
          <w:rFonts w:ascii="Times New Roman" w:hAnsi="Times New Roman"/>
          <w:sz w:val="20"/>
          <w:u w:val="single"/>
        </w:rPr>
        <w:t>Limitation on Suits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Holder of any Security of any series shall have any right to institute any proceeding, judicial or otherwise, with respect to this Indenture, or for the appointment of a receiver or trustee, or for any other remedy hereunder,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 of a continuing Event of Default with respect to the Securities of that series;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not less than 25% in principal amount of the Outstanding Securities of that series shall have made written request to the Trustee to institute proceedings in respect of such Event of Default in its own name as Trustee hereunder; </w:t>
      </w:r>
    </w:p>
    <w:p>
      <w:pPr>
        <w:pStyle w:val="TextBody"/>
        <w:bidi w:val="0"/>
        <w:spacing w:before="120" w:after="0"/>
        <w:jc w:val="left"/>
        <w:rPr>
          <w:rFonts w:ascii="Times New Roman" w:hAnsi="Times New Roman"/>
          <w:sz w:val="20"/>
        </w:rPr>
      </w:pPr>
      <w:r>
        <w:rPr>
          <w:rFonts w:ascii="Times New Roman" w:hAnsi="Times New Roman"/>
          <w:sz w:val="20"/>
        </w:rPr>
        <w:t xml:space="preserve">(iii) such Holder or Holders have offered to the Trustee security or indemnity satisfactory to the Trustee against the costs, expenses and liabilities to be incurred in compliance with such request; </w:t>
      </w:r>
    </w:p>
    <w:p>
      <w:pPr>
        <w:pStyle w:val="TextBody"/>
        <w:bidi w:val="0"/>
        <w:spacing w:before="120" w:after="0"/>
        <w:jc w:val="left"/>
        <w:rPr>
          <w:rFonts w:ascii="Times New Roman" w:hAnsi="Times New Roman"/>
          <w:sz w:val="20"/>
        </w:rPr>
      </w:pPr>
      <w:r>
        <w:rPr>
          <w:rFonts w:ascii="Times New Roman" w:hAnsi="Times New Roman"/>
          <w:sz w:val="20"/>
        </w:rPr>
        <w:t xml:space="preserve">(iv) the Trustee for 60 days after its receipt of such notice, request and offer of security or indemnity has failed to institute any such proceeding; and </w:t>
      </w:r>
    </w:p>
    <w:p>
      <w:pPr>
        <w:pStyle w:val="TextBody"/>
        <w:bidi w:val="0"/>
        <w:spacing w:before="120" w:after="0"/>
        <w:jc w:val="left"/>
        <w:rPr>
          <w:rFonts w:ascii="Times New Roman" w:hAnsi="Times New Roman"/>
          <w:sz w:val="20"/>
        </w:rPr>
      </w:pPr>
      <w:r>
        <w:rPr>
          <w:rFonts w:ascii="Times New Roman" w:hAnsi="Times New Roman"/>
          <w:sz w:val="20"/>
        </w:rPr>
        <w:t xml:space="preserve">(v) no direction inconsistent with such written request has been given to the Trustee during such 60-day period by the Holders of a majority in principal amount of the Outstanding Securities of that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w:t>
      </w:r>
    </w:p>
    <w:p>
      <w:pPr>
        <w:pStyle w:val="TextBody"/>
        <w:bidi w:val="0"/>
        <w:spacing w:before="240" w:after="0"/>
        <w:jc w:val="left"/>
        <w:rPr>
          <w:rFonts w:ascii="Times New Roman" w:hAnsi="Times New Roman"/>
          <w:sz w:val="20"/>
        </w:rPr>
      </w:pPr>
      <w:r>
        <w:rPr>
          <w:rFonts w:ascii="Times New Roman" w:hAnsi="Times New Roman"/>
          <w:sz w:val="20"/>
        </w:rPr>
        <w:t>Section 5.08. </w:t>
      </w:r>
      <w:r>
        <w:rPr>
          <w:rFonts w:ascii="Times New Roman" w:hAnsi="Times New Roman"/>
          <w:sz w:val="20"/>
          <w:u w:val="single"/>
        </w:rPr>
        <w:t>Unconditional Right of Holders to Receive Principal, Premium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this Indenture, the Holder of any Security shall have the right, which is absolute and unconditional, to receive payment of the principal of (and premium, if any) and (subject to Sections 3.05 and 3.07) interest, if any, on such Security on the Stated Maturity or Maturities expressed in such Security (or, in the case of redemption, on the Redemption Date or, in the case of repayment at the option of the Holders on the Repayment Date) and to institute suit for the enforcement of any such payment, and such rights shall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Section 5.09. </w:t>
      </w:r>
      <w:r>
        <w:rPr>
          <w:rFonts w:ascii="Times New Roman" w:hAnsi="Times New Roman"/>
          <w:sz w:val="20"/>
          <w:u w:val="single"/>
        </w:rPr>
        <w:t>Restoration of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of a Security has instituted any proceeding to enforce any right or remedy under this Indenture and such proceeding has been discontinued or abandoned for any reason, or has been determined adversely to the Trustee or to such Holder, then and in every such case the Company, the Trustee and the Holders of Securities shall, subject to any determination in such proceeding, be restored severally and respectively to their former positions hereunder and thereafter all rights and remedies of the Trustee and the Holders shall continue as though no such proceeding had been instituted. </w:t>
      </w:r>
    </w:p>
    <w:p>
      <w:pPr>
        <w:pStyle w:val="TextBody"/>
        <w:bidi w:val="0"/>
        <w:spacing w:before="240" w:after="0"/>
        <w:jc w:val="left"/>
        <w:rPr>
          <w:rFonts w:ascii="Times New Roman" w:hAnsi="Times New Roman"/>
          <w:sz w:val="20"/>
        </w:rPr>
      </w:pPr>
      <w:r>
        <w:rPr>
          <w:rFonts w:ascii="Times New Roman" w:hAnsi="Times New Roman"/>
          <w:sz w:val="20"/>
        </w:rPr>
        <w:t>Section 5.10. </w:t>
      </w:r>
      <w:r>
        <w:rPr>
          <w:rFonts w:ascii="Times New Roman" w:hAnsi="Times New Roman"/>
          <w:sz w:val="20"/>
          <w:u w:val="single"/>
        </w:rPr>
        <w:t>Rights and Remedies Cumulative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with respect to the replacement or payment of mutilated, destroyed, lost or stolen Securities in the last paragraph of Section 3.06, no right or remedy herein conferred upon or reserved to the Trustee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 </w:t>
      </w:r>
    </w:p>
    <w:p>
      <w:pPr>
        <w:pStyle w:val="TextBody"/>
        <w:bidi w:val="0"/>
        <w:spacing w:before="240" w:after="0"/>
        <w:jc w:val="left"/>
        <w:rPr>
          <w:rFonts w:ascii="Times New Roman" w:hAnsi="Times New Roman"/>
          <w:sz w:val="20"/>
        </w:rPr>
      </w:pPr>
      <w:r>
        <w:rPr>
          <w:rFonts w:ascii="Times New Roman" w:hAnsi="Times New Roman"/>
          <w:sz w:val="20"/>
        </w:rPr>
        <w:t>Section 5.11. </w:t>
      </w:r>
      <w:r>
        <w:rPr>
          <w:rFonts w:ascii="Times New Roman" w:hAnsi="Times New Roman"/>
          <w:sz w:val="20"/>
          <w:u w:val="single"/>
        </w:rPr>
        <w:t>Delay or Omission Not Waiver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delay or omission of the Trustee or of any Holder of any Security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of Securities, as the case may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5.12. </w:t>
      </w:r>
      <w:r>
        <w:rPr>
          <w:rFonts w:ascii="Times New Roman" w:hAnsi="Times New Roman"/>
          <w:sz w:val="20"/>
          <w:u w:val="single"/>
        </w:rPr>
        <w:t>Control by Holders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Section 6.02(v), 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Times New Roman" w:hAnsi="Times New Roman"/>
          <w:sz w:val="20"/>
          <w:u w:val="single"/>
        </w:rPr>
        <w:t>provided</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(i) such direction shall not be in conflict with any rule of law or with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may take any other action deemed proper by the Trustee that is not inconsistent with such direction, and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need not take any action that might involve it in personal liability or be unjustly prejudicial to the Holders of Securities of such series not consenting (it being understood that the Trustee does not have an affirmative duty to ascertain whether or not any such directions are unduly prejudicial to such Holders). </w:t>
      </w:r>
    </w:p>
    <w:p>
      <w:pPr>
        <w:pStyle w:val="TextBody"/>
        <w:bidi w:val="0"/>
        <w:spacing w:before="240" w:after="0"/>
        <w:jc w:val="left"/>
        <w:rPr>
          <w:rFonts w:ascii="Times New Roman" w:hAnsi="Times New Roman"/>
          <w:sz w:val="20"/>
        </w:rPr>
      </w:pPr>
      <w:r>
        <w:rPr>
          <w:rFonts w:ascii="Times New Roman" w:hAnsi="Times New Roman"/>
          <w:sz w:val="20"/>
        </w:rPr>
        <w:t>Section 5.13. </w:t>
      </w:r>
      <w:r>
        <w:rPr>
          <w:rFonts w:ascii="Times New Roman" w:hAnsi="Times New Roman"/>
          <w:sz w:val="20"/>
          <w:u w:val="single"/>
        </w:rPr>
        <w:t>Waiver of Past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Section 5.02, the Holders of not less than a majority in principal amount of the Outstanding Securities of any series may on behalf of the Holders of all the Securities of such series waive any past default hereunder with respect to Securities of such series and its consequences, except a default </w:t>
      </w:r>
    </w:p>
    <w:p>
      <w:pPr>
        <w:pStyle w:val="TextBody"/>
        <w:bidi w:val="0"/>
        <w:spacing w:before="120" w:after="0"/>
        <w:jc w:val="left"/>
        <w:rPr>
          <w:rFonts w:ascii="Times New Roman" w:hAnsi="Times New Roman"/>
          <w:sz w:val="20"/>
        </w:rPr>
      </w:pPr>
      <w:r>
        <w:rPr>
          <w:rFonts w:ascii="Times New Roman" w:hAnsi="Times New Roman"/>
          <w:sz w:val="20"/>
        </w:rPr>
        <w:t xml:space="preserve">(i) in the payment of the principal of (or premium, if any) or interest, if any, on any Security of such series, or </w:t>
      </w:r>
    </w:p>
    <w:p>
      <w:pPr>
        <w:pStyle w:val="TextBody"/>
        <w:bidi w:val="0"/>
        <w:spacing w:before="120" w:after="0"/>
        <w:jc w:val="left"/>
        <w:rPr>
          <w:rFonts w:ascii="Times New Roman" w:hAnsi="Times New Roman"/>
          <w:sz w:val="20"/>
        </w:rPr>
      </w:pPr>
      <w:r>
        <w:rPr>
          <w:rFonts w:ascii="Times New Roman" w:hAnsi="Times New Roman"/>
          <w:sz w:val="20"/>
        </w:rPr>
        <w:t xml:space="preserve">(ii) in respect of a covenant or provision hereof which under Article Nine cannot be modified or amended without the consent of the Holder of each Outstanding Security of such series affected. </w:t>
      </w:r>
    </w:p>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 </w:t>
      </w:r>
    </w:p>
    <w:p>
      <w:pPr>
        <w:pStyle w:val="TextBody"/>
        <w:bidi w:val="0"/>
        <w:spacing w:before="240" w:after="0"/>
        <w:jc w:val="left"/>
        <w:rPr>
          <w:rFonts w:ascii="Times New Roman" w:hAnsi="Times New Roman"/>
          <w:sz w:val="20"/>
        </w:rPr>
      </w:pPr>
      <w:r>
        <w:rPr>
          <w:rFonts w:ascii="Times New Roman" w:hAnsi="Times New Roman"/>
          <w:sz w:val="20"/>
        </w:rPr>
        <w:t>Section 5.14. </w:t>
      </w:r>
      <w:r>
        <w:rPr>
          <w:rFonts w:ascii="Times New Roman" w:hAnsi="Times New Roman"/>
          <w:sz w:val="20"/>
          <w:u w:val="single"/>
        </w:rPr>
        <w:t>Waiver of Stay or Extension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(to the extent that it may lawfully do so) that it will not at any time insist upon, or plead, or in any manner whatsoever claim or take the benefit or advantage of, any stay or extension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5.15. </w:t>
      </w:r>
      <w:r>
        <w:rPr>
          <w:rFonts w:ascii="Times New Roman" w:hAnsi="Times New Roman"/>
          <w:sz w:val="20"/>
          <w:u w:val="single"/>
        </w:rPr>
        <w:t>Undertaking for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5.15 does not apply to a suit by the Trustee, a suit by a Holder of a Note pursuant to Section 5.08 hereof, or a suit by Holders of more than 10% in principal amount of the then outstanding Securities.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SIX </w:t>
      </w:r>
    </w:p>
    <w:p>
      <w:pPr>
        <w:pStyle w:val="TextBody"/>
        <w:bidi w:val="0"/>
        <w:spacing w:before="12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sz w:val="20"/>
        </w:rPr>
        <w:t>Section 6.01. </w:t>
      </w:r>
      <w:r>
        <w:rPr>
          <w:rFonts w:ascii="Times New Roman" w:hAnsi="Times New Roman"/>
          <w:sz w:val="20"/>
          <w:u w:val="single"/>
        </w:rPr>
        <w:t>Notice of Defaults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Within 90 days after the occurrence of any Default hereunder with respect to the Securities of any series, the Trustee shall transmit in the manner and to the extent provided in TIA Section 313(c), notice of such Default hereunder actually known to a Responsible Officer of the Trustee, unless such Default shall have been cured or waived; provided, however, that, except in the case of a Default in the payment of the principal of (or premium, if any) or interest, if any, on any Security of such series, or in the payment of any sinking or purchase fund installment with respect to the Securities of such series, the Trustee shall be protected in withholding such notice if and so long as the Trustee in good faith determines that the withholding of such notice is in the interest of the Holders of the Securities of such series; and provided further that in the case of any Default or breach of the character specified in Section 5.01(iv) with respect to the Securities of such series, no such notice to Holders shall be given until at least 60 days after the occurrence thereof. </w:t>
      </w:r>
    </w:p>
    <w:p>
      <w:pPr>
        <w:pStyle w:val="TextBody"/>
        <w:bidi w:val="0"/>
        <w:spacing w:before="240" w:after="0"/>
        <w:jc w:val="left"/>
        <w:rPr>
          <w:rFonts w:ascii="Times New Roman" w:hAnsi="Times New Roman"/>
          <w:sz w:val="20"/>
        </w:rPr>
      </w:pPr>
      <w:r>
        <w:rPr>
          <w:rFonts w:ascii="Times New Roman" w:hAnsi="Times New Roman"/>
          <w:sz w:val="20"/>
        </w:rPr>
        <w:t xml:space="preserve">(b) Prior to the time when the occurrence of an Event of Default becomes known to a Responsible Officer of the Trustee and after the curing or waiving of all such Events of Default with respect to a series of Securities that may have occurred: </w:t>
      </w:r>
    </w:p>
    <w:p>
      <w:pPr>
        <w:pStyle w:val="TextBody"/>
        <w:bidi w:val="0"/>
        <w:spacing w:before="120" w:after="0"/>
        <w:jc w:val="left"/>
        <w:rPr>
          <w:rFonts w:ascii="Times New Roman" w:hAnsi="Times New Roman"/>
          <w:sz w:val="20"/>
        </w:rPr>
      </w:pPr>
      <w:r>
        <w:rPr>
          <w:rFonts w:ascii="Times New Roman" w:hAnsi="Times New Roman"/>
          <w:sz w:val="20"/>
        </w:rPr>
        <w:t xml:space="preserve">(i) the duties and obligations of the Trustee shall with respect to the Securities of any series be determined solely by the express provisions of this Indenture, and the Trustee shall not be liable with respect to the Securities except for the performance of such duties and obligations as are specifically set forth in this Indenture, and no implied covenants or obligations shall be read into this Indenture against the Trustee; and </w:t>
      </w:r>
    </w:p>
    <w:p>
      <w:pPr>
        <w:pStyle w:val="TextBody"/>
        <w:bidi w:val="0"/>
        <w:spacing w:before="120" w:after="0"/>
        <w:jc w:val="left"/>
        <w:rPr>
          <w:rFonts w:ascii="Times New Roman" w:hAnsi="Times New Roman"/>
          <w:sz w:val="20"/>
        </w:rPr>
      </w:pPr>
      <w:r>
        <w:rPr>
          <w:rFonts w:ascii="Times New Roman" w:hAnsi="Times New Roman"/>
          <w:sz w:val="20"/>
        </w:rPr>
        <w:t xml:space="preserve">(ii) in the absence of bad faith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any mathematical calculations or other facts stated therein). </w:t>
      </w:r>
    </w:p>
    <w:p>
      <w:pPr>
        <w:pStyle w:val="TextBody"/>
        <w:bidi w:val="0"/>
        <w:spacing w:before="240" w:after="0"/>
        <w:jc w:val="left"/>
        <w:rPr>
          <w:rFonts w:ascii="Times New Roman" w:hAnsi="Times New Roman"/>
          <w:sz w:val="20"/>
        </w:rPr>
      </w:pPr>
      <w:r>
        <w:rPr>
          <w:rFonts w:ascii="Times New Roman" w:hAnsi="Times New Roman"/>
          <w:sz w:val="20"/>
        </w:rPr>
        <w:t xml:space="preserve">(c) If an Event of Default has occurred and is continuing with respect to the Securities of any series of which a Responsible Officer of the Trustee has actual notice, the Trustee shall exercise such of the rights and powers vested in it by this Indenture with respect to the Securities of such series, and use the same degree of care and skill in their exercise, as a prudent person would exercise or use under the circumstances in the conduct of such persons own affairs.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Trustee may not be relieved from liabilities for its own negligent action, its own negligent failure to act, or its own willful misconduct, except that: (i) this paragraph does not limit the effect of paragraph (b) of this Section 6.01; (ii) the Trustee shall not be liable for any error of judgment made in good faith by a Responsible Officer or Responsible Officers, unless it shall be proved that the Trustee was negligent in ascertaining the pertinent facts; and (iii) the Trustee shall not be liable with respect to any action it takes or omits to take in good faith in accordance with the direction of the holders of not less than a majority in principal amount of the Securities Outstanding relating to the time, method, and place of conducting any proceeding for any remedy available to the Trustee, or exercising any trust or power conferred upon the Trustee, with respect to the Securities of any series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(e) Whether or not therein expressly so provided, every provision of this Indenture that in any way relates to the Trustee is subject to paragraphs (a), (b), (c) and (d) of this Section 6.01. </w:t>
      </w:r>
    </w:p>
    <w:p>
      <w:pPr>
        <w:pStyle w:val="TextBody"/>
        <w:bidi w:val="0"/>
        <w:spacing w:before="240" w:after="0"/>
        <w:jc w:val="left"/>
        <w:rPr>
          <w:rFonts w:ascii="Times New Roman" w:hAnsi="Times New Roman"/>
          <w:sz w:val="20"/>
        </w:rPr>
      </w:pPr>
      <w:r>
        <w:rPr>
          <w:rFonts w:ascii="Times New Roman" w:hAnsi="Times New Roman"/>
          <w:sz w:val="20"/>
        </w:rPr>
        <w:t>Section 6.02. </w:t>
      </w:r>
      <w:r>
        <w:rPr>
          <w:rFonts w:ascii="Times New Roman" w:hAnsi="Times New Roman"/>
          <w:sz w:val="20"/>
          <w:u w:val="single"/>
        </w:rPr>
        <w:t>Certain Rights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TIA Section 315(a) through 315(d): </w:t>
      </w:r>
    </w:p>
    <w:p>
      <w:pPr>
        <w:pStyle w:val="TextBody"/>
        <w:bidi w:val="0"/>
        <w:spacing w:before="120" w:after="0"/>
        <w:jc w:val="left"/>
        <w:rPr>
          <w:rFonts w:ascii="Times New Roman" w:hAnsi="Times New Roman"/>
          <w:sz w:val="20"/>
        </w:rPr>
      </w:pPr>
      <w:r>
        <w:rPr>
          <w:rFonts w:ascii="Times New Roman" w:hAnsi="Times New Roman"/>
          <w:sz w:val="20"/>
        </w:rPr>
        <w:t xml:space="preserve">(i) The Trustee may rely and shall be protected in acting or refraining from acting upon any resolution, certificate, statement, instrument, opinion, report, notice, request, direction, consent, order, bond, debenture, note, coupon or other paper or document (whether in its original or facsimile form) believed by it to be genuine and to have been signed or presented by the proper party or parties. </w:t>
      </w:r>
    </w:p>
    <w:p>
      <w:pPr>
        <w:pStyle w:val="TextBody"/>
        <w:bidi w:val="0"/>
        <w:spacing w:before="120" w:after="0"/>
        <w:jc w:val="left"/>
        <w:rPr>
          <w:rFonts w:ascii="Times New Roman" w:hAnsi="Times New Roman"/>
          <w:sz w:val="20"/>
        </w:rPr>
      </w:pPr>
      <w:r>
        <w:rPr>
          <w:rFonts w:ascii="Times New Roman" w:hAnsi="Times New Roman"/>
          <w:sz w:val="20"/>
        </w:rPr>
        <w:t xml:space="preserve">(ii) Any request or direction of the Company mentioned herein shall be sufficiently evidenced by a Company Request or Company Order (other than delivery of any Security to the Trustee for authentication and delivery pursuant to Section 3.03 which shall be sufficiently evidenced as provided therein) and any resolution of the Board of Directors may be sufficiently evidenced by a Board Resolution. </w:t>
      </w:r>
    </w:p>
    <w:p>
      <w:pPr>
        <w:pStyle w:val="TextBody"/>
        <w:bidi w:val="0"/>
        <w:spacing w:before="120" w:after="0"/>
        <w:jc w:val="left"/>
        <w:rPr>
          <w:rFonts w:ascii="Times New Roman" w:hAnsi="Times New Roman"/>
          <w:sz w:val="20"/>
        </w:rPr>
      </w:pPr>
      <w:r>
        <w:rPr>
          <w:rFonts w:ascii="Times New Roman" w:hAnsi="Times New Roman"/>
          <w:sz w:val="20"/>
        </w:rPr>
        <w:t xml:space="preserve">(iii) Whenever in the administration of this Indenture the Trustee shall deem it desirable that a matter be proved or established prior to taking, suffering or omitting any action hereunder, the Trustee (unless other evidence be herein specifically prescribed) may require and rely upon a Board Resolution, an Opinion of Counsel and/or an Officers Certificate and the Trustee shall not be liable for any action it takes or omits to take in good faith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(iv) The Trustee may consult with counsel concerning all matters hereunder, and may in all cases pay such reasonable compensation to any attorney, agent, receiver or employee retained or employed by it in connection herewith and the advice of such counsel or any Opinion of Counsel shall be full and complete authorization and protection in respect of any action taken, suffered or omitted by it hereunder in good faith and in reliance thereon. </w:t>
      </w:r>
    </w:p>
    <w:p>
      <w:pPr>
        <w:pStyle w:val="TextBody"/>
        <w:bidi w:val="0"/>
        <w:spacing w:before="120" w:after="0"/>
        <w:jc w:val="left"/>
        <w:rPr>
          <w:rFonts w:ascii="Times New Roman" w:hAnsi="Times New Roman"/>
          <w:sz w:val="20"/>
        </w:rPr>
      </w:pPr>
      <w:r>
        <w:rPr>
          <w:rFonts w:ascii="Times New Roman" w:hAnsi="Times New Roman"/>
          <w:sz w:val="20"/>
        </w:rPr>
        <w:t xml:space="preserve">(v) The Trustee shall be under no obligation to take any action or exercise any of the rights or powers vested in it by this Indenture at the request or direction of any of the Holders of Securities of any series pursuant to this Indenture, unless such Holders shall have offered to the Trustee security or indemnity satisfactory to the Trustee against the costs, expenses and liabilities (including the reasonable fees and expenses of its agents and counsel) which might be incurred by it in compliance with such request or direction.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The Trustee shall not be bound to make any investigation into the facts or matters stated in any resolution, certificate, statement, instrument, opinion, report, notice, request, direction, consent, order, bond, debenture, note, coupon or other paper or document, but the Trustee, in its discretion, may make such further inquiry or investigation into such facts or matters as it may see fit, and, if the Trustee shall determine to make such further inquiry or investigation, it shall be entitled upon reasonable notice and at reasonable times during normal business hours to examine the books, records and premises of the Company, personally or by agent or attorney and shall incur no liability or additional liability of any kind by reason of such inquiry or investigation. </w:t>
      </w:r>
    </w:p>
    <w:p>
      <w:pPr>
        <w:pStyle w:val="TextBody"/>
        <w:bidi w:val="0"/>
        <w:spacing w:before="120" w:after="0"/>
        <w:jc w:val="left"/>
        <w:rPr>
          <w:rFonts w:ascii="Times New Roman" w:hAnsi="Times New Roman"/>
          <w:sz w:val="20"/>
        </w:rPr>
      </w:pPr>
      <w:r>
        <w:rPr>
          <w:rFonts w:ascii="Times New Roman" w:hAnsi="Times New Roman"/>
          <w:sz w:val="20"/>
        </w:rPr>
        <w:t xml:space="preserve">(vii)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 </w:t>
      </w:r>
    </w:p>
    <w:p>
      <w:pPr>
        <w:pStyle w:val="TextBody"/>
        <w:bidi w:val="0"/>
        <w:spacing w:before="120" w:after="0"/>
        <w:jc w:val="left"/>
        <w:rPr>
          <w:rFonts w:ascii="Times New Roman" w:hAnsi="Times New Roman"/>
          <w:sz w:val="20"/>
        </w:rPr>
      </w:pPr>
      <w:r>
        <w:rPr>
          <w:rFonts w:ascii="Times New Roman" w:hAnsi="Times New Roman"/>
          <w:sz w:val="20"/>
        </w:rPr>
        <w:t xml:space="preserve">(viii) The Trustee shall not be deemed to have notice of any Default or Event of Default unless a Responsible Officer of the Trustee has actual knowledge thereof or unless written notice of any event which is in fact such a Default by the Company or by the Holders of at least 25% of the aggregate principal amount of the Securities of any series then outstanding is received by the Trustee at the Corporate Trust Office of the Trustee, and such notice references the Securities and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(ix) The rights, privileges, protections, immunities and benefits given to the Trustee, including, without limitation, its right to be compensated, reimbursed and indemnified, are extended to, and shall be enforceable by, the Trustee in each of its capacities hereunder and each Agent. </w:t>
      </w:r>
    </w:p>
    <w:p>
      <w:pPr>
        <w:pStyle w:val="TextBody"/>
        <w:bidi w:val="0"/>
        <w:spacing w:before="120" w:after="0"/>
        <w:jc w:val="left"/>
        <w:rPr>
          <w:rFonts w:ascii="Times New Roman" w:hAnsi="Times New Roman"/>
          <w:sz w:val="20"/>
        </w:rPr>
      </w:pPr>
      <w:r>
        <w:rPr>
          <w:rFonts w:ascii="Times New Roman" w:hAnsi="Times New Roman"/>
          <w:sz w:val="20"/>
        </w:rPr>
        <w:t xml:space="preserve">(x) The permissive rights of the Trustee enumerated herein shall not be construed as duties. </w:t>
      </w:r>
    </w:p>
    <w:p>
      <w:pPr>
        <w:pStyle w:val="TextBody"/>
        <w:bidi w:val="0"/>
        <w:spacing w:before="120" w:after="0"/>
        <w:jc w:val="left"/>
        <w:rPr>
          <w:rFonts w:ascii="Times New Roman" w:hAnsi="Times New Roman"/>
          <w:sz w:val="20"/>
        </w:rPr>
      </w:pPr>
      <w:r>
        <w:rPr>
          <w:rFonts w:ascii="Times New Roman" w:hAnsi="Times New Roman"/>
          <w:sz w:val="20"/>
        </w:rPr>
        <w:t xml:space="preserve">(xi) The Trustee shall not be liable for any action taken or omitted to be taken by it in good faith and believed by it to be authorized or within the discretion or rights or powers conferred upon it by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(xii) 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 </w:t>
      </w:r>
    </w:p>
    <w:p>
      <w:pPr>
        <w:pStyle w:val="TextBody"/>
        <w:bidi w:val="0"/>
        <w:spacing w:before="120" w:after="0"/>
        <w:jc w:val="left"/>
        <w:rPr>
          <w:rFonts w:ascii="Times New Roman" w:hAnsi="Times New Roman"/>
          <w:sz w:val="20"/>
        </w:rPr>
      </w:pPr>
      <w:r>
        <w:rPr>
          <w:rFonts w:ascii="Times New Roman" w:hAnsi="Times New Roman"/>
          <w:sz w:val="20"/>
        </w:rPr>
        <w:t xml:space="preserve">(xiii) Anything in this Indenture notwithstanding, in no event shall the Trustee be liable for special, indirect, punitive or consequential loss or damage of any kind whatsoever (including but not limited to loss of profit), even if the Trustee has been advised as to the likelihood of such loss or damage and regardless of the form of action. </w:t>
      </w:r>
    </w:p>
    <w:p>
      <w:pPr>
        <w:pStyle w:val="TextBody"/>
        <w:bidi w:val="0"/>
        <w:spacing w:before="120" w:after="0"/>
        <w:jc w:val="left"/>
        <w:rPr>
          <w:rFonts w:ascii="Times New Roman" w:hAnsi="Times New Roman"/>
          <w:sz w:val="20"/>
        </w:rPr>
      </w:pPr>
      <w:r>
        <w:rPr>
          <w:rFonts w:ascii="Times New Roman" w:hAnsi="Times New Roman"/>
          <w:sz w:val="20"/>
        </w:rPr>
        <w:t xml:space="preserve">(xiv) The Trustee shall not be responsible or liable for any failure or delay in the performance of its obligations under this Indenture arising out of or caused, directly or indirectly, by circumstances beyond its control, including acts of God; earthquakes; fire; flood; terrorism; wars and other military disturbances; sabotage; epidemics; pandemics; recognized public health emergencies; quarantine restrictions; riots; interruptions; loss or malfunctions of utilities, computer (hardware or software) or communication services; hacking; cyber-attacks or other use or infiltration of the Trustees technological infrastructure exceeding authorized access; accidents; labor disputes; acts of civil or military authority and governmental action or other unavailability of the Federal Reserve Bank wire or facsimile or other wire or communication facility. </w:t>
      </w:r>
    </w:p>
    <w:p>
      <w:pPr>
        <w:pStyle w:val="TextBody"/>
        <w:bidi w:val="0"/>
        <w:spacing w:before="120" w:after="0"/>
        <w:jc w:val="left"/>
        <w:rPr>
          <w:rFonts w:ascii="Times New Roman" w:hAnsi="Times New Roman"/>
          <w:sz w:val="20"/>
        </w:rPr>
      </w:pPr>
      <w:r>
        <w:rPr>
          <w:rFonts w:ascii="Times New Roman" w:hAnsi="Times New Roman"/>
          <w:sz w:val="20"/>
        </w:rPr>
        <w:t xml:space="preserve">(xv) The Trustee shall not be required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t>
      </w:r>
    </w:p>
    <w:p>
      <w:pPr>
        <w:pStyle w:val="TextBody"/>
        <w:bidi w:val="0"/>
        <w:spacing w:before="120" w:after="0"/>
        <w:jc w:val="left"/>
        <w:rPr>
          <w:rFonts w:ascii="Times New Roman" w:hAnsi="Times New Roman"/>
          <w:sz w:val="20"/>
        </w:rPr>
      </w:pPr>
      <w:r>
        <w:rPr>
          <w:rFonts w:ascii="Times New Roman" w:hAnsi="Times New Roman"/>
          <w:sz w:val="20"/>
        </w:rPr>
        <w:t xml:space="preserve">(xvi) The Trustee shall not be required to give any bond or surety in respect of the performance of its powers or duties hereunder. </w:t>
      </w:r>
    </w:p>
    <w:p>
      <w:pPr>
        <w:pStyle w:val="TextBody"/>
        <w:bidi w:val="0"/>
        <w:spacing w:before="240" w:after="0"/>
        <w:jc w:val="left"/>
        <w:rPr>
          <w:rFonts w:ascii="Times New Roman" w:hAnsi="Times New Roman"/>
          <w:sz w:val="20"/>
        </w:rPr>
      </w:pPr>
      <w:r>
        <w:rPr>
          <w:rFonts w:ascii="Times New Roman" w:hAnsi="Times New Roman"/>
          <w:sz w:val="20"/>
        </w:rPr>
        <w:t>Section 6.03. </w:t>
      </w:r>
      <w:r>
        <w:rPr>
          <w:rFonts w:ascii="Times New Roman" w:hAnsi="Times New Roman"/>
          <w:sz w:val="20"/>
          <w:u w:val="single"/>
        </w:rPr>
        <w:t>Not Responsible for Recitals or Issuance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recitals contained herein and in the Securities, except the Trustees certificate of authentication, shall be taken as the statements of the Company, and neither the Trustee nor any Authenticating Agent assumes any responsibility for their correctness. The Trustee makes no representations as to and shall not be responsible for the validity or sufficiency of this Indenture or of the Securities, except that the Trustee represents that it is duly authorized to execute and deliver this Indenture, authenticate the Securities and perform its obligations hereunder and that the statements made by it in a Statement of Eligibility on Form T-1 supplied to the Company are true and accurate, subject to the qualifications set forth therein. Neither the Trustee nor any Authenticating Agent shall be accountable for the use or application by the Company of Securities or the proceeds thereof or for funds received and disbursed in accordance with Indenture. The Trustee shall not be bound to ascertain or inquire as to the performance, observance, or breach of any covenants, conditions, representations, warranties or agreements on the part of the Company but the Trustee may require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and advice as to the performance of the aforementioned covenants. Under no circumstances shall the Trustee be liable in its individual capacity for the obligations evidenced by the Securities. The Trustee shall have no obligation to pursue any action that is not in accordance with applicable law. The Trustee makes no representation as to and shall not be responsible for any statement or recital herein or any statement in any document in connection with the sale of any of the Securities. The Trustee shall not be responsible for and makes no representation as to any act or omission of any rating agency or any rating with respect to the Securities. The Trustee shall have no obligation to independently determine or verify if any event has occurred or notify the Holders of any event dependent upon the rating of the Securities, or if the rating on the Securities has been changed, suspended or withdrawn by any rating agency. </w:t>
      </w:r>
    </w:p>
    <w:p>
      <w:pPr>
        <w:pStyle w:val="TextBody"/>
        <w:bidi w:val="0"/>
        <w:spacing w:before="240" w:after="0"/>
        <w:jc w:val="left"/>
        <w:rPr>
          <w:rFonts w:ascii="Times New Roman" w:hAnsi="Times New Roman"/>
          <w:sz w:val="20"/>
        </w:rPr>
      </w:pPr>
      <w:r>
        <w:rPr>
          <w:rFonts w:ascii="Times New Roman" w:hAnsi="Times New Roman"/>
          <w:sz w:val="20"/>
        </w:rPr>
        <w:t>Section 6.04. </w:t>
      </w:r>
      <w:r>
        <w:rPr>
          <w:rFonts w:ascii="Times New Roman" w:hAnsi="Times New Roman"/>
          <w:sz w:val="20"/>
          <w:u w:val="single"/>
        </w:rPr>
        <w:t>May Hold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any Paying Agent, Security Registrar, Authenticating Agent or any other agent of the Company, in its individual or any other capacity, may become the owner or pledgee of Securities and, subject to TIA Sections 310(b) and 311, may otherwise deal with the Company with the same rights it would have if it were not Trustee, Paying Agent, Security Registrar, Authenticating Agent or such other agent.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6.05. </w:t>
      </w:r>
      <w:r>
        <w:rPr>
          <w:rFonts w:ascii="Times New Roman" w:hAnsi="Times New Roman"/>
          <w:sz w:val="20"/>
          <w:u w:val="single"/>
        </w:rPr>
        <w:t>Money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Money held by the Trustee in trust hereunder need not be segregated from other funds except to the extent required by law. The Trustee shall be under no liability for interest on any money received by it hereunder except as otherwise agreed in writing with the Company. </w:t>
      </w:r>
    </w:p>
    <w:p>
      <w:pPr>
        <w:pStyle w:val="TextBody"/>
        <w:bidi w:val="0"/>
        <w:spacing w:before="240" w:after="0"/>
        <w:jc w:val="left"/>
        <w:rPr>
          <w:rFonts w:ascii="Times New Roman" w:hAnsi="Times New Roman"/>
          <w:sz w:val="20"/>
        </w:rPr>
      </w:pPr>
      <w:r>
        <w:rPr>
          <w:rFonts w:ascii="Times New Roman" w:hAnsi="Times New Roman"/>
          <w:sz w:val="20"/>
        </w:rPr>
        <w:t>Section 6.06. </w:t>
      </w:r>
      <w:r>
        <w:rPr>
          <w:rFonts w:ascii="Times New Roman" w:hAnsi="Times New Roman"/>
          <w:sz w:val="20"/>
          <w:u w:val="single"/>
        </w:rPr>
        <w:t>Compensation and Reimbursement and Indemnification of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w:t>
      </w:r>
    </w:p>
    <w:p>
      <w:pPr>
        <w:pStyle w:val="TextBody"/>
        <w:bidi w:val="0"/>
        <w:spacing w:before="120" w:after="0"/>
        <w:jc w:val="left"/>
        <w:rPr>
          <w:rFonts w:ascii="Times New Roman" w:hAnsi="Times New Roman"/>
          <w:sz w:val="20"/>
        </w:rPr>
      </w:pPr>
      <w:r>
        <w:rPr>
          <w:rFonts w:ascii="Times New Roman" w:hAnsi="Times New Roman"/>
          <w:sz w:val="20"/>
        </w:rPr>
        <w:t xml:space="preserve">(i) To pay to the Trustee and any predecessor Trustee from time to time such compensation for all services rendered by it hereunder as has been agreed upon from time to time in writing (which compensation shall not be limited by any provision of law in regard to the compensation of a trustee of an express trust). </w:t>
      </w:r>
    </w:p>
    <w:p>
      <w:pPr>
        <w:pStyle w:val="TextBody"/>
        <w:bidi w:val="0"/>
        <w:spacing w:before="120" w:after="0"/>
        <w:jc w:val="left"/>
        <w:rPr>
          <w:rFonts w:ascii="Times New Roman" w:hAnsi="Times New Roman"/>
          <w:sz w:val="20"/>
        </w:rPr>
      </w:pPr>
      <w:r>
        <w:rPr>
          <w:rFonts w:ascii="Times New Roman" w:hAnsi="Times New Roman"/>
          <w:sz w:val="20"/>
        </w:rPr>
        <w:t xml:space="preserve">(ii) To reimburse each of the Trustee and any predecessor Trustee upon its request for all reasonable expenses, disbursements and advances incurred or made by the Trustee or any predecessor Trustee in accordance with any provision of this Indenture (including the reasonable compensation and the expenses and disbursements of its agents and counsel), except any such expense, disbursement or advance as may be attributable to its negligence or willful misconduct as finally adjudicated by a court of competent jurisdiction. </w:t>
      </w:r>
    </w:p>
    <w:p>
      <w:pPr>
        <w:pStyle w:val="TextBody"/>
        <w:bidi w:val="0"/>
        <w:spacing w:before="120" w:after="0"/>
        <w:jc w:val="left"/>
        <w:rPr>
          <w:rFonts w:ascii="Times New Roman" w:hAnsi="Times New Roman"/>
          <w:sz w:val="20"/>
        </w:rPr>
      </w:pPr>
      <w:r>
        <w:rPr>
          <w:rFonts w:ascii="Times New Roman" w:hAnsi="Times New Roman"/>
          <w:sz w:val="20"/>
        </w:rPr>
        <w:t xml:space="preserve">(iii) To indemnify each of the Trustee and any predecessor Trustee for, and to hold it harmless against, any loss, liability, claim, damage, fee, cost or expense incurred without negligence or willful misconduct on its own part as finally adjudicated by a court of competent jurisdiction, arising out of or in connection with the acceptance or administration of the trust or trusts hereunder, including the costs and expenses (including the reasonable fees and expenses of its agents and counsel) of defending itself against any claim or liability in connection with the exercise or performance of any of its powers or duties hereunder (whether asserted by the Company, any Holder, or any other Person), including enforcement of this Section 6.06, and including reasonable attorneys fees and expenses and court costs incurred in connection with any action, claim or suit brought to enforce the Trustees right to compensation, reimbursement or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All indemnifications and releases from liability granted hereunder to the Trustee shall extend to its officers, directors, employees, agents, attorneys, custodians, successors and assigns. As security for the performance of the obligations of the Company under this Section, the Trustee shall have a claim prior to the Securities upon all property and funds held or collected by the Trustee as such, except funds held in trust for the payment of principal of (or premium, if any) or interest, if any, on particular Securities. </w:t>
      </w:r>
    </w:p>
    <w:p>
      <w:pPr>
        <w:pStyle w:val="TextBody"/>
        <w:bidi w:val="0"/>
        <w:spacing w:before="240" w:after="0"/>
        <w:jc w:val="left"/>
        <w:rPr>
          <w:rFonts w:ascii="Times New Roman" w:hAnsi="Times New Roman"/>
          <w:sz w:val="20"/>
        </w:rPr>
      </w:pPr>
      <w:r>
        <w:rPr>
          <w:rFonts w:ascii="Times New Roman" w:hAnsi="Times New Roman"/>
          <w:sz w:val="20"/>
        </w:rPr>
        <w:t xml:space="preserve">When the Trustee incurs expenses or renders services after an Event of Default specified in Section 5.01 occurs, the expenses and compensation for such services are intended to constitute expenses of administration under Title 11, U.S. Code, or any similar Federal, State or analogous foreign law for the relief of debtors.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provisions of this Section 6.06 shall survive the resignation or removal of the Trustee and the satisfaction, termination or discharge of this Indenture. Trustee for the purposes of this Section 6.06 shall include any predecessor Trustee and the Trustee in each of its capacities hereunder and each agent, custodian and other person employed to act hereunder; provided, however, that the negligence or willful misconduct of any Trustee hereunder, as finally adjudicated by a court of competent jurisdiction, shall not affect the rights of any other Trustee hereunder. </w:t>
      </w:r>
    </w:p>
    <w:p>
      <w:pPr>
        <w:pStyle w:val="TextBody"/>
        <w:bidi w:val="0"/>
        <w:spacing w:before="240" w:after="0"/>
        <w:jc w:val="left"/>
        <w:rPr>
          <w:rFonts w:ascii="Times New Roman" w:hAnsi="Times New Roman"/>
          <w:sz w:val="20"/>
        </w:rPr>
      </w:pPr>
      <w:r>
        <w:rPr>
          <w:rFonts w:ascii="Times New Roman" w:hAnsi="Times New Roman"/>
          <w:sz w:val="20"/>
        </w:rPr>
        <w:t>Section 6.07. </w:t>
      </w:r>
      <w:r>
        <w:rPr>
          <w:rFonts w:ascii="Times New Roman" w:hAnsi="Times New Roman"/>
          <w:sz w:val="20"/>
          <w:u w:val="single"/>
        </w:rPr>
        <w:t>Corporate Trustee Required; Eligibility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There shall at all times be a Trustee hereunder that shall be eligible to act as Trustee under TIA Section 310(a)(1) and shall have a combined capital and surplus of at least $50,000,000. If such corporation publishes reports of condition at least annually, pursuant to law or to the requirements of Federal, State, Territorial or District of Columbia supervising or examining authority, then for the purposes of this Section, the combined capital and surplus of such corporation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 </w:t>
      </w:r>
    </w:p>
    <w:p>
      <w:pPr>
        <w:pStyle w:val="TextBody"/>
        <w:bidi w:val="0"/>
        <w:spacing w:before="240" w:after="0"/>
        <w:jc w:val="left"/>
        <w:rPr>
          <w:rFonts w:ascii="Times New Roman" w:hAnsi="Times New Roman"/>
          <w:sz w:val="20"/>
        </w:rPr>
      </w:pPr>
      <w:r>
        <w:rPr>
          <w:rFonts w:ascii="Times New Roman" w:hAnsi="Times New Roman"/>
          <w:sz w:val="20"/>
        </w:rPr>
        <w:t>Section 6.08. </w:t>
      </w:r>
      <w:r>
        <w:rPr>
          <w:rFonts w:ascii="Times New Roman" w:hAnsi="Times New Roman"/>
          <w:sz w:val="20"/>
          <w:u w:val="single"/>
        </w:rPr>
        <w:t>Disqualification; Conflicting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has or shall acquire a conflicting interest within the meaning of the Trust Indenture Act, the Trustee shall either eliminate such interest, apply to the Commission for permission to continue as trustee or resign, to the extent and in the manner provided by, and subject to the provisions of, the Trust Indenture Act and this Indenture. To the extent permitted by such Act, the Trustee shall not be deemed to have a conflicting interest with respect to Securities of any series under this Indenture or any other indenture of the Company by virtue of being a trustee under this Indenture with respect to any particular series of Securities. </w:t>
      </w:r>
    </w:p>
    <w:p>
      <w:pPr>
        <w:pStyle w:val="TextBody"/>
        <w:bidi w:val="0"/>
        <w:spacing w:before="240" w:after="0"/>
        <w:jc w:val="left"/>
        <w:rPr>
          <w:rFonts w:ascii="Times New Roman" w:hAnsi="Times New Roman"/>
          <w:sz w:val="20"/>
        </w:rPr>
      </w:pPr>
      <w:r>
        <w:rPr>
          <w:rFonts w:ascii="Times New Roman" w:hAnsi="Times New Roman"/>
          <w:sz w:val="20"/>
        </w:rPr>
        <w:t>Section 6.09. </w:t>
      </w:r>
      <w:r>
        <w:rPr>
          <w:rFonts w:ascii="Times New Roman" w:hAnsi="Times New Roman"/>
          <w:sz w:val="20"/>
          <w:u w:val="single"/>
        </w:rPr>
        <w:t>Resignation and Removal; Appointment of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 resignation or removal of the Trustee and no appointment of a successor Trustee pursuant to this Article shall become effective until the acceptance of appointment by the successor Trustee in accordance with the applicable requirements of Section 6.10. </w:t>
      </w:r>
    </w:p>
    <w:p>
      <w:pPr>
        <w:pStyle w:val="TextBody"/>
        <w:bidi w:val="0"/>
        <w:spacing w:before="240" w:after="0"/>
        <w:jc w:val="left"/>
        <w:rPr>
          <w:rFonts w:ascii="Times New Roman" w:hAnsi="Times New Roman"/>
          <w:sz w:val="20"/>
        </w:rPr>
      </w:pPr>
      <w:r>
        <w:rPr>
          <w:rFonts w:ascii="Times New Roman" w:hAnsi="Times New Roman"/>
          <w:sz w:val="20"/>
        </w:rPr>
        <w:t xml:space="preserve">(b) The Trustee may resign at any time with respect to the Securities of one or more series by giving written notice thereof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The Trustee may be removed at any time with respect to the Securities of any series by Act of the Holders of a majority in principal amount of the Outstanding Securities of such series delivered to the Trustee and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If at any time: </w:t>
      </w:r>
    </w:p>
    <w:p>
      <w:pPr>
        <w:pStyle w:val="TextBody"/>
        <w:bidi w:val="0"/>
        <w:spacing w:before="120" w:after="0"/>
        <w:jc w:val="left"/>
        <w:rPr>
          <w:rFonts w:ascii="Times New Roman" w:hAnsi="Times New Roman"/>
          <w:sz w:val="20"/>
        </w:rPr>
      </w:pPr>
      <w:r>
        <w:rPr>
          <w:rFonts w:ascii="Times New Roman" w:hAnsi="Times New Roman"/>
          <w:sz w:val="20"/>
        </w:rPr>
        <w:t xml:space="preserve">(i) the Trustee shall fail to comply with the provisions of TIA Section 310(b) after written request therefor by the Company or by any Holder of a Security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(ii) the Trustee shall cease to be eligible under Section 6.07 and shall fail to resign after written request therefor by the Company or by any Holder of a Security who has been a bona fide Holder of a Security for at least six months, or </w:t>
      </w:r>
    </w:p>
    <w:p>
      <w:pPr>
        <w:pStyle w:val="TextBody"/>
        <w:bidi w:val="0"/>
        <w:spacing w:before="120" w:after="0"/>
        <w:jc w:val="left"/>
        <w:rPr>
          <w:rFonts w:ascii="Times New Roman" w:hAnsi="Times New Roman"/>
          <w:sz w:val="20"/>
        </w:rPr>
      </w:pPr>
      <w:r>
        <w:rPr>
          <w:rFonts w:ascii="Times New Roman" w:hAnsi="Times New Roman"/>
          <w:sz w:val="20"/>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w:t>
      </w:r>
    </w:p>
    <w:p>
      <w:pPr>
        <w:pStyle w:val="TextBody"/>
        <w:bidi w:val="0"/>
        <w:spacing w:before="240" w:after="0"/>
        <w:jc w:val="left"/>
        <w:rPr>
          <w:rFonts w:ascii="Times New Roman" w:hAnsi="Times New Roman"/>
          <w:sz w:val="20"/>
        </w:rPr>
      </w:pPr>
      <w:r>
        <w:rPr>
          <w:rFonts w:ascii="Times New Roman" w:hAnsi="Times New Roman"/>
          <w:sz w:val="20"/>
        </w:rPr>
        <w:t xml:space="preserve">then, in any such case, (i) the Company by or pursuant to a Board Resolution may remove the Trustee and appoint a successor Trustee with respect to all Securities, or (ii) subject to TIA Section 315(e), any Holder of a Security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 </w:t>
      </w:r>
    </w:p>
    <w:p>
      <w:pPr>
        <w:pStyle w:val="TextBody"/>
        <w:bidi w:val="0"/>
        <w:spacing w:before="240" w:after="0"/>
        <w:jc w:val="left"/>
        <w:rPr>
          <w:rFonts w:ascii="Times New Roman" w:hAnsi="Times New Roman"/>
          <w:sz w:val="20"/>
        </w:rPr>
      </w:pPr>
      <w:r>
        <w:rPr>
          <w:rFonts w:ascii="Times New Roman" w:hAnsi="Times New Roman"/>
          <w:sz w:val="20"/>
        </w:rPr>
        <w:t xml:space="preserve">(e) If an instrument of acceptance by a successor Trustee shall not have been delivered to the Trustee within 30 days after the giving of a notice of resignation or the delivery of an Act of removal, the Trustee resigning or being removed may petition any court of competent jurisdiction for the appointment of a successor Trustee. </w:t>
      </w:r>
    </w:p>
    <w:p>
      <w:pPr>
        <w:pStyle w:val="TextBody"/>
        <w:bidi w:val="0"/>
        <w:spacing w:before="240" w:after="0"/>
        <w:jc w:val="left"/>
        <w:rPr>
          <w:rFonts w:ascii="Times New Roman" w:hAnsi="Times New Roman"/>
          <w:sz w:val="20"/>
        </w:rPr>
      </w:pPr>
      <w:r>
        <w:rPr>
          <w:rFonts w:ascii="Times New Roman" w:hAnsi="Times New Roman"/>
          <w:sz w:val="20"/>
        </w:rPr>
        <w:t xml:space="preserve">(f) If the Trustee shall resign, be removed or become incapable of acting, or if a vacancy shall occur in the office of Trustee for any cause with respect to the Securities of one or more series, the Company, by or pursuant to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of Securities and accepted appointment in the manner hereinafter provided, any Holder of a Security who has been a bona fide Holder of a Security of such series for at least six months may, on behalf of himself and all others similarly situated, petition any court of competent jurisdiction for the appointment of a successor Trustee with respect to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(g) The Company shall give notice of each resignation and each removal of the Trustee with respect to the Securities of any series and each appointment of a successor Trustee with respect to the Securities of any series in the manner provided for notices to the Holders of Securities in Section 1.06. Each notice shall include the name of the successor Trustee with respect to the Securities of such series and the address of its Corporate Trust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6.10. </w:t>
      </w:r>
      <w:r>
        <w:rPr>
          <w:rFonts w:ascii="Times New Roman" w:hAnsi="Times New Roman"/>
          <w:sz w:val="20"/>
          <w:u w:val="single"/>
        </w:rPr>
        <w:t>Acceptance of Appointment by Successor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case of the appointment hereunder of a successor Trustee with respect to all Securities, every such successor Trustee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 subject nevertheless to its claim, if any, provided for in Section 6.06. </w:t>
      </w:r>
    </w:p>
    <w:p>
      <w:pPr>
        <w:pStyle w:val="TextBody"/>
        <w:bidi w:val="0"/>
        <w:spacing w:before="240" w:after="0"/>
        <w:jc w:val="left"/>
        <w:rPr>
          <w:rFonts w:ascii="Times New Roman" w:hAnsi="Times New Roman"/>
          <w:sz w:val="20"/>
        </w:rPr>
      </w:pPr>
      <w:r>
        <w:rPr>
          <w:rFonts w:ascii="Times New Roman" w:hAnsi="Times New Roman"/>
          <w:sz w:val="20"/>
        </w:rPr>
        <w:t>(b) 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that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w:t>
      </w:r>
      <w:r>
        <w:rPr>
          <w:rFonts w:ascii="Times New Roman" w:hAnsi="Times New Roman"/>
          <w:sz w:val="20"/>
          <w:u w:val="single"/>
        </w:rPr>
        <w:t>Indenture</w:t>
      </w:r>
      <w:r>
        <w:rPr>
          <w:rFonts w:ascii="Times New Roman" w:hAnsi="Times New Roman"/>
          <w:sz w:val="20"/>
        </w:rPr>
        <w:t> and </w:t>
      </w:r>
      <w:r>
        <w:rPr>
          <w:rFonts w:ascii="Times New Roman" w:hAnsi="Times New Roman"/>
          <w:sz w:val="20"/>
          <w:u w:val="single"/>
        </w:rPr>
        <w:t>Securities</w:t>
      </w:r>
      <w:r>
        <w:rPr>
          <w:rFonts w:ascii="Times New Roman" w:hAnsi="Times New Roman"/>
          <w:sz w:val="20"/>
        </w:rPr>
        <w:t xml:space="preserve"> shall have the meanings specified in the provisos to the respective definition of those terms in Section 1.01 which contemplate such situation.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Upon request of any such successor Trustee, the Company shall execute any and all instruments reasonably necessary to more fully and certainly vesting in and confirming to such successor Trustee all such rights, powers and trusts referred to in paragraph (a) or (b) of this Section, as the case may be. </w:t>
      </w:r>
    </w:p>
    <w:p>
      <w:pPr>
        <w:pStyle w:val="TextBody"/>
        <w:bidi w:val="0"/>
        <w:spacing w:before="240" w:after="0"/>
        <w:jc w:val="left"/>
        <w:rPr>
          <w:rFonts w:ascii="Times New Roman" w:hAnsi="Times New Roman"/>
          <w:sz w:val="20"/>
        </w:rPr>
      </w:pPr>
      <w:r>
        <w:rPr>
          <w:rFonts w:ascii="Times New Roman" w:hAnsi="Times New Roman"/>
          <w:sz w:val="20"/>
        </w:rPr>
        <w:t xml:space="preserve">(d) No successor Trustee shall accept its appointment unless at the time of such acceptance such successor Trustee shall be qualified and eligible under this Article. </w:t>
      </w:r>
    </w:p>
    <w:p>
      <w:pPr>
        <w:pStyle w:val="TextBody"/>
        <w:bidi w:val="0"/>
        <w:spacing w:before="24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Merger, Conversion, Consolidation or Succession to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Times New Roman" w:hAnsi="Times New Roman"/>
          <w:sz w:val="20"/>
          <w:u w:val="single"/>
        </w:rPr>
        <w:t>provided</w:t>
      </w:r>
      <w:r>
        <w:rPr>
          <w:rFonts w:ascii="Times New Roman" w:hAnsi="Times New Roman"/>
          <w:sz w:val="20"/>
        </w:rPr>
        <w:t xml:space="preserve">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Securities shall not have been authenticated by such predecessor Trustee, any such successor Trustee may authenticate and deliver such Securities, in either its own name or that of its predecessor Trustee, with the full force and effect which this Indenture provides for the certificate of authentication of the Trustee; </w:t>
      </w:r>
      <w:r>
        <w:rPr>
          <w:rFonts w:ascii="Times New Roman" w:hAnsi="Times New Roman"/>
          <w:sz w:val="20"/>
          <w:u w:val="single"/>
        </w:rPr>
        <w:t>provided</w:t>
      </w:r>
      <w:r>
        <w:rPr>
          <w:rFonts w:ascii="Times New Roman" w:hAnsi="Times New Roman"/>
          <w:sz w:val="20"/>
        </w:rPr>
        <w:t xml:space="preserve">, however, that the right to adopt the certificate of authentication of any predecessor Trustee or to authenticate Securities in the name of any predecessor Trustee shall apply only to its successor or successors by merger, conversion or consolidation.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Appointment of Authenticating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At any time when any of the Securities remain Outstanding, the Trustee may appoint an Authenticating Agent or Agents (which may be an Affiliate or Affiliates of the Company) with respect to one or more series of Securities that shall be authorized to act on behalf of the Trustee to authenticate Securities of such series issued upon original issue or upon exchange, registration of transfer or partial redemption thereof, and Securities so authenticated shall be entitled to the benefits of this Indenture and shall be valid and obligatory for all purposes as if authenticated by the Trustee hereunder. Any such appointment shall be evidenced by an instrument in writing signed by a Responsible Officer of the Trustee, a copy of which instrument shall be promptly furnished to the Company. Wherever reference is made in this Indenture to the authentication and delivery of Securities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Company and, except as may otherwise be provided pursuant to Section 3.01, shall at all times be a bank or trust company or corporation organized and doing business and in good standing under the laws of the United States of America or of any State or the District of Columbia, authorized under such laws to act as Authenticating Agent, having a combined capital and surplus of not less than $1,500,000 and subject to supervision or examination by Federal or State authorities.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such Authenticating Agent publishes reports of condition at least annually, pursuant to law or the requirements of the aforesaid supervising or examining authority, then for the purposes of this Section, the combined capital and surplus of such Authenticating Agent shall be deemed to be its combined capital and surplus as set forth in its most recent report of condition so published. In case at any time an Authenticating Agent shall cease to be eligible in accordance with the provisions of this Section, such Authenticating Agent shall resign immediately in the manner and with the effect specified in this Section. </w:t>
      </w:r>
    </w:p>
    <w:p>
      <w:pPr>
        <w:pStyle w:val="TextBody"/>
        <w:bidi w:val="0"/>
        <w:spacing w:before="240" w:after="0"/>
        <w:jc w:val="left"/>
        <w:rPr>
          <w:rFonts w:ascii="Times New Roman" w:hAnsi="Times New Roman"/>
          <w:sz w:val="20"/>
        </w:rPr>
      </w:pPr>
      <w:r>
        <w:rPr>
          <w:rFonts w:ascii="Times New Roman" w:hAnsi="Times New Roman"/>
          <w:sz w:val="20"/>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further act on the part of the Trustee or the Authenticating Agent. </w:t>
      </w:r>
    </w:p>
    <w:p>
      <w:pPr>
        <w:pStyle w:val="TextBody"/>
        <w:bidi w:val="0"/>
        <w:spacing w:before="240" w:after="0"/>
        <w:jc w:val="left"/>
        <w:rPr>
          <w:rFonts w:ascii="Times New Roman" w:hAnsi="Times New Roman"/>
          <w:sz w:val="20"/>
        </w:rPr>
      </w:pPr>
      <w:r>
        <w:rPr>
          <w:rFonts w:ascii="Times New Roman" w:hAnsi="Times New Roman"/>
          <w:sz w:val="20"/>
        </w:rPr>
        <w:t xml:space="preserve">An Authenticating Agent for any series of Securities may at any time resign by giving written notice of resignation to the Trustee for such series and to the Company. The Trustee for any series of Securities may at any time terminate the agency of an Authenticating Agent by giving written notice of termination to such Authenticating Agent and to the Company. Upon receiving such a notice of resignation or upon such a termination, or in case at any time such Authenticating Agent shall cease to be eligible in accordance with the provisions of this Section, the Trustee for such series may appoint a successor Authenticating Agent which shall be acceptable to the Company and shall promptly give written notice of such appointment to all Holders of Securities of the series with respect to which such Authenticating Agent will serve in the manner set forth in Section 1.06. Any successor Authenticating Agent upon acceptance of its appointment hereunder shall become vested with all the rights, powers and duties of its predecessor hereunder, with like effect as if originally named as an Authenticating Agent herein. No successor Authenticating Agent shall be appointed unless eligible under the provisions of this Section.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agrees to pay to each Authenticating Agent from time to time reasonable compensation including reimbursement of its reasonable expenses for its services under this Section. </w:t>
      </w:r>
    </w:p>
    <w:p>
      <w:pPr>
        <w:pStyle w:val="TextBody"/>
        <w:bidi w:val="0"/>
        <w:spacing w:before="240" w:after="0"/>
        <w:jc w:val="left"/>
        <w:rPr>
          <w:rFonts w:ascii="Times New Roman" w:hAnsi="Times New Roman"/>
          <w:sz w:val="20"/>
        </w:rPr>
      </w:pPr>
      <w:r>
        <w:rPr>
          <w:rFonts w:ascii="Times New Roman" w:hAnsi="Times New Roman"/>
          <w:sz w:val="20"/>
        </w:rPr>
        <w:t xml:space="preserve">If an appointment with respect to one or more series is made pursuant to this Section, the Securities of such series may have endorsed thereon, in addition to or in lieu of the Trustees certificate of authentication, an alternate certificate of authentication substantially in the following form: </w:t>
      </w:r>
    </w:p>
    <w:p>
      <w:pPr>
        <w:pStyle w:val="TextBody"/>
        <w:bidi w:val="0"/>
        <w:spacing w:before="24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9"/>
        <w:gridCol w:w="61"/>
        <w:gridCol w:w="3662"/>
      </w:tblGrid>
      <w:tr>
        <w:trPr/>
        <w:tc>
          <w:tcPr>
            <w:tcW w:w="35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 as Authenticating Agent</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59"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If all of the Securities of a series may not be originally issued at one time, and the Trustee does not have an office capable of authenticating Securities upon original issuance located in a Place of Payment where the Company wishes to have Securities of such series authenticated upon original issuance, the Trustee, if so requested by the Company in writing (which writing need not comply with Section 1.02 and need not be accompanied by an Opinion of Counsel), shall appoint in accordance with this Section an Authenticating Agent (which, if so requested by the Company, shall be an Affiliate of the Company) having an office in a Place of Payment designated by the Company with respect to such series of Securities, </w:t>
      </w:r>
      <w:r>
        <w:rPr>
          <w:rFonts w:ascii="Times New Roman" w:hAnsi="Times New Roman"/>
          <w:sz w:val="20"/>
          <w:u w:val="single"/>
        </w:rPr>
        <w:t>provided</w:t>
      </w:r>
      <w:r>
        <w:rPr>
          <w:rFonts w:ascii="Times New Roman" w:hAnsi="Times New Roman"/>
          <w:sz w:val="20"/>
        </w:rPr>
        <w:t xml:space="preserve"> that the terms and conditions of such appointment are reasonably acceptable to the Trustee. </w:t>
      </w:r>
    </w:p>
    <w:p>
      <w:pPr>
        <w:pStyle w:val="TextBody"/>
        <w:bidi w:val="0"/>
        <w:spacing w:before="240" w:after="0"/>
        <w:jc w:val="left"/>
        <w:rPr>
          <w:rFonts w:ascii="Times New Roman" w:hAnsi="Times New Roman"/>
          <w:sz w:val="20"/>
        </w:rPr>
      </w:pPr>
      <w:r>
        <w:rPr>
          <w:rFonts w:ascii="Times New Roman" w:hAnsi="Times New Roman"/>
          <w:sz w:val="20"/>
        </w:rPr>
        <w:t>Section 6.13. </w:t>
      </w:r>
      <w:r>
        <w:rPr>
          <w:rFonts w:ascii="Times New Roman" w:hAnsi="Times New Roman"/>
          <w:sz w:val="20"/>
          <w:u w:val="single"/>
        </w:rPr>
        <w:t>Preferential Collection of Claims Against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subject to TIA Section 311(a), excluding any creditor relationship listed in TIA Section 311(b). A Trustee who has resigned or been removed shall be subject to TIA Section 311(a) to the extent indicated therein.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SEVEN </w:t>
      </w:r>
    </w:p>
    <w:p>
      <w:pPr>
        <w:pStyle w:val="TextBody"/>
        <w:bidi w:val="0"/>
        <w:spacing w:before="120" w:after="0"/>
        <w:jc w:val="center"/>
        <w:rPr>
          <w:rFonts w:ascii="Times New Roman" w:hAnsi="Times New Roman"/>
          <w:b/>
          <w:sz w:val="20"/>
        </w:rPr>
      </w:pPr>
      <w:r>
        <w:rPr>
          <w:rFonts w:ascii="Times New Roman" w:hAnsi="Times New Roman"/>
          <w:b/>
          <w:sz w:val="20"/>
        </w:rPr>
        <w:t xml:space="preserve">HOLDERS LISTS AND REPORTS BY TRUSTEE AND COMPANY </w:t>
      </w:r>
    </w:p>
    <w:p>
      <w:pPr>
        <w:pStyle w:val="TextBody"/>
        <w:bidi w:val="0"/>
        <w:spacing w:before="240" w:after="0"/>
        <w:jc w:val="left"/>
        <w:rPr>
          <w:rFonts w:ascii="Times New Roman" w:hAnsi="Times New Roman"/>
          <w:sz w:val="20"/>
        </w:rPr>
      </w:pPr>
      <w:r>
        <w:rPr>
          <w:rFonts w:ascii="Times New Roman" w:hAnsi="Times New Roman"/>
          <w:sz w:val="20"/>
        </w:rPr>
        <w:t>Section 7.01. </w:t>
      </w:r>
      <w:r>
        <w:rPr>
          <w:rFonts w:ascii="Times New Roman" w:hAnsi="Times New Roman"/>
          <w:sz w:val="20"/>
          <w:u w:val="single"/>
        </w:rPr>
        <w:t>Disclosure of Names and Addresses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Holder of Securities, by receiving and holding the same, agrees with the Company and the Trustee that neither the Company nor the Trustee nor any Authenticating Agent nor any Paying Agent nor any Security Registrar nor any agent of any of them shall be held accountable by reason of the disclosure of any information as to the names and addresses of the Holders of Securities in accordance with TIA Section 312, regardless of the source from which such information was derived, and that the Trustee shall not be held accountable by reason of mailing or sending any material pursuant to a request made under TIA Section 312(b). </w:t>
      </w:r>
    </w:p>
    <w:p>
      <w:pPr>
        <w:pStyle w:val="TextBody"/>
        <w:bidi w:val="0"/>
        <w:spacing w:before="240" w:after="0"/>
        <w:jc w:val="left"/>
        <w:rPr>
          <w:rFonts w:ascii="Times New Roman" w:hAnsi="Times New Roman"/>
          <w:sz w:val="20"/>
        </w:rPr>
      </w:pPr>
      <w:r>
        <w:rPr>
          <w:rFonts w:ascii="Times New Roman" w:hAnsi="Times New Roman"/>
          <w:sz w:val="20"/>
        </w:rPr>
        <w:t>Section 7.02. </w:t>
      </w:r>
      <w:r>
        <w:rPr>
          <w:rFonts w:ascii="Times New Roman" w:hAnsi="Times New Roman"/>
          <w:sz w:val="20"/>
          <w:u w:val="single"/>
        </w:rPr>
        <w:t>Preservation of Information; Communications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shall preserve, in as current a form as is reasonably practicable, the names and addresses of Holders contained in the most recent list furnished to the Trustee as provided in Section 7.01 and the names and addresses of Holders received by the Trustee in its capacity as Security Registrar. The Trustee may destroy any list furnished to it as provided in Section 7.01 upon receipt of a new list so furnished. </w:t>
      </w:r>
    </w:p>
    <w:p>
      <w:pPr>
        <w:pStyle w:val="TextBody"/>
        <w:bidi w:val="0"/>
        <w:spacing w:before="240" w:after="0"/>
        <w:jc w:val="left"/>
        <w:rPr>
          <w:rFonts w:ascii="Times New Roman" w:hAnsi="Times New Roman"/>
          <w:sz w:val="20"/>
        </w:rPr>
      </w:pPr>
      <w:r>
        <w:rPr>
          <w:rFonts w:ascii="Times New Roman" w:hAnsi="Times New Roman"/>
          <w:sz w:val="20"/>
        </w:rPr>
        <w:t xml:space="preserve">(b) The rights of Holders to communicate with other Holders with respect to their rights under this Indenture or under the Securities, and the corresponding rights and duties of the Trustee, shall be as provided by the Trust Indenture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 </w:t>
      </w:r>
    </w:p>
    <w:p>
      <w:pPr>
        <w:pStyle w:val="TextBody"/>
        <w:bidi w:val="0"/>
        <w:spacing w:before="240" w:after="0"/>
        <w:jc w:val="left"/>
        <w:rPr>
          <w:rFonts w:ascii="Times New Roman" w:hAnsi="Times New Roman"/>
          <w:sz w:val="20"/>
        </w:rPr>
      </w:pPr>
      <w:r>
        <w:rPr>
          <w:rFonts w:ascii="Times New Roman" w:hAnsi="Times New Roman"/>
          <w:sz w:val="20"/>
        </w:rPr>
        <w:t>Section 7.03. </w:t>
      </w:r>
      <w:r>
        <w:rPr>
          <w:rFonts w:ascii="Times New Roman" w:hAnsi="Times New Roman"/>
          <w:sz w:val="20"/>
          <w:u w:val="single"/>
        </w:rPr>
        <w:t>Reports by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Within 60 days after May 15 of each year commencing with the first May 15 after the first issuance of Securities pursuant to this Indenture, the Trustee shall transmit by mail or send to all Holders of Securities as provided in TIA Section 313(c) a brief report dated as of such May 15 which meets the requirements of TIA Section 313(a). </w:t>
      </w:r>
    </w:p>
    <w:p>
      <w:pPr>
        <w:pStyle w:val="TextBody"/>
        <w:bidi w:val="0"/>
        <w:spacing w:before="240" w:after="0"/>
        <w:jc w:val="left"/>
        <w:rPr>
          <w:rFonts w:ascii="Times New Roman" w:hAnsi="Times New Roman"/>
          <w:sz w:val="20"/>
        </w:rPr>
      </w:pPr>
      <w:r>
        <w:rPr>
          <w:rFonts w:ascii="Times New Roman" w:hAnsi="Times New Roman"/>
          <w:sz w:val="20"/>
        </w:rPr>
        <w:t xml:space="preserve">A copy of each such report shall, at the time of such transmission to Holders, be filed by the Trustee with each stock exchange, if any, upon which the Securities are listed, with the Commission and with the Company. The Company will promptly notify the Trustee of the listing of the Securities on any stock exchange. In the event that, on any such reporting date, no events have occurred under the applicable sections of the TIA within the 12 months preceding such reporting date, the Trustee shall be under no duty or obligation to provide such reports. </w:t>
      </w:r>
    </w:p>
    <w:p>
      <w:pPr>
        <w:pStyle w:val="TextBody"/>
        <w:bidi w:val="0"/>
        <w:spacing w:before="240" w:after="0"/>
        <w:jc w:val="left"/>
        <w:rPr>
          <w:rFonts w:ascii="Times New Roman" w:hAnsi="Times New Roman"/>
          <w:sz w:val="20"/>
        </w:rPr>
      </w:pPr>
      <w:r>
        <w:rPr>
          <w:rFonts w:ascii="Times New Roman" w:hAnsi="Times New Roman"/>
          <w:sz w:val="20"/>
        </w:rPr>
        <w:t>Section 7.04. </w:t>
      </w:r>
      <w:r>
        <w:rPr>
          <w:rFonts w:ascii="Times New Roman" w:hAnsi="Times New Roman"/>
          <w:sz w:val="20"/>
          <w:u w:val="single"/>
        </w:rPr>
        <w:t>Reports by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will file with the Trustee and the Commission, and transmit to Holders, such information, documents and other reports, and such summaries thereof, as may be required pursuant to the Trust Indenture Act; </w:t>
      </w:r>
      <w:r>
        <w:rPr>
          <w:rFonts w:ascii="Times New Roman" w:hAnsi="Times New Roman"/>
          <w:sz w:val="20"/>
          <w:u w:val="single"/>
        </w:rPr>
        <w:t>provided</w:t>
      </w:r>
      <w:r>
        <w:rPr>
          <w:rFonts w:ascii="Times New Roman" w:hAnsi="Times New Roman"/>
          <w:sz w:val="20"/>
        </w:rPr>
        <w:t xml:space="preserve">, that any such information, documents or reports filed electronically with the Commission pursuant to Section 13 or 15(d) of the Exchange Act shall be deemed filed with and delivered to the Trustee and the Holders at the same time as filed with the Commission. The Trustee shall have no obligation whatsoever to determine whether or not such information, documents or reports have been filed pursuant to the EDGAR filing system (or its successor) or postings to any website have occurred. </w:t>
      </w:r>
    </w:p>
    <w:p>
      <w:pPr>
        <w:pStyle w:val="TextBody"/>
        <w:bidi w:val="0"/>
        <w:spacing w:before="240" w:after="0"/>
        <w:jc w:val="left"/>
        <w:rPr>
          <w:rFonts w:ascii="Times New Roman" w:hAnsi="Times New Roman"/>
          <w:sz w:val="20"/>
        </w:rPr>
      </w:pPr>
      <w:r>
        <w:rPr>
          <w:rFonts w:ascii="Times New Roman" w:hAnsi="Times New Roman"/>
          <w:sz w:val="20"/>
        </w:rPr>
        <w:t xml:space="preserve">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exclusively on Officers Certificates). </w:t>
      </w:r>
    </w:p>
    <w:p>
      <w:pPr>
        <w:pStyle w:val="TextBody"/>
        <w:bidi w:val="0"/>
        <w:spacing w:before="240" w:after="0"/>
        <w:jc w:val="left"/>
        <w:rPr>
          <w:rFonts w:ascii="Times New Roman" w:hAnsi="Times New Roman"/>
          <w:sz w:val="20"/>
        </w:rPr>
      </w:pPr>
      <w:r>
        <w:rPr>
          <w:rFonts w:ascii="Times New Roman" w:hAnsi="Times New Roman"/>
          <w:sz w:val="20"/>
        </w:rPr>
        <w:t>Section 7.05. </w:t>
      </w:r>
      <w:r>
        <w:rPr>
          <w:rFonts w:ascii="Times New Roman" w:hAnsi="Times New Roman"/>
          <w:sz w:val="20"/>
          <w:u w:val="single"/>
        </w:rPr>
        <w:t>Calculation of Original Issue Discount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request of the Trustee, the Company shall file with the Trustee promptly at the end of each calendar year a written notice specifying the amount of original issue discount (including daily rates and accrual periods), if any, accrued on Outstanding Securities as of the end of such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EIGHT </w:t>
      </w:r>
    </w:p>
    <w:p>
      <w:pPr>
        <w:pStyle w:val="TextBody"/>
        <w:bidi w:val="0"/>
        <w:spacing w:before="120" w:after="0"/>
        <w:jc w:val="center"/>
        <w:rPr>
          <w:rFonts w:ascii="Times New Roman" w:hAnsi="Times New Roman"/>
          <w:b/>
          <w:sz w:val="20"/>
        </w:rPr>
      </w:pPr>
      <w:r>
        <w:rPr>
          <w:rFonts w:ascii="Times New Roman" w:hAnsi="Times New Roman"/>
          <w:b/>
          <w:sz w:val="20"/>
        </w:rPr>
        <w:t xml:space="preserve">CONSOLIDATION, MERGER, CONVEYANCE OR TRANSFER </w:t>
      </w:r>
    </w:p>
    <w:p>
      <w:pPr>
        <w:pStyle w:val="TextBody"/>
        <w:bidi w:val="0"/>
        <w:spacing w:before="240" w:after="0"/>
        <w:jc w:val="left"/>
        <w:rPr>
          <w:rFonts w:ascii="Times New Roman" w:hAnsi="Times New Roman"/>
          <w:sz w:val="20"/>
        </w:rPr>
      </w:pPr>
      <w:r>
        <w:rPr>
          <w:rFonts w:ascii="Times New Roman" w:hAnsi="Times New Roman"/>
          <w:sz w:val="20"/>
        </w:rPr>
        <w:t>Section 8.01. </w:t>
      </w:r>
      <w:r>
        <w:rPr>
          <w:rFonts w:ascii="Times New Roman" w:hAnsi="Times New Roman"/>
          <w:sz w:val="20"/>
          <w:u w:val="single"/>
        </w:rPr>
        <w:t>Merger, Consolidation or Sale of Assets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Controlled Subsidiaries shall not be deemed to be any such sale, transfer, lease, conveyance or disposition) in one transaction or series of related transactions unless: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be the surviving Person (the Surviving Person)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or any state or territory thereof; </w:t>
      </w:r>
    </w:p>
    <w:p>
      <w:pPr>
        <w:pStyle w:val="TextBody"/>
        <w:bidi w:val="0"/>
        <w:spacing w:before="120" w:after="0"/>
        <w:jc w:val="left"/>
        <w:rPr>
          <w:rFonts w:ascii="Times New Roman" w:hAnsi="Times New Roman"/>
          <w:sz w:val="20"/>
        </w:rPr>
      </w:pPr>
      <w:r>
        <w:rPr>
          <w:rFonts w:ascii="Times New Roman" w:hAnsi="Times New Roman"/>
          <w:sz w:val="20"/>
        </w:rPr>
        <w:t xml:space="preserve">(ii) 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Securities Outstanding, and the due and punctual performance and observance of all the covenants and conditions of this Indenture to be performed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immediately before and immediately after giving effect to such transaction or series of related transactions, no Default or Event of Default shall have occurred and be continuing; and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shall deliver, or cause to be delivered, to the Trustee, an Officers Certificate and an Opinion of Counsel, each stating that such transaction and the supplemental indenture, if any, in respect thereto comply with this Section 8.01, that all conditions precedent in this Indenture relating to such transaction have been complied with and that such supplemental indenture, if any, is valid, binding and enforceable against the successor company.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 </w:t>
      </w:r>
    </w:p>
    <w:p>
      <w:pPr>
        <w:pStyle w:val="TextBody"/>
        <w:bidi w:val="0"/>
        <w:spacing w:before="240" w:after="0"/>
        <w:jc w:val="left"/>
        <w:rPr>
          <w:rFonts w:ascii="Times New Roman" w:hAnsi="Times New Roman"/>
          <w:sz w:val="20"/>
        </w:rPr>
      </w:pPr>
      <w:r>
        <w:rPr>
          <w:rFonts w:ascii="Times New Roman" w:hAnsi="Times New Roman"/>
          <w:sz w:val="20"/>
        </w:rPr>
        <w:t>Section 8.02. </w:t>
      </w:r>
      <w:r>
        <w:rPr>
          <w:rFonts w:ascii="Times New Roman" w:hAnsi="Times New Roman"/>
          <w:sz w:val="20"/>
          <w:u w:val="single"/>
        </w:rPr>
        <w:t>Successor Person Substituted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consolidation or merger, or any conveyance or transfer of the properties and assets of the Company substantially as an entirety in accordance with Section 8.01, the successor corporation formed by such consolidation or into which the Company is merged or the successor Person to which such conveyance or transfer is made shall succeed to, and be substituted for, and may exercise every right and power of, the Company under this Indenture with the same effect as if such successor had been named as the Company herein; and in the event of any such conveyance or transfer, the Company shall be discharged from all obligations and covenants under this Indenture and the Securities and may be dissolved and liquidated.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NINE </w:t>
      </w:r>
    </w:p>
    <w:p>
      <w:pPr>
        <w:pStyle w:val="TextBody"/>
        <w:bidi w:val="0"/>
        <w:spacing w:before="120" w:after="0"/>
        <w:jc w:val="center"/>
        <w:rPr>
          <w:rFonts w:ascii="Times New Roman" w:hAnsi="Times New Roman"/>
          <w:b/>
          <w:sz w:val="20"/>
        </w:rPr>
      </w:pPr>
      <w:r>
        <w:rPr>
          <w:rFonts w:ascii="Times New Roman" w:hAnsi="Times New Roman"/>
          <w:b/>
          <w:sz w:val="20"/>
        </w:rPr>
        <w:t xml:space="preserve">SUPPLEMENTAL INDENTURES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Supplemental Indentures Without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the consent of any Holders of Securities, the Company, when authorized by or pursuant to a Board Resolution, and the Trustee, at any time and from time to time, may enter into one or more indentures supplemental hereto, in form reasonably satisfactory to the Trustee, for any of the following purposes: </w:t>
      </w:r>
    </w:p>
    <w:p>
      <w:pPr>
        <w:pStyle w:val="TextBody"/>
        <w:bidi w:val="0"/>
        <w:spacing w:before="120" w:after="0"/>
        <w:jc w:val="left"/>
        <w:rPr>
          <w:rFonts w:ascii="Times New Roman" w:hAnsi="Times New Roman"/>
          <w:sz w:val="20"/>
        </w:rPr>
      </w:pPr>
      <w:r>
        <w:rPr>
          <w:rFonts w:ascii="Times New Roman" w:hAnsi="Times New Roman"/>
          <w:sz w:val="20"/>
        </w:rPr>
        <w:t xml:space="preserve">(i) to evidence the succession of another Person to the Company and the assumption by any such successor of the covenants of the Company herein and in the Securities contained; or </w:t>
      </w:r>
    </w:p>
    <w:p>
      <w:pPr>
        <w:pStyle w:val="TextBody"/>
        <w:bidi w:val="0"/>
        <w:spacing w:before="120" w:after="0"/>
        <w:jc w:val="left"/>
        <w:rPr>
          <w:rFonts w:ascii="Times New Roman" w:hAnsi="Times New Roman"/>
          <w:sz w:val="20"/>
        </w:rPr>
      </w:pPr>
      <w:r>
        <w:rPr>
          <w:rFonts w:ascii="Times New Roman" w:hAnsi="Times New Roman"/>
          <w:sz w:val="20"/>
        </w:rPr>
        <w:t xml:space="preserve">(ii) 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(iii) to add any additional Events of Default for the benefit of the Holders of all or any series of Securities (and if such Events of Default are to be for the benefit of less than all series of Securities, stating that such Events of Default are expressly being included solely for the benefit of such series); provided, however, that in respect of any such additional Events of Default such supplemental indenture may provide for a particular period of grace after default (which period may be shorter or longer than that allowed in the case of other defaults) or may provide for an immediate enforcement upon such default or may limit the remedies available to the Trustee upon such default or may limit the right of the Holders of a majority in aggregate principal amount of that or those series of Securities to which such additional Events of Default apply to waive such default; or </w:t>
      </w:r>
    </w:p>
    <w:p>
      <w:pPr>
        <w:pStyle w:val="TextBody"/>
        <w:bidi w:val="0"/>
        <w:spacing w:before="120" w:after="0"/>
        <w:jc w:val="left"/>
        <w:rPr>
          <w:rFonts w:ascii="Times New Roman" w:hAnsi="Times New Roman"/>
          <w:sz w:val="20"/>
        </w:rPr>
      </w:pPr>
      <w:r>
        <w:rPr>
          <w:rFonts w:ascii="Times New Roman" w:hAnsi="Times New Roman"/>
          <w:sz w:val="20"/>
        </w:rPr>
        <w:t xml:space="preserve">(iv) [Reserved] </w:t>
      </w:r>
    </w:p>
    <w:p>
      <w:pPr>
        <w:pStyle w:val="TextBody"/>
        <w:bidi w:val="0"/>
        <w:spacing w:before="120" w:after="0"/>
        <w:jc w:val="left"/>
        <w:rPr>
          <w:rFonts w:ascii="Times New Roman" w:hAnsi="Times New Roman"/>
          <w:sz w:val="20"/>
        </w:rPr>
      </w:pPr>
      <w:r>
        <w:rPr>
          <w:rFonts w:ascii="Times New Roman" w:hAnsi="Times New Roman"/>
          <w:sz w:val="20"/>
        </w:rPr>
        <w:t xml:space="preserve">(v) to change or eliminate any of the provisions of this Indenture; provided that any such change or elimination shall become effective only when there is no Security Outstanding of any series created prior to the execution of such supplemental indenture that is entitled to the benefit of such provision; or </w:t>
      </w:r>
    </w:p>
    <w:p>
      <w:pPr>
        <w:pStyle w:val="TextBody"/>
        <w:bidi w:val="0"/>
        <w:spacing w:before="120" w:after="0"/>
        <w:jc w:val="left"/>
        <w:rPr>
          <w:rFonts w:ascii="Times New Roman" w:hAnsi="Times New Roman"/>
          <w:sz w:val="20"/>
        </w:rPr>
      </w:pPr>
      <w:r>
        <w:rPr>
          <w:rFonts w:ascii="Times New Roman" w:hAnsi="Times New Roman"/>
          <w:sz w:val="20"/>
        </w:rPr>
        <w:t xml:space="preserve">(vi) to secure the Securities pursuant to the requirements of Section 8.01, or otherwise; or </w:t>
      </w:r>
    </w:p>
    <w:p>
      <w:pPr>
        <w:pStyle w:val="TextBody"/>
        <w:bidi w:val="0"/>
        <w:spacing w:before="120" w:after="0"/>
        <w:jc w:val="left"/>
        <w:rPr>
          <w:rFonts w:ascii="Times New Roman" w:hAnsi="Times New Roman"/>
          <w:sz w:val="20"/>
        </w:rPr>
      </w:pPr>
      <w:r>
        <w:rPr>
          <w:rFonts w:ascii="Times New Roman" w:hAnsi="Times New Roman"/>
          <w:sz w:val="20"/>
        </w:rPr>
        <w:t xml:space="preserve">(vii) to establish the form or terms of Securities of any series as permitted by Sections 2.01 and 3.01, including the provisions and procedures relating to Securities convertible into or exchangeable for any securities of any Person (including the Company), or to authorize the issuance of additional Securities of a series previously authorized or to add to the conditions, limitations or restrictions on the authorized amount, terms or purposes of issue, authentication or delivery of the Securities of any series, as herein set forth, or other conditions, limitations or restrictions thereafter to be observed;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 </w:t>
      </w:r>
    </w:p>
    <w:p>
      <w:pPr>
        <w:pStyle w:val="TextBody"/>
        <w:bidi w:val="0"/>
        <w:spacing w:before="120" w:after="0"/>
        <w:jc w:val="left"/>
        <w:rPr>
          <w:rFonts w:ascii="Times New Roman" w:hAnsi="Times New Roman"/>
          <w:sz w:val="20"/>
        </w:rPr>
      </w:pPr>
      <w:r>
        <w:rPr>
          <w:rFonts w:ascii="Times New Roman" w:hAnsi="Times New Roman"/>
          <w:sz w:val="20"/>
        </w:rPr>
        <w:t xml:space="preserve">(ix) to cure any ambiguity, to correct or supplement any provision herein that may be inconsistent with any other provision herein, or to make any other provisions with respect to matters or questions arising under this Indenture; provided that such action shall not adversely affect the interests of the Holders of Securities of any series in any material respect, in each case as determined in good faith by the Company, as evidenced in an Officers Certificate; or </w:t>
      </w:r>
    </w:p>
    <w:p>
      <w:pPr>
        <w:pStyle w:val="TextBody"/>
        <w:bidi w:val="0"/>
        <w:spacing w:before="120" w:after="0"/>
        <w:jc w:val="left"/>
        <w:rPr>
          <w:rFonts w:ascii="Times New Roman" w:hAnsi="Times New Roman"/>
          <w:sz w:val="20"/>
        </w:rPr>
      </w:pPr>
      <w:r>
        <w:rPr>
          <w:rFonts w:ascii="Times New Roman" w:hAnsi="Times New Roman"/>
          <w:sz w:val="20"/>
        </w:rPr>
        <w:t xml:space="preserve">(x) to supplement any of the provisions of this Indenture to such extent as shall be necessary to permit or facilitate the defeasance and discharge of any series of Securities pursuant to Sections 4.01, 14.02 and 14.03; provided that any such action shall not adversely affect the interests of the Holders of Securities of such series or any other series of Securities in any material respect as determined in good faith by the Company, as evidenced in an Officers Certificate; or </w:t>
      </w:r>
    </w:p>
    <w:p>
      <w:pPr>
        <w:pStyle w:val="TextBody"/>
        <w:bidi w:val="0"/>
        <w:spacing w:before="120" w:after="0"/>
        <w:jc w:val="left"/>
        <w:rPr>
          <w:rFonts w:ascii="Times New Roman" w:hAnsi="Times New Roman"/>
          <w:sz w:val="20"/>
        </w:rPr>
      </w:pPr>
      <w:r>
        <w:rPr>
          <w:rFonts w:ascii="Times New Roman" w:hAnsi="Times New Roman"/>
          <w:sz w:val="20"/>
        </w:rPr>
        <w:t xml:space="preserve">(xi) to add guarantors or co-obligors with respect to any series of Securities or to release guarantors from their guarantees of Securities in accordance with the terms of the applicable series of Securities; or </w:t>
      </w:r>
    </w:p>
    <w:p>
      <w:pPr>
        <w:pStyle w:val="TextBody"/>
        <w:bidi w:val="0"/>
        <w:spacing w:before="120" w:after="0"/>
        <w:jc w:val="left"/>
        <w:rPr>
          <w:rFonts w:ascii="Times New Roman" w:hAnsi="Times New Roman"/>
          <w:sz w:val="20"/>
        </w:rPr>
      </w:pPr>
      <w:r>
        <w:rPr>
          <w:rFonts w:ascii="Times New Roman" w:hAnsi="Times New Roman"/>
          <w:sz w:val="20"/>
        </w:rPr>
        <w:t xml:space="preserve">(xii) to make any change in any series of Securities that does not adversely affect in any material respect the rights of the Holders of such Securities as determined in good faith by the Company, as evidenced in an Officers Certificate. </w:t>
      </w:r>
    </w:p>
    <w:p>
      <w:pPr>
        <w:pStyle w:val="TextBody"/>
        <w:bidi w:val="0"/>
        <w:spacing w:before="240" w:after="0"/>
        <w:jc w:val="left"/>
        <w:rPr>
          <w:rFonts w:ascii="Times New Roman" w:hAnsi="Times New Roman"/>
          <w:sz w:val="20"/>
        </w:rPr>
      </w:pPr>
      <w:r>
        <w:rPr>
          <w:rFonts w:ascii="Times New Roman" w:hAnsi="Times New Roman"/>
          <w:sz w:val="20"/>
        </w:rPr>
        <w:t>Section 9.02. </w:t>
      </w:r>
      <w:r>
        <w:rPr>
          <w:rFonts w:ascii="Times New Roman" w:hAnsi="Times New Roman"/>
          <w:sz w:val="20"/>
          <w:u w:val="single"/>
        </w:rPr>
        <w:t>Supplemental Indentures With Consent of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With the consent of the Holders of not less than a majority in aggregate principal amount of all Outstanding Securities affected by such supplemental indenture, by Act of said Holders delivered to the Company and the Trustee, the Company, when authorized by or pursuant to a Board Resolution, and the Trustee may enter into an indenture or indentures supplemental hereto for the purpose of adding any provisions to or changing in any manner or eliminating any of the provisions of this Indenture that affects such series of Securities or of modifying in any manner the rights of the Holders of such series of Securities under this Indenture;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 such supplemental indenture shall, without the consent of the Holder of each Outstanding Security affected thereby: </w:t>
      </w:r>
    </w:p>
    <w:p>
      <w:pPr>
        <w:pStyle w:val="TextBody"/>
        <w:bidi w:val="0"/>
        <w:spacing w:before="120" w:after="0"/>
        <w:jc w:val="left"/>
        <w:rPr>
          <w:rFonts w:ascii="Times New Roman" w:hAnsi="Times New Roman"/>
          <w:sz w:val="20"/>
        </w:rPr>
      </w:pPr>
      <w:r>
        <w:rPr>
          <w:rFonts w:ascii="Times New Roman" w:hAnsi="Times New Roman"/>
          <w:sz w:val="20"/>
        </w:rPr>
        <w:t xml:space="preserve">(i) change the Stated Maturity of the principal of (or premium, if any) or any installment of principal of or interest on, any Security, subject to the provisions of Section 3.08; or the terms of any sinking fund with respect to any Security; or reduce the principal amount thereof or the rate of interest (or change the manner of calculating the rate of interest, thereon, or any premium payable upon the redemption thereof, or change any obligation of the Company to pay Additional Amounts pursuant to Section 10.04 (except as contemplated by Section 8.01(i) and permitted by Section 9.01(i)), or reduce the portion of the principal of an Original Issue Discount Security or Indexed Security that would be due and payable upon a declaration of acceleration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Maturity thereof pursuant to Section 5.02, or upon the redemption thereof or the amount thereof provable in bankruptcy pursuant to Section 5.04, or adversely affect any right of repayment at the option of the Holder of any Security, or change any Place of Payment where, or the Currency in which, any Security or any premium or interest thereon is payable, or impair the right to institute suit for the enforcement of any such payment on or after the Stated Maturity thereof (or, in the case of redemption or repayment at the option of the Holder, on or after the Redemption Date or the Repayment Date, as the case may be), or adversely affect any right to convert or exchange any Security as may be provided pursuant to Section 3.01 herein, or modify the subordination provisions set forth in Article Sixteen in a manner that is adverse to the Holder of any Security, or </w:t>
      </w:r>
    </w:p>
    <w:p>
      <w:pPr>
        <w:pStyle w:val="TextBody"/>
        <w:bidi w:val="0"/>
        <w:spacing w:before="120" w:after="0"/>
        <w:jc w:val="left"/>
        <w:rPr>
          <w:rFonts w:ascii="Times New Roman" w:hAnsi="Times New Roman"/>
          <w:sz w:val="20"/>
        </w:rPr>
      </w:pPr>
      <w:r>
        <w:rPr>
          <w:rFonts w:ascii="Times New Roman" w:hAnsi="Times New Roman"/>
          <w:sz w:val="20"/>
        </w:rPr>
        <w:t xml:space="preserve">(ii) reduce the percentage in principal amount of the Outstanding Securities of any series, the consent of whose Holders is required for any such supplemental indenture, or the consent of whose Holders is required for any waiver with respect to such series (of compliance with certain provisions of this Indenture or certain defaults hereunder and their consequences) provided for in this Indenture, or reduce the requirements of Section 15.04 for quorum or voting, or </w:t>
      </w:r>
    </w:p>
    <w:p>
      <w:pPr>
        <w:pStyle w:val="TextBody"/>
        <w:bidi w:val="0"/>
        <w:spacing w:before="120" w:after="0"/>
        <w:jc w:val="left"/>
        <w:rPr>
          <w:rFonts w:ascii="Times New Roman" w:hAnsi="Times New Roman"/>
          <w:sz w:val="20"/>
        </w:rPr>
      </w:pPr>
      <w:r>
        <w:rPr>
          <w:rFonts w:ascii="Times New Roman" w:hAnsi="Times New Roman"/>
          <w:sz w:val="20"/>
        </w:rPr>
        <w:t>(iii) modify any of the provisions of this Section, Section 5.13 or Section 10.06, except to increase any such percentage or to provide that certain other provisions of this Indenture cannot be modified or waived without the consent of the Holder of each Outstanding Security affected thereby;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this clause shall not be deemed to require the consent of any Holder of a Security with respect to changes in the references to the Trustee and concomitant changes in this Section, or the deletion of this proviso, in accordance with the requirements of Sections 6.10(b) and 9.01(viii). </w:t>
      </w:r>
    </w:p>
    <w:p>
      <w:pPr>
        <w:pStyle w:val="TextBody"/>
        <w:bidi w:val="0"/>
        <w:spacing w:before="240" w:after="0"/>
        <w:jc w:val="left"/>
        <w:rPr>
          <w:rFonts w:ascii="Times New Roman" w:hAnsi="Times New Roman"/>
          <w:sz w:val="20"/>
        </w:rPr>
      </w:pPr>
      <w:r>
        <w:rPr>
          <w:rFonts w:ascii="Times New Roman" w:hAnsi="Times New Roman"/>
          <w:sz w:val="20"/>
        </w:rPr>
        <w:t xml:space="preserve">It shall not be necessary for any Act of Holders under this Section to approve the particular form of any proposed supplemental indenture, but it shall be sufficient if such Act shall approve the substance thereof. </w:t>
      </w:r>
    </w:p>
    <w:p>
      <w:pPr>
        <w:pStyle w:val="TextBody"/>
        <w:bidi w:val="0"/>
        <w:spacing w:before="240" w:after="0"/>
        <w:jc w:val="left"/>
        <w:rPr>
          <w:rFonts w:ascii="Times New Roman" w:hAnsi="Times New Roman"/>
          <w:sz w:val="20"/>
        </w:rPr>
      </w:pPr>
      <w:r>
        <w:rPr>
          <w:rFonts w:ascii="Times New Roman" w:hAnsi="Times New Roman"/>
          <w:sz w:val="20"/>
        </w:rPr>
        <w:t xml:space="preserve">A supplemental indenture that changes or eliminates any covenant or other provision of this Indenture which has expressly been included solely for the benefit of one or more particular series of Securities, or that modifies the rights of the Holders of Securities of such series with respect to such covenant or other provision, shall be deemed not to affect the rights under this Indenture of the Holders of Securities of any other series.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fix a record date for the purpose of determining the Persons entitled to consent to any indenture supplemental hereto. If a record date is fixed, the Holders on such record date, or their duly designated proxies, and only such Persons, shall be entitled to consent to such supplemental indenture, whether or not such Holders remain Holders after such record date; provided, that unless such consent shall have become effective by virtue of the requisite percentage having been obtained prior to the date that is eleven months after such record date, any such consent previously given shall automatically and without further action by any Holder be cancelled and of no further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9.03. </w:t>
      </w:r>
      <w:r>
        <w:rPr>
          <w:rFonts w:ascii="Times New Roman" w:hAnsi="Times New Roman"/>
          <w:sz w:val="20"/>
          <w:u w:val="single"/>
        </w:rPr>
        <w:t>Execution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executing, or accepting the additional trusts created by, any supplemental indenture permitted by this Article or the modification thereby of the trusts created by this Indenture, the Trustee shall receive, and shall be fully protected in relying upon, in addition to the documents required by Section 1.02 of this Indenture, an Officers Certificate and an Opinion of Counsel stating that the execution of such supplemental indenture is authorized or permitted by this Indenture, constitutes the legal, valid and binding obligation of the Company, enforceable against it in accordance with its terms and that all conditions precedent to such supplemental indenture have been complied with, subject to customary assumptions and exceptions. The Trustee may, but shall not be obligated to, enter into any such supplemental indenture that affects the Trustees own rights, duties or immunities under this Indenture or otherwise. </w:t>
      </w:r>
    </w:p>
    <w:p>
      <w:pPr>
        <w:pStyle w:val="TextBody"/>
        <w:bidi w:val="0"/>
        <w:spacing w:before="240" w:after="0"/>
        <w:jc w:val="left"/>
        <w:rPr>
          <w:rFonts w:ascii="Times New Roman" w:hAnsi="Times New Roman"/>
          <w:sz w:val="20"/>
        </w:rPr>
      </w:pPr>
      <w:r>
        <w:rPr>
          <w:rFonts w:ascii="Times New Roman" w:hAnsi="Times New Roman"/>
          <w:sz w:val="20"/>
        </w:rPr>
        <w:t>Section 9.04. </w:t>
      </w:r>
      <w:r>
        <w:rPr>
          <w:rFonts w:ascii="Times New Roman" w:hAnsi="Times New Roman"/>
          <w:sz w:val="20"/>
          <w:u w:val="single"/>
        </w:rPr>
        <w:t>Effect of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 </w:t>
      </w:r>
    </w:p>
    <w:p>
      <w:pPr>
        <w:pStyle w:val="TextBody"/>
        <w:bidi w:val="0"/>
        <w:spacing w:before="240" w:after="0"/>
        <w:jc w:val="left"/>
        <w:rPr>
          <w:rFonts w:ascii="Times New Roman" w:hAnsi="Times New Roman"/>
          <w:sz w:val="20"/>
        </w:rPr>
      </w:pPr>
      <w:r>
        <w:rPr>
          <w:rFonts w:ascii="Times New Roman" w:hAnsi="Times New Roman"/>
          <w:sz w:val="20"/>
        </w:rPr>
        <w:t>Section 9.05. </w:t>
      </w:r>
      <w:r>
        <w:rPr>
          <w:rFonts w:ascii="Times New Roman" w:hAnsi="Times New Roman"/>
          <w:sz w:val="20"/>
          <w:u w:val="single"/>
        </w:rPr>
        <w:t>Conformity With Trust Indenture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Every supplemental indenture executed pursuant to this Article shall conform to the requirements of the Trust Indenture Act as then in effect. </w:t>
      </w:r>
    </w:p>
    <w:p>
      <w:pPr>
        <w:pStyle w:val="TextBody"/>
        <w:bidi w:val="0"/>
        <w:spacing w:before="240" w:after="0"/>
        <w:jc w:val="left"/>
        <w:rPr>
          <w:rFonts w:ascii="Times New Roman" w:hAnsi="Times New Roman"/>
          <w:sz w:val="20"/>
        </w:rPr>
      </w:pPr>
      <w:r>
        <w:rPr>
          <w:rFonts w:ascii="Times New Roman" w:hAnsi="Times New Roman"/>
          <w:sz w:val="20"/>
        </w:rPr>
        <w:t>Section 9.06. </w:t>
      </w:r>
      <w:r>
        <w:rPr>
          <w:rFonts w:ascii="Times New Roman" w:hAnsi="Times New Roman"/>
          <w:sz w:val="20"/>
          <w:u w:val="single"/>
        </w:rPr>
        <w:t>Reference in Securities to Supplemental Indentures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TEN </w:t>
      </w:r>
    </w:p>
    <w:p>
      <w:pPr>
        <w:pStyle w:val="TextBody"/>
        <w:bidi w:val="0"/>
        <w:spacing w:before="12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sz w:val="20"/>
        </w:rPr>
        <w:t>Section 10.01. </w:t>
      </w:r>
      <w:r>
        <w:rPr>
          <w:rFonts w:ascii="Times New Roman" w:hAnsi="Times New Roman"/>
          <w:sz w:val="20"/>
          <w:u w:val="single"/>
        </w:rPr>
        <w:t>Payment of Principal, Premium, if any, and Interest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covenants and agrees for the benefit of the Holders of each series of Securities that it will duly and punctually pay the principal of (and premium, if any) and interest, if any, on the Securities of that series in accordance with the terms of such series of Securities and this Indenture. Unless otherwise specified with respect to Securities of any series pursuant to Section 3.01, at the option of the Company, all payments of principal may be paid by check to the registered Holder of the Registered Security or other person entitled thereto against surrender of such Security.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10.02. </w:t>
      </w:r>
      <w:r>
        <w:rPr>
          <w:rFonts w:ascii="Times New Roman" w:hAnsi="Times New Roman"/>
          <w:sz w:val="20"/>
          <w:u w:val="single"/>
        </w:rPr>
        <w:t>Maintenance of Office or Agency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pStyle w:val="TextBody"/>
        <w:bidi w:val="0"/>
        <w:spacing w:before="240" w:after="0"/>
        <w:jc w:val="left"/>
        <w:rPr>
          <w:rFonts w:ascii="Times New Roman" w:hAnsi="Times New Roman"/>
          <w:sz w:val="20"/>
        </w:rPr>
      </w:pPr>
      <w:r>
        <w:rPr>
          <w:rFonts w:ascii="Times New Roman" w:hAnsi="Times New Roman"/>
          <w:sz w:val="20"/>
        </w:rPr>
        <w:t>The Company may also from time to time designate one or more other offices or agencies where the Securities of one or more series may be presented or surrendered for any or all of such purposes, and may from time to time rescind such designations;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 of any such designation or rescission and of any change in the location of any such other office or agency. Unless otherwise specified with respect to any Securities pursuant to Section 3.01 with respect to a series of Securities, the Company hereby designates as a Place of Payment for each series of Securities the Corporate Trust Office, and initially appoints the Trustee at its Corporate Trust Office as Paying Agent, and as its agent to receive all such presentations, surrenders, notices and demands.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 The Company will notify the Trustee of the name and address of any Exchange Rate Agent retained by it. </w:t>
      </w:r>
    </w:p>
    <w:p>
      <w:pPr>
        <w:pStyle w:val="TextBody"/>
        <w:bidi w:val="0"/>
        <w:spacing w:before="240" w:after="0"/>
        <w:jc w:val="left"/>
        <w:rPr>
          <w:rFonts w:ascii="Times New Roman" w:hAnsi="Times New Roman"/>
          <w:sz w:val="20"/>
        </w:rPr>
      </w:pPr>
      <w:r>
        <w:rPr>
          <w:rFonts w:ascii="Times New Roman" w:hAnsi="Times New Roman"/>
          <w:sz w:val="20"/>
        </w:rPr>
        <w:t>Section 10.03. </w:t>
      </w:r>
      <w:r>
        <w:rPr>
          <w:rFonts w:ascii="Times New Roman" w:hAnsi="Times New Roman"/>
          <w:sz w:val="20"/>
          <w:u w:val="single"/>
        </w:rPr>
        <w:t>Money for Securities Payments to Be Held in Trust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shall at any time act as its own Paying Agent with respect to any series of any Securities, it will, on or before each due date of the principal of (or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(and premium, if any) and interest, if any, on Securities of such series so becoming due until such sums shall be paid to such Persons or otherwise disposed of as herein provided, and will promptly notify the Trustee of its action or failure so to act. </w:t>
      </w:r>
    </w:p>
    <w:p>
      <w:pPr>
        <w:pStyle w:val="TextBody"/>
        <w:bidi w:val="0"/>
        <w:spacing w:before="240" w:after="0"/>
        <w:jc w:val="left"/>
        <w:rPr>
          <w:rFonts w:ascii="Times New Roman" w:hAnsi="Times New Roman"/>
          <w:sz w:val="20"/>
        </w:rPr>
      </w:pPr>
      <w:r>
        <w:rPr>
          <w:rFonts w:ascii="Times New Roman" w:hAnsi="Times New Roman"/>
          <w:sz w:val="20"/>
        </w:rPr>
        <w:t xml:space="preserve">Whenever the Company shall have one or more Paying Agents for any series of Securities, it will, on or before each due date of the principal of (or premium, if any) or interest, if any, on any Securities of that series, deposit with a Paying Agent a sum (in the Currency or Currencies described in the preceding paragraph) sufficient to pay the principal (or premium, if any) or interest, if any, so becoming due, such sum of money to be held in trust for the benefit of the Persons entitled to such principal, premium or interest and (unless such Paying Agent is the Trustee) the Company will promptly notify the Trustee of its action or failure so to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may at any time, for the purpose of obtaining the satisfaction and discharge of this Indenture or for any other purpose, pay, or by Company Order direct any Paying Agent to pay, to the Trustee all sums of money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sums. </w:t>
      </w:r>
    </w:p>
    <w:p>
      <w:pPr>
        <w:pStyle w:val="TextBody"/>
        <w:bidi w:val="0"/>
        <w:spacing w:before="240" w:after="0"/>
        <w:jc w:val="left"/>
        <w:rPr>
          <w:rFonts w:ascii="Times New Roman" w:hAnsi="Times New Roman"/>
          <w:sz w:val="20"/>
        </w:rPr>
      </w:pPr>
      <w:r>
        <w:rPr>
          <w:rFonts w:ascii="Times New Roman" w:hAnsi="Times New Roman"/>
          <w:sz w:val="20"/>
        </w:rPr>
        <w:t>Except as otherwise provided in the Securities of any series, any money deposited with the Trustee or any Paying Agent, or then held by the Company, in trust for the payment of the principal of (or premium, if any) or interest, if any, on any Security of any series and remaining unclaimed for two years after such principal, premium or interest has become due and payable shall be paid to the Company upon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money held in trust, and all liability of the Company as trustee thereof, shall thereupon cease;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the Trustee or such Paying Agent, before being required to make any such repayment, may at the expense of the Company cause to be published once, in an Authorized Newspaper, notice that such money remains unclaimed and that, after a date specified therein, which shall not be less than 30 days from the date of such publication, any unclaimed balance of such money then remaining will be repaid to the Company. </w:t>
      </w:r>
    </w:p>
    <w:p>
      <w:pPr>
        <w:pStyle w:val="TextBody"/>
        <w:bidi w:val="0"/>
        <w:spacing w:before="240" w:after="0"/>
        <w:jc w:val="left"/>
        <w:rPr>
          <w:rFonts w:ascii="Times New Roman" w:hAnsi="Times New Roman"/>
          <w:sz w:val="20"/>
        </w:rPr>
      </w:pPr>
      <w:r>
        <w:rPr>
          <w:rFonts w:ascii="Times New Roman" w:hAnsi="Times New Roman"/>
          <w:sz w:val="20"/>
        </w:rPr>
        <w:t>Section 10.04. </w:t>
      </w:r>
      <w:r>
        <w:rPr>
          <w:rFonts w:ascii="Times New Roman" w:hAnsi="Times New Roman"/>
          <w:sz w:val="20"/>
          <w:u w:val="single"/>
        </w:rPr>
        <w:t>Additional Amounts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the Securities of a series provide for the payment of Additional Amounts, the Company will pay to the Holder of any Security of such series such Additional Amounts as may be specified as contemplated by Section 3.01. Whenever in this Indenture there is mentioned, in any context, the payment of the principal of (or premium, if any) or interest, if any, on any Security of any series or the net proceeds received on the sale or exchange of any Security of any series, such mention shall be deemed to include mention of the payment of Additional Amounts provided for by the terms of such series established pursuant to Section 3.01 to the extent that, in such context, Additional Amounts are, were or would be payable in respect thereof pursuant to such terms and express mention of the payment of Additional Amounts (if applicable) in any provisions hereof shall not be construed as excluding Additional Amounts in those provisions hereof where such express mention is not made.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specified as contemplated by Section 3.01, if the Securities of a series provide for the payment of Additional Amounts, at least 10 days prior to the first Interest Payment Date with respect to that series of Securities (or if the Securities of that series will not bear interest prior to Maturity, the first day on which a payment of principal premium is made), and at least 10 days prior to each date of payment of principal, premium or interest if there has been any change with respect to the matters set forth in the below-mentioned Officers Certificate, the Company will furnish the Trustee and the Companys principal Paying Agent or Paying Agents, if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 than the Trustee, with an Officers Certificate instructing the Trustee and such Paying Agent or Paying Agents whether such payment of principal, premium or interest on the Securities of that series shall be made to Holders of Securities of that series who are not United States persons without withholding for or on account of any tax, assessment or other governmental charge described in the Securities of that series. If any such withholding shall be required, then such Officers Certificate shall specify by country the amount, if any, required to be withheld on such payments to such Holders of Securities of that series and the Company will pay to the Trustee or such Paying Agent the Additional Amounts required by the terms of such Securities. In the event that the Trustee or any Paying Agent, as the case may be, shall not so receive the above-mentioned certificate, then the Trustee or such Paying Agent shall be entitled (i) to assume that no such withholding or deduction is required with respect to any payment of principal or interest with respect to any Securities of a series until it shall have received a certificate advising otherwise and (ii) to make all payments of principal and interest with respect to the Securities of a series without withholding or deductions until otherwise advised. The Company covenants to indemnify the Trustee and any Paying Agent for, and to hold them harmless against, any loss, liability or expense reasonably incurred without negligence or willful misconduct on their part arising out of or in connection with actions taken or omitted by any of them in reliance on any Officers Certificate furnished pursuant to this Section or in reliance on the Companys not furnishing such an Officers Certificate. </w:t>
      </w:r>
    </w:p>
    <w:p>
      <w:pPr>
        <w:pStyle w:val="TextBody"/>
        <w:bidi w:val="0"/>
        <w:spacing w:before="240" w:after="0"/>
        <w:jc w:val="left"/>
        <w:rPr>
          <w:rFonts w:ascii="Times New Roman" w:hAnsi="Times New Roman"/>
          <w:sz w:val="20"/>
        </w:rPr>
      </w:pPr>
      <w:r>
        <w:rPr>
          <w:rFonts w:ascii="Times New Roman" w:hAnsi="Times New Roman"/>
          <w:sz w:val="20"/>
        </w:rPr>
        <w:t>Section 10.05. </w:t>
      </w:r>
      <w:r>
        <w:rPr>
          <w:rFonts w:ascii="Times New Roman" w:hAnsi="Times New Roman"/>
          <w:sz w:val="20"/>
          <w:u w:val="single"/>
        </w:rPr>
        <w:t>Statement as to Compliance.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deliver to the Trustee, within 120 days after the end of each fiscal year ending after the date hereof so long as any Security is Outstanding hereunder, an Officers Certificate one signer of which shall be either the principal executive officer, the principal financial officer or the principal accounting officer of the Company, that need not comply with Section 1.02 stating to the knowledge of the signers thereof whether the Company is in default in the performance of any of the terms, provisions or conditions of this Indenture. For purposes of this Section 10.05, such default shall be determined without regard to any period of grace or requirement of notice under this Indenture. </w:t>
      </w:r>
    </w:p>
    <w:p>
      <w:pPr>
        <w:pStyle w:val="TextBody"/>
        <w:bidi w:val="0"/>
        <w:spacing w:before="240" w:after="0"/>
        <w:jc w:val="left"/>
        <w:rPr>
          <w:rFonts w:ascii="Times New Roman" w:hAnsi="Times New Roman"/>
          <w:sz w:val="20"/>
        </w:rPr>
      </w:pPr>
      <w:r>
        <w:rPr>
          <w:rFonts w:ascii="Times New Roman" w:hAnsi="Times New Roman"/>
          <w:sz w:val="20"/>
        </w:rPr>
        <w:t>Section 10.06. </w:t>
      </w:r>
      <w:r>
        <w:rPr>
          <w:rFonts w:ascii="Times New Roman" w:hAnsi="Times New Roman"/>
          <w:sz w:val="20"/>
          <w:u w:val="single"/>
        </w:rPr>
        <w:t>Waiver of Certain Covenants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omit in any particular instance to comply with any covenant or condition of the Company set forth herein or added to Article Ten pursuant to Section 3.01(xiv) or Section 3.01(xv) in connection with the Securities of a series, if before or after the time for such compliance the Holders of at least a majority in aggregate principal amount of all Outstanding Securities of such series, by Act of such Holders, either waive such compliance in such instance or generally waive compliance with such covenant or condition, but no such waiver shall extend to or affect such covenant or condition except to the extent so expressly waived, and, until such waiver shall become effective, the obligations of the Company and the duties of the Trustee in respect of any such covenant or condition shall remain in full force and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10.07. </w:t>
      </w:r>
      <w:r>
        <w:rPr>
          <w:rFonts w:ascii="Times New Roman" w:hAnsi="Times New Roman"/>
          <w:sz w:val="20"/>
          <w:u w:val="single"/>
        </w:rPr>
        <w:t>Section 18(a)(1)(A) of the Investment Company Act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hereby agrees that for the period of time during which Securities are Outstanding, the Company will not violate, whether or not it is subject thereto, Section 18(a)(1)(A) as modified by Section 61(a)(1) of the Investment Company Act or any successor provisions thereto of the Investment Company Act, but giving effect, in either case, to any exemptive relief granted to the Company by the Commission. </w:t>
      </w:r>
    </w:p>
    <w:p>
      <w:pPr>
        <w:pStyle w:val="TextBody"/>
        <w:bidi w:val="0"/>
        <w:spacing w:before="240" w:after="0"/>
        <w:jc w:val="left"/>
        <w:rPr>
          <w:rFonts w:ascii="Times New Roman" w:hAnsi="Times New Roman"/>
          <w:sz w:val="20"/>
        </w:rPr>
      </w:pPr>
      <w:r>
        <w:rPr>
          <w:rFonts w:ascii="Times New Roman" w:hAnsi="Times New Roman"/>
          <w:sz w:val="20"/>
        </w:rPr>
        <w:t>Section 10.08. </w:t>
      </w:r>
      <w:r>
        <w:rPr>
          <w:rFonts w:ascii="Times New Roman" w:hAnsi="Times New Roman"/>
          <w:sz w:val="20"/>
          <w:u w:val="single"/>
        </w:rPr>
        <w:t>Commission Reports and Reports to 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at any time, the Company is not subject to the reporting requirements of Sections 13 or 15(d) of the Exchange Act to file any periodic reports with the Commission, the Company agrees to furnish to the Holders of any series of Securities and the Trustee for the period of time during which such Securities are Outstanding: (i) within 90 days after the end of the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 </w:t>
      </w:r>
    </w:p>
    <w:p>
      <w:pPr>
        <w:pStyle w:val="TextBody"/>
        <w:bidi w:val="0"/>
        <w:spacing w:before="240" w:after="0"/>
        <w:jc w:val="left"/>
        <w:rPr>
          <w:rFonts w:ascii="Times New Roman" w:hAnsi="Times New Roman"/>
          <w:sz w:val="20"/>
        </w:rPr>
      </w:pPr>
      <w:r>
        <w:rPr>
          <w:rFonts w:ascii="Times New Roman" w:hAnsi="Times New Roman"/>
          <w:sz w:val="20"/>
        </w:rPr>
        <w:t xml:space="preserve">Delivery of reports, information and documents to the Trustee hereunder is for informational purposes only and the Trustees receipt of any such reports, information and documents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 or certificates or statements delivered to the Trustee pursuant to Section 1.02 of the Base Indenture). The Trustee shall not be obligated to monitor or confirm, on a continuing basis or otherwise, compliance with the covenants or with respect to any reports or other documents filed with the Commission or EDGAR or any website under this Indenture, or participate in any conference calls.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ELEVEN </w:t>
      </w:r>
    </w:p>
    <w:p>
      <w:pPr>
        <w:pStyle w:val="TextBody"/>
        <w:bidi w:val="0"/>
        <w:spacing w:before="120" w:after="0"/>
        <w:jc w:val="center"/>
        <w:rPr>
          <w:rFonts w:ascii="Times New Roman" w:hAnsi="Times New Roman"/>
          <w:b/>
          <w:sz w:val="20"/>
        </w:rPr>
      </w:pPr>
      <w:r>
        <w:rPr>
          <w:rFonts w:ascii="Times New Roman" w:hAnsi="Times New Roman"/>
          <w:b/>
          <w:sz w:val="20"/>
        </w:rPr>
        <w:t xml:space="preserve">REDEMPTION OF SECURITIES </w:t>
      </w:r>
    </w:p>
    <w:p>
      <w:pPr>
        <w:pStyle w:val="TextBody"/>
        <w:bidi w:val="0"/>
        <w:spacing w:before="240" w:after="0"/>
        <w:jc w:val="left"/>
        <w:rPr>
          <w:rFonts w:ascii="Times New Roman" w:hAnsi="Times New Roman"/>
          <w:sz w:val="20"/>
        </w:rPr>
      </w:pPr>
      <w:r>
        <w:rPr>
          <w:rFonts w:ascii="Times New Roman" w:hAnsi="Times New Roman"/>
          <w:sz w:val="20"/>
        </w:rPr>
        <w:t>Section 11.01.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that are redeemable before their Stated Maturity shall be redeemable in accordance with their terms and (except as otherwise specified as contemplated by Section 3.01 for Securities of any series)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Section 11.02. </w:t>
      </w:r>
      <w:r>
        <w:rPr>
          <w:rFonts w:ascii="Times New Roman" w:hAnsi="Times New Roman"/>
          <w:sz w:val="20"/>
          <w:u w:val="single"/>
        </w:rPr>
        <w:t>Election to Redeem; Notice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election of the Company to redeem any Securities shall be evidenced by or pursuant to a Board Resolution. In case of any redemption at the election of the Company of less than all of the Securities of any series, the Company shall, at least 60 days prior to the Redemption Date fixed by the Company (unless a shorter notice shall be satisfactory to the Trustee), notify the Trustee in writing of such Redemption Date and of the principal amount of Securities of such series to be redeemed, and, if applicable, of the tenor of the Securities to be redeemed, and shall deliver to the Trustee such documentation and records as shall enable the Trustee to select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Securities to be redeemed pursuant to Section 11.03. In the case of any redemption of Securities of any series prior to the expiration of any restriction on such redemption provided in the terms of such Securities or elsewhere in this Indenture, the Company shall furnish the Trustee with an Officers Certificate evidencing compliance with such restriction. </w:t>
      </w:r>
    </w:p>
    <w:p>
      <w:pPr>
        <w:pStyle w:val="TextBody"/>
        <w:bidi w:val="0"/>
        <w:spacing w:before="240" w:after="0"/>
        <w:jc w:val="left"/>
        <w:rPr>
          <w:rFonts w:ascii="Times New Roman" w:hAnsi="Times New Roman"/>
          <w:sz w:val="20"/>
        </w:rPr>
      </w:pPr>
      <w:r>
        <w:rPr>
          <w:rFonts w:ascii="Times New Roman" w:hAnsi="Times New Roman"/>
          <w:sz w:val="20"/>
        </w:rPr>
        <w:t>Section 11.03. </w:t>
      </w:r>
      <w:r>
        <w:rPr>
          <w:rFonts w:ascii="Times New Roman" w:hAnsi="Times New Roman"/>
          <w:sz w:val="20"/>
          <w:u w:val="single"/>
        </w:rPr>
        <w:t>Selection by Trustee of Securities to Be Redeemed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less than all of the Securities are to be redeemed at any time, and the Securities are global Securities, the Securities to be redeemed will be selected by the Trustee in accordance with applicable Depositary procedures. If the Securities to be redeemed or repurchased are not global Securities then held by the Depositary, the Trustee shall select the Securities to be redeemed by lot or such other similar method the Trustee deems to be fair and appropriate from the Outstanding Securities of such series issued on such date with the same terms not previously called for redemption, not less than 30 nor more than 60 days prior to the redemption date; </w:t>
      </w:r>
      <w:r>
        <w:rPr>
          <w:rFonts w:ascii="Times New Roman" w:hAnsi="Times New Roman"/>
          <w:sz w:val="20"/>
          <w:u w:val="single"/>
        </w:rPr>
        <w:t>provided</w:t>
      </w:r>
      <w:r>
        <w:rPr>
          <w:rFonts w:ascii="Times New Roman" w:hAnsi="Times New Roman"/>
          <w:sz w:val="20"/>
        </w:rPr>
        <w:t> that such method may provide for the selection for redemption of portions (equal to the minimum authorized denomination for Securities of that series or any integral multiple thereof) of the principal amount of Securities of such series of a denomination larger than the minimum authorized denomination for Securities of that series;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partial redemption shall reduce the portion of the principal amount of a Security not redeemed to less than the minimum authorized denomination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Trustee shall promptly notify the Company and the Security Registrar (if other than itself) in writing of the Securities selected for redemption and, in the case of any Securities selected for partial redemption, the principal amount thereof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 </w:t>
      </w:r>
    </w:p>
    <w:p>
      <w:pPr>
        <w:pStyle w:val="TextBody"/>
        <w:bidi w:val="0"/>
        <w:spacing w:before="240" w:after="0"/>
        <w:jc w:val="left"/>
        <w:rPr>
          <w:rFonts w:ascii="Times New Roman" w:hAnsi="Times New Roman"/>
          <w:sz w:val="20"/>
        </w:rPr>
      </w:pPr>
      <w:r>
        <w:rPr>
          <w:rFonts w:ascii="Times New Roman" w:hAnsi="Times New Roman"/>
          <w:sz w:val="20"/>
        </w:rPr>
        <w:t>Section 11.04. </w:t>
      </w:r>
      <w:r>
        <w:rPr>
          <w:rFonts w:ascii="Times New Roman" w:hAnsi="Times New Roman"/>
          <w:sz w:val="20"/>
          <w:u w:val="single"/>
        </w:rPr>
        <w:t>Notice of Redemption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Notice of redemption shall be given in the manner provided in Section 1.06, not less than 30 days nor more than 60 days prior to the Redemption Date, unless a shorter period is specified by the terms of such series established pursuant to Section 3.01, to each Holder of Securities to be redeemed, but failure to give such notice in the manner herein provided to the Holder of any Security designated for redemption as a whole or in part, or any defect in the notice to any such Holder, shall not affect the validity of the proceedings for the redemption of any other such Security or portion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notice that is mailed or sent to the Holders of Registered Securities in the manner herein provided shall be conclusively presumed to have been duly given, whether or not the Holder receives the notice. </w:t>
      </w:r>
    </w:p>
    <w:p>
      <w:pPr>
        <w:pStyle w:val="TextBody"/>
        <w:bidi w:val="0"/>
        <w:spacing w:before="240" w:after="0"/>
        <w:jc w:val="left"/>
        <w:rPr>
          <w:rFonts w:ascii="Times New Roman" w:hAnsi="Times New Roman"/>
          <w:sz w:val="20"/>
        </w:rPr>
      </w:pPr>
      <w:r>
        <w:rPr>
          <w:rFonts w:ascii="Times New Roman" w:hAnsi="Times New Roman"/>
          <w:sz w:val="20"/>
        </w:rPr>
        <w:t xml:space="preserve">All notices of redemption shall identify the Securities to be redeemed and shall state: </w:t>
      </w:r>
    </w:p>
    <w:p>
      <w:pPr>
        <w:pStyle w:val="TextBody"/>
        <w:bidi w:val="0"/>
        <w:spacing w:before="120" w:after="0"/>
        <w:jc w:val="left"/>
        <w:rPr>
          <w:rFonts w:ascii="Times New Roman" w:hAnsi="Times New Roman"/>
          <w:sz w:val="20"/>
        </w:rPr>
      </w:pPr>
      <w:r>
        <w:rPr>
          <w:rFonts w:ascii="Times New Roman" w:hAnsi="Times New Roman"/>
          <w:sz w:val="20"/>
        </w:rPr>
        <w:t xml:space="preserve">(i)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(ii) the Redemption Price and accrued interest, if any, to the Redemption Date payable as provided in Section 11.06, </w:t>
      </w:r>
    </w:p>
    <w:p>
      <w:pPr>
        <w:pStyle w:val="TextBody"/>
        <w:bidi w:val="0"/>
        <w:spacing w:before="120" w:after="0"/>
        <w:jc w:val="left"/>
        <w:rPr>
          <w:rFonts w:ascii="Times New Roman" w:hAnsi="Times New Roman"/>
          <w:sz w:val="20"/>
        </w:rPr>
      </w:pPr>
      <w:r>
        <w:rPr>
          <w:rFonts w:ascii="Times New Roman" w:hAnsi="Times New Roman"/>
          <w:sz w:val="20"/>
        </w:rPr>
        <w:t xml:space="preserve">(iii) if less than all Outstanding Securities of any series are to be redeemed, the identification (and, in the case of partial redemption, the principal amount) of the particular Security or Securities to be redeemed, </w:t>
      </w:r>
    </w:p>
    <w:p>
      <w:pPr>
        <w:pStyle w:val="TextBody"/>
        <w:bidi w:val="0"/>
        <w:spacing w:before="120" w:after="0"/>
        <w:jc w:val="left"/>
        <w:rPr>
          <w:rFonts w:ascii="Times New Roman" w:hAnsi="Times New Roman"/>
          <w:sz w:val="20"/>
        </w:rPr>
      </w:pPr>
      <w:r>
        <w:rPr>
          <w:rFonts w:ascii="Times New Roman" w:hAnsi="Times New Roman"/>
          <w:sz w:val="20"/>
        </w:rPr>
        <w:t xml:space="preserve">(iv) in case any Security is to be redeemed in part only, the notice that relates to such Security shall state that on and after the Redemption Date, upon surrender of such Security, the Holder will receive, without a charge, a new Security or Securities of authorized denominations for the principal amount thereof remaining unredeemed, </w:t>
      </w:r>
    </w:p>
    <w:p>
      <w:pPr>
        <w:pStyle w:val="TextBody"/>
        <w:bidi w:val="0"/>
        <w:spacing w:before="120" w:after="0"/>
        <w:jc w:val="left"/>
        <w:rPr>
          <w:rFonts w:ascii="Times New Roman" w:hAnsi="Times New Roman"/>
          <w:sz w:val="20"/>
        </w:rPr>
      </w:pPr>
      <w:r>
        <w:rPr>
          <w:rFonts w:ascii="Times New Roman" w:hAnsi="Times New Roman"/>
          <w:sz w:val="20"/>
        </w:rPr>
        <w:t xml:space="preserve">(v) that on the Redemption Date, the Redemption Price and accrued interest, if any, to the Redemption Date payable as provided in Section 11.06 will become due and payable upon each such Security, or the portion thereof, to be redeemed and, if applicable, that interest thereon shall cease to accrue on and after said date, </w:t>
      </w:r>
    </w:p>
    <w:p>
      <w:pPr>
        <w:pStyle w:val="TextBody"/>
        <w:bidi w:val="0"/>
        <w:spacing w:before="120" w:after="0"/>
        <w:jc w:val="left"/>
        <w:rPr>
          <w:rFonts w:ascii="Times New Roman" w:hAnsi="Times New Roman"/>
          <w:sz w:val="20"/>
        </w:rPr>
      </w:pPr>
      <w:r>
        <w:rPr>
          <w:rFonts w:ascii="Times New Roman" w:hAnsi="Times New Roman"/>
          <w:sz w:val="20"/>
        </w:rPr>
        <w:t xml:space="preserve">(vi) the Place or Places of Payment where such Securities maturing after the Redemption Date, are to be surrendered for payment of the Redemption Price and accrued interest, if any, and the name of the Paying Agent, </w:t>
      </w:r>
    </w:p>
    <w:p>
      <w:pPr>
        <w:pStyle w:val="TextBody"/>
        <w:bidi w:val="0"/>
        <w:spacing w:before="120" w:after="0"/>
        <w:jc w:val="left"/>
        <w:rPr>
          <w:rFonts w:ascii="Times New Roman" w:hAnsi="Times New Roman"/>
          <w:sz w:val="20"/>
        </w:rPr>
      </w:pPr>
      <w:r>
        <w:rPr>
          <w:rFonts w:ascii="Times New Roman" w:hAnsi="Times New Roman"/>
          <w:sz w:val="20"/>
        </w:rPr>
        <w:t xml:space="preserve">(vii) that the redemption is for a sinking fund, if such is the case, and </w:t>
      </w:r>
    </w:p>
    <w:p>
      <w:pPr>
        <w:pStyle w:val="TextBody"/>
        <w:bidi w:val="0"/>
        <w:spacing w:before="120" w:after="0"/>
        <w:jc w:val="left"/>
        <w:rPr>
          <w:rFonts w:ascii="Times New Roman" w:hAnsi="Times New Roman"/>
          <w:sz w:val="20"/>
        </w:rPr>
      </w:pPr>
      <w:r>
        <w:rPr>
          <w:rFonts w:ascii="Times New Roman" w:hAnsi="Times New Roman"/>
          <w:sz w:val="20"/>
        </w:rPr>
        <w:t xml:space="preserve">(viii) [Reserved] </w:t>
      </w:r>
    </w:p>
    <w:p>
      <w:pPr>
        <w:pStyle w:val="TextBody"/>
        <w:bidi w:val="0"/>
        <w:spacing w:before="120" w:after="0"/>
        <w:jc w:val="left"/>
        <w:rPr>
          <w:rFonts w:ascii="Times New Roman" w:hAnsi="Times New Roman"/>
          <w:sz w:val="20"/>
        </w:rPr>
      </w:pPr>
      <w:r>
        <w:rPr>
          <w:rFonts w:ascii="Times New Roman" w:hAnsi="Times New Roman"/>
          <w:sz w:val="20"/>
        </w:rPr>
        <w:t xml:space="preserve">(ix) [Reserved] </w:t>
      </w:r>
    </w:p>
    <w:p>
      <w:pPr>
        <w:pStyle w:val="TextBody"/>
        <w:bidi w:val="0"/>
        <w:spacing w:before="120" w:after="0"/>
        <w:jc w:val="left"/>
        <w:rPr>
          <w:rFonts w:ascii="Times New Roman" w:hAnsi="Times New Roman"/>
          <w:sz w:val="20"/>
        </w:rPr>
      </w:pPr>
      <w:r>
        <w:rPr>
          <w:rFonts w:ascii="Times New Roman" w:hAnsi="Times New Roman"/>
          <w:sz w:val="20"/>
        </w:rPr>
        <w:t xml:space="preserve">(x) the CUSIP number of such Security, if any, and that no representation is made as to the correctness or accuracy of the CUSIP number, if any, listed in such notice or printed on the Security. </w:t>
      </w:r>
    </w:p>
    <w:p>
      <w:pPr>
        <w:pStyle w:val="TextBody"/>
        <w:bidi w:val="0"/>
        <w:spacing w:before="240" w:after="0"/>
        <w:jc w:val="left"/>
        <w:rPr>
          <w:rFonts w:ascii="Times New Roman" w:hAnsi="Times New Roman"/>
          <w:sz w:val="20"/>
        </w:rPr>
      </w:pPr>
      <w:r>
        <w:rPr>
          <w:rFonts w:ascii="Times New Roman" w:hAnsi="Times New Roman"/>
          <w:sz w:val="20"/>
        </w:rPr>
        <w:t xml:space="preserve">A notice of redemption published as contemplated by Section 1.06 need not identify particular Registered Securities to be redeemed. Notice of redemption of Securities to be redeemed shall be given by the Company or, at the Companys request, delivered to the Trustee at least 2 Business Days prior to the date the notice of redemption is to be sent (unless a shorter period shall be satisfactory to the Trustee), an Officers Certificate requesting that the Trustee give such notice together with the notice to be given setting forth the information to be stated therein as provided in the preceding paragraph, by the Trustee in the name and at the expense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11.05. </w:t>
      </w:r>
      <w:r>
        <w:rPr>
          <w:rFonts w:ascii="Times New Roman" w:hAnsi="Times New Roman"/>
          <w:sz w:val="20"/>
          <w:u w:val="single"/>
        </w:rPr>
        <w:t>Deposit of Redemption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 or prior to 10:00 am, New York City time, on the Business Day prior to any Redemption Date, the Company shall deposit with the Trustee or with a Paying Agent (or, if the Company is acting as its own Paying Agent, in accordance with the terms of this </w:t>
      </w:r>
    </w:p>
    <w:p>
      <w:pPr>
        <w:pStyle w:val="TextBody"/>
        <w:bidi w:val="0"/>
        <w:spacing w:before="240" w:after="0"/>
        <w:jc w:val="left"/>
        <w:rPr>
          <w:rFonts w:ascii="Times New Roman" w:hAnsi="Times New Roman"/>
          <w:sz w:val="20"/>
        </w:rPr>
      </w:pPr>
      <w:r>
        <w:rPr>
          <w:rFonts w:ascii="Times New Roman" w:hAnsi="Times New Roman"/>
          <w:sz w:val="20"/>
        </w:rPr>
        <w:t xml:space="preserve">Indenture,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on the Redemption Date the Redemption Price of, and (unless otherwise specified pursuant to Section 3.01) accrued interest on, all the Securities or portions thereof which are to be redeemed on that date. </w:t>
      </w:r>
    </w:p>
    <w:p>
      <w:pPr>
        <w:pStyle w:val="TextBody"/>
        <w:bidi w:val="0"/>
        <w:spacing w:before="240" w:after="0"/>
        <w:jc w:val="left"/>
        <w:rPr>
          <w:rFonts w:ascii="Times New Roman" w:hAnsi="Times New Roman"/>
          <w:sz w:val="20"/>
        </w:rPr>
      </w:pPr>
      <w:r>
        <w:rPr>
          <w:rFonts w:ascii="Times New Roman" w:hAnsi="Times New Roman"/>
          <w:sz w:val="20"/>
        </w:rPr>
        <w:t>Section 11.06. </w:t>
      </w:r>
      <w:r>
        <w:rPr>
          <w:rFonts w:ascii="Times New Roman" w:hAnsi="Times New Roman"/>
          <w:sz w:val="20"/>
          <w:u w:val="single"/>
        </w:rPr>
        <w:t>Securities Payable on Redemption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unless otherwise specified as contemplated by Section 3.01, installments of interest on Registered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called for redemption shall not be so paid upon surrender thereof for redemption, the Redemption Price shall, until paid, bear interest from the Redemption Date at the rate of interest set forth in such Security or, in the case of an Original Issue Discount Security, at the Yield to Maturity of such Security. </w:t>
      </w:r>
    </w:p>
    <w:p>
      <w:pPr>
        <w:pStyle w:val="TextBody"/>
        <w:bidi w:val="0"/>
        <w:spacing w:before="240" w:after="0"/>
        <w:jc w:val="left"/>
        <w:rPr>
          <w:rFonts w:ascii="Times New Roman" w:hAnsi="Times New Roman"/>
          <w:sz w:val="20"/>
        </w:rPr>
      </w:pPr>
      <w:r>
        <w:rPr>
          <w:rFonts w:ascii="Times New Roman" w:hAnsi="Times New Roman"/>
          <w:sz w:val="20"/>
        </w:rPr>
        <w:t>Section 11.07. </w:t>
      </w:r>
      <w:r>
        <w:rPr>
          <w:rFonts w:ascii="Times New Roman" w:hAnsi="Times New Roman"/>
          <w:sz w:val="20"/>
          <w:u w:val="single"/>
        </w:rPr>
        <w:t>Securities Redeemed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Registered Security that is to be redeemed only in part (pursuant to the provisions of this Article or of Article Twelve) shall be surrendered at a Place of Payment therefor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 If a temporary global Security or permanent global Security is so surrendered, such new Security so issued shall be a new temporary global Security or permanent global Security, respectively. However, if less than all the Securities of any series with differing issue dates, interest rates and stated maturities are to be redeemed, the Company in its sole discretion shall select the particular Securities to be redeemed and shall notify the Trustee in writing thereof at least 45 days prior to the relevant redemption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TWELVE </w:t>
      </w:r>
    </w:p>
    <w:p>
      <w:pPr>
        <w:pStyle w:val="TextBody"/>
        <w:bidi w:val="0"/>
        <w:spacing w:before="120" w:after="0"/>
        <w:jc w:val="center"/>
        <w:rPr>
          <w:rFonts w:ascii="Times New Roman" w:hAnsi="Times New Roman"/>
          <w:b/>
          <w:sz w:val="20"/>
        </w:rPr>
      </w:pPr>
      <w:r>
        <w:rPr>
          <w:rFonts w:ascii="Times New Roman" w:hAnsi="Times New Roman"/>
          <w:b/>
          <w:sz w:val="20"/>
        </w:rPr>
        <w:t xml:space="preserve">SINKING FUNDS </w:t>
      </w:r>
    </w:p>
    <w:p>
      <w:pPr>
        <w:pStyle w:val="TextBody"/>
        <w:bidi w:val="0"/>
        <w:spacing w:before="240" w:after="0"/>
        <w:jc w:val="left"/>
        <w:rPr>
          <w:rFonts w:ascii="Times New Roman" w:hAnsi="Times New Roman"/>
          <w:sz w:val="20"/>
        </w:rPr>
      </w:pPr>
      <w:r>
        <w:rPr>
          <w:rFonts w:ascii="Times New Roman" w:hAnsi="Times New Roman"/>
          <w:sz w:val="20"/>
        </w:rPr>
        <w:t>Section 12.01.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provisions of this Article shall be applicable to any sinking fund for the retirement of Securities of a series except as otherwise specified as contemplated by Section 3.01 for Securities of such series. </w:t>
      </w:r>
    </w:p>
    <w:p>
      <w:pPr>
        <w:pStyle w:val="TextBody"/>
        <w:bidi w:val="0"/>
        <w:spacing w:before="240" w:after="0"/>
        <w:jc w:val="left"/>
        <w:rPr>
          <w:rFonts w:ascii="Times New Roman" w:hAnsi="Times New Roman"/>
          <w:sz w:val="20"/>
        </w:rPr>
      </w:pPr>
      <w:r>
        <w:rPr>
          <w:rFonts w:ascii="Times New Roman" w:hAnsi="Times New Roman"/>
          <w:sz w:val="20"/>
        </w:rPr>
        <w:t xml:space="preserve">The minimum amount of any sinking fund payment provided for by the terms of Securities of any series is herein referred to as a mandatory sinking fund payment, and any payment in excess of such minimum amount provided for by the terms of such Securities of any series is herein referred to as an optional sinking fund payment. If provided for by the terms of any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 </w:t>
      </w:r>
    </w:p>
    <w:p>
      <w:pPr>
        <w:pStyle w:val="TextBody"/>
        <w:bidi w:val="0"/>
        <w:spacing w:before="240" w:after="0"/>
        <w:jc w:val="left"/>
        <w:rPr>
          <w:rFonts w:ascii="Times New Roman" w:hAnsi="Times New Roman"/>
          <w:sz w:val="20"/>
        </w:rPr>
      </w:pPr>
      <w:r>
        <w:rPr>
          <w:rFonts w:ascii="Times New Roman" w:hAnsi="Times New Roman"/>
          <w:sz w:val="20"/>
        </w:rPr>
        <w:t>Section 12.02. </w:t>
      </w:r>
      <w:r>
        <w:rPr>
          <w:rFonts w:ascii="Times New Roman" w:hAnsi="Times New Roman"/>
          <w:sz w:val="20"/>
          <w:u w:val="single"/>
        </w:rPr>
        <w:t>Satisfaction of Sinking Fund Payments With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Company may, in satisfaction of all or any part of any mandatory sinking fund payment with respect to the Securities of a series, (i) deliver Outstanding Securities of such series (other than any previously called for redemption) and (ii) apply as a credit Securities of such series which have been redeemed either at the election of the Company pursuant to the terms of such Securities or through the application of permitted optional sinking fund payments pursuant to the terms of such Securities, as provided for by the terms of such Securities; </w:t>
      </w:r>
      <w:r>
        <w:rPr>
          <w:rFonts w:ascii="Times New Roman" w:hAnsi="Times New Roman"/>
          <w:sz w:val="20"/>
          <w:u w:val="single"/>
        </w:rPr>
        <w:t>provided</w:t>
      </w:r>
      <w:r>
        <w:rPr>
          <w:rFonts w:ascii="Times New Roman" w:hAnsi="Times New Roman"/>
          <w:sz w:val="20"/>
        </w:rPr>
        <w:t xml:space="preserve"> that such Securities so delivered or applied as a credit have not been previously so credited. Such Securities shall be received and credited for such purpose by the Trustee at the applicable Redemption Price specified in such Securities for redemption through operation of the sinking fund and the amount of such mandatory sinking fund payment shall be reduced accordingly. </w:t>
      </w:r>
    </w:p>
    <w:p>
      <w:pPr>
        <w:pStyle w:val="TextBody"/>
        <w:bidi w:val="0"/>
        <w:spacing w:before="240" w:after="0"/>
        <w:jc w:val="left"/>
        <w:rPr>
          <w:rFonts w:ascii="Times New Roman" w:hAnsi="Times New Roman"/>
          <w:sz w:val="20"/>
        </w:rPr>
      </w:pPr>
      <w:r>
        <w:rPr>
          <w:rFonts w:ascii="Times New Roman" w:hAnsi="Times New Roman"/>
          <w:sz w:val="20"/>
        </w:rPr>
        <w:t>Section 12.03. </w:t>
      </w:r>
      <w:r>
        <w:rPr>
          <w:rFonts w:ascii="Times New Roman" w:hAnsi="Times New Roman"/>
          <w:sz w:val="20"/>
          <w:u w:val="single"/>
        </w:rPr>
        <w:t>Redemption of Securities for Sinking Fund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 less than 60 days prior to each sinking fund payment date for Securities of any series, the Company will deliver to the Trustee an Officers Certificate specifying the amount of the next ensuing mandatory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and crediting Securities of that series pursuant to Section 12.02, and the optional amount, if any, to be added in cash to the next ensuing mandatory sinking fund payment, and will also deliver to the Trustee any Securities to be so delivered and credited. If such Officers Certificate shall specify an optional amount to be added in cash to the next ensuing mandatory sinking fund payment, the Company shall thereupon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obligated to pay the amount therein specified. Not less than 30 days before each such sinking fund payment date the Trustee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THIRTEEN </w:t>
      </w:r>
    </w:p>
    <w:p>
      <w:pPr>
        <w:pStyle w:val="TextBody"/>
        <w:bidi w:val="0"/>
        <w:spacing w:before="120" w:after="0"/>
        <w:jc w:val="center"/>
        <w:rPr>
          <w:rFonts w:ascii="Times New Roman" w:hAnsi="Times New Roman"/>
          <w:b/>
          <w:sz w:val="20"/>
        </w:rPr>
      </w:pPr>
      <w:r>
        <w:rPr>
          <w:rFonts w:ascii="Times New Roman" w:hAnsi="Times New Roman"/>
          <w:b/>
          <w:sz w:val="20"/>
        </w:rPr>
        <w:t xml:space="preserve">REPAYMENT AT THE OPTION OF HOLDERS </w:t>
      </w:r>
    </w:p>
    <w:p>
      <w:pPr>
        <w:pStyle w:val="TextBody"/>
        <w:bidi w:val="0"/>
        <w:spacing w:before="240" w:after="0"/>
        <w:jc w:val="left"/>
        <w:rPr>
          <w:rFonts w:ascii="Times New Roman" w:hAnsi="Times New Roman"/>
          <w:sz w:val="20"/>
        </w:rPr>
      </w:pPr>
      <w:r>
        <w:rPr>
          <w:rFonts w:ascii="Times New Roman" w:hAnsi="Times New Roman"/>
          <w:sz w:val="20"/>
        </w:rPr>
        <w:t>Section 13.01. </w:t>
      </w:r>
      <w:r>
        <w:rPr>
          <w:rFonts w:ascii="Times New Roman" w:hAnsi="Times New Roman"/>
          <w:sz w:val="20"/>
          <w:u w:val="single"/>
        </w:rPr>
        <w:t>Applicability of Article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Repayment of Securities of any series before their Stated Maturity at the option of Holders thereof shall be made in accordance with the terms of such Securities and (except as otherwise specified by the terms of such series established pursuant to Section 3.01)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Section 13.02. </w:t>
      </w:r>
      <w:r>
        <w:rPr>
          <w:rFonts w:ascii="Times New Roman" w:hAnsi="Times New Roman"/>
          <w:sz w:val="20"/>
          <w:u w:val="single"/>
        </w:rPr>
        <w:t>Repayment of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subject to repayment in whole or in part at the option of the Holders thereof will, unless otherwise provided in the terms of such Securities, be repaid at the Repayment Price thereof, together with interest, if any, thereon accrued to the Repayment Date specified in or pursuant to the terms of such Securities. The Company covenants that on or before 10:00 am, New York City time, on the Business Day preceding the Repayment Date it will deposit with the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Repayment Price of, and (unless otherwise specified pursuant to Section 3.01) accrued interest on, all the Securities or portions thereof, as the case may be, to be repaid on such date. </w:t>
      </w:r>
    </w:p>
    <w:p>
      <w:pPr>
        <w:pStyle w:val="TextBody"/>
        <w:bidi w:val="0"/>
        <w:spacing w:before="240" w:after="0"/>
        <w:jc w:val="left"/>
        <w:rPr>
          <w:rFonts w:ascii="Times New Roman" w:hAnsi="Times New Roman"/>
          <w:sz w:val="20"/>
        </w:rPr>
      </w:pPr>
      <w:r>
        <w:rPr>
          <w:rFonts w:ascii="Times New Roman" w:hAnsi="Times New Roman"/>
          <w:sz w:val="20"/>
        </w:rPr>
        <w:t>Section 13.03. </w:t>
      </w:r>
      <w:r>
        <w:rPr>
          <w:rFonts w:ascii="Times New Roman" w:hAnsi="Times New Roman"/>
          <w:sz w:val="20"/>
          <w:u w:val="single"/>
        </w:rPr>
        <w:t>Exercise of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of which the Company shall from time to time notify the Holders of such Securities) not earlier than 45 days nor later than 30 days prior to the Repayment Date. If less than the entire Repayment Price of such Security is to be repaid in accordance with the terms of such Security, the portion of the Repayment Price of such Security to be repaid, in increments of the minimum denomination for Securities of such series, and the denomination or denominations of the Security or Securities to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issued to the Holder for the portion of such Security surrendered that is not to be repaid, must be specified.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 If the Security is in global form, the exercise of such option and payment thereof shall also be made in compliance with the applicable procedures of the Depositary. </w:t>
      </w:r>
    </w:p>
    <w:p>
      <w:pPr>
        <w:pStyle w:val="TextBody"/>
        <w:bidi w:val="0"/>
        <w:spacing w:before="240" w:after="0"/>
        <w:jc w:val="left"/>
        <w:rPr>
          <w:rFonts w:ascii="Times New Roman" w:hAnsi="Times New Roman"/>
          <w:sz w:val="20"/>
        </w:rPr>
      </w:pPr>
      <w:r>
        <w:rPr>
          <w:rFonts w:ascii="Times New Roman" w:hAnsi="Times New Roman"/>
          <w:sz w:val="20"/>
        </w:rPr>
        <w:t>Section 13.04. </w:t>
      </w:r>
      <w:r>
        <w:rPr>
          <w:rFonts w:ascii="Times New Roman" w:hAnsi="Times New Roman"/>
          <w:sz w:val="20"/>
          <w:u w:val="single"/>
        </w:rPr>
        <w:t>When Securities Presented for Repayment Become Due and Payable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If Securities of any series providing for repayment at the option of the Holders thereof shall have been surrendered as provided in this Article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interest-bearing, cease to bear interest. Upon surrender of any such Security for repayment in accordance with such provisions, the Repayment Price of such Security so to be repaid shall be paid by the Company, together with accrued interest, if any, to the Repayment Date;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installments of interest on Registered Securities, whose Stated Maturity is prior to (or, if specified pursuant to Section 3.01, on) the Repayment Date shall be payable (but without interest thereon, unless the Company shall default in the payment thereof) to the Holders of such Securities, or one or more Predecessor Securities, registered as such at the close of business on the relevant Record Dates according to their terms and the provisions of Section 3.07. </w:t>
      </w:r>
    </w:p>
    <w:p>
      <w:pPr>
        <w:pStyle w:val="TextBody"/>
        <w:bidi w:val="0"/>
        <w:spacing w:before="240" w:after="0"/>
        <w:jc w:val="left"/>
        <w:rPr>
          <w:rFonts w:ascii="Times New Roman" w:hAnsi="Times New Roman"/>
          <w:sz w:val="20"/>
        </w:rPr>
      </w:pPr>
      <w:r>
        <w:rPr>
          <w:rFonts w:ascii="Times New Roman" w:hAnsi="Times New Roman"/>
          <w:sz w:val="20"/>
        </w:rPr>
        <w:t xml:space="preserve">If any Security surrendered for repayment shall not be so repaid upon surrender thereof, the Repayment Price shall, until paid, bear interest from the Repayment Date at the rate of interest set forth in such Security or, in the case of an Original Issue Discount Security, at the Yield to Maturity of such Security. </w:t>
      </w:r>
    </w:p>
    <w:p>
      <w:pPr>
        <w:pStyle w:val="TextBody"/>
        <w:bidi w:val="0"/>
        <w:spacing w:before="240" w:after="0"/>
        <w:jc w:val="left"/>
        <w:rPr>
          <w:rFonts w:ascii="Times New Roman" w:hAnsi="Times New Roman"/>
          <w:sz w:val="20"/>
        </w:rPr>
      </w:pPr>
      <w:r>
        <w:rPr>
          <w:rFonts w:ascii="Times New Roman" w:hAnsi="Times New Roman"/>
          <w:sz w:val="20"/>
        </w:rPr>
        <w:t>Section 13.05. </w:t>
      </w:r>
      <w:r>
        <w:rPr>
          <w:rFonts w:ascii="Times New Roman" w:hAnsi="Times New Roman"/>
          <w:sz w:val="20"/>
          <w:u w:val="single"/>
        </w:rPr>
        <w:t>Securities Repaid in Part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any Registered Security that is to be repaid in part only, the Company shall execute and the Trustee shall authenticate and deliver to the Holder of such Security, without service charge and at the expense of the Company, a new Registered Security or Securities of the same series, and of like tenor, of any authorized denomination specified by the Holder, in an aggregate principal amount equal to and in exchange for the portion of the principal of such Security so surrendered that is not to be repaid. If a temporary global Security or permanent global Security is so surrendered, such new Security so issued shall be a new temporary global Security or a new permanent global Security, respectively.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FOURTEEN </w:t>
      </w:r>
    </w:p>
    <w:p>
      <w:pPr>
        <w:pStyle w:val="TextBody"/>
        <w:bidi w:val="0"/>
        <w:spacing w:before="120" w:after="0"/>
        <w:jc w:val="center"/>
        <w:rPr>
          <w:rFonts w:ascii="Times New Roman" w:hAnsi="Times New Roman"/>
          <w:b/>
          <w:sz w:val="20"/>
        </w:rPr>
      </w:pPr>
      <w:r>
        <w:rPr>
          <w:rFonts w:ascii="Times New Roman" w:hAnsi="Times New Roman"/>
          <w:b/>
          <w:sz w:val="20"/>
        </w:rPr>
        <w:t xml:space="preserve">DEFEASANCE AND COVENANT DEFEASANCE </w:t>
      </w:r>
    </w:p>
    <w:p>
      <w:pPr>
        <w:pStyle w:val="TextBody"/>
        <w:bidi w:val="0"/>
        <w:spacing w:before="240" w:after="0"/>
        <w:jc w:val="left"/>
        <w:rPr>
          <w:rFonts w:ascii="Times New Roman" w:hAnsi="Times New Roman"/>
          <w:sz w:val="20"/>
        </w:rPr>
      </w:pPr>
      <w:r>
        <w:rPr>
          <w:rFonts w:ascii="Times New Roman" w:hAnsi="Times New Roman"/>
          <w:sz w:val="20"/>
        </w:rPr>
        <w:t>Section 14.01. </w:t>
      </w:r>
      <w:r>
        <w:rPr>
          <w:rFonts w:ascii="Times New Roman" w:hAnsi="Times New Roman"/>
          <w:sz w:val="20"/>
          <w:u w:val="single"/>
        </w:rPr>
        <w:t>Applicability of Article; Companys Option to Effect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pursuant to Section 3.01 provision is made for either or both of (a) defeasance of the Securities of or within a series under Section 14.02 or (b) covenant defeasance of the Securities of or within a series under Section 14.03, then the provisions of such Section or Sections, as the case may be, together with the other provisions of this Article (with such modifications thereto as may be specified pursuant to Section 3.01 with respect to any Securities), shall be applicable to such Securities, and the Company may at its option by Board Resolution, at any time, with respect to such Securities, elect to have either Section 14.02 (if applicable) or Section 14.03 (if applicable) be applied to such Outstanding Securities upon compliance with the conditions set forth below in this Article. </w:t>
      </w:r>
    </w:p>
    <w:p>
      <w:pPr>
        <w:pStyle w:val="TextBody"/>
        <w:bidi w:val="0"/>
        <w:spacing w:before="240" w:after="0"/>
        <w:jc w:val="left"/>
        <w:rPr>
          <w:rFonts w:ascii="Times New Roman" w:hAnsi="Times New Roman"/>
          <w:sz w:val="20"/>
        </w:rPr>
      </w:pPr>
      <w:r>
        <w:rPr>
          <w:rFonts w:ascii="Times New Roman" w:hAnsi="Times New Roman"/>
          <w:sz w:val="20"/>
        </w:rPr>
        <w:t>Section 14.02. </w:t>
      </w:r>
      <w:r>
        <w:rPr>
          <w:rFonts w:ascii="Times New Roman" w:hAnsi="Times New Roman"/>
          <w:sz w:val="20"/>
          <w:u w:val="single"/>
        </w:rPr>
        <w:t>Defeasance and Discharge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exercise of the above option applicable to this Section with respect to any Securities of or within a series, the Company shall be deemed to have been discharged from its obligations with respect to such Outstanding Securities on and after the date the conditions set forth in Section 14.04 are satisfied (hereinafter, defeasance). For this purpose, such defeasance means that the Company shall be deemed to have paid and discharged the entire indebtedness represented by such Outstanding Securities, which shall thereafter be deemed to be Outstanding only for the purposes of Section 14.05 and the other Sections of this Indenture referred to in clauses (A) and (B) of this Section, and to have satisfied all its other obligations under such Securities and this Indenture insofar as such Securities are concerned (and the Trustee, at the expense of the Company, shall execute proper instruments acknowledging the same), except for the following which shall survive until otherwise terminated or discharged hereunder: (A) the rights of Holders of such Outstanding Securities to receive, solely from the trust fund described in Section 14.04 and as more fully set forth in such Section, payments in respect of the principal of (and premium, if any) and interest, if any, on such Securities when such payments are due, (B) the Companys obligations with respect to such Securities under Sections 3.05, 3.06, 10.02 and 10.03 and with respect to the payment of Additional Amounts, if any, on such Securities as contemplated by Section 10.04, (C) the rights, powers, trusts, duties and immunities of the Trustee hereunder and (D) this Article. Subject to compliance with this Article Fourteen, the Company may exercise its option under this Section notwithstanding the prior exercise of its option under Section 14.03 with respect to such Securities. Following a defeasance, payment of such Securities may not be accelerated because of an Event of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14.03. </w:t>
      </w:r>
      <w:r>
        <w:rPr>
          <w:rFonts w:ascii="Times New Roman" w:hAnsi="Times New Roman"/>
          <w:sz w:val="20"/>
          <w:u w:val="single"/>
        </w:rPr>
        <w:t>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the Companys exercise of the above option applicable to this Section with respect to any Securities of or within a series, the Company shall be released from its obligations, if specified pursuant to Section 3.01, under any covenant with respect to such </w:t>
      </w:r>
    </w:p>
    <w:p>
      <w:pPr>
        <w:pStyle w:val="TextBody"/>
        <w:bidi w:val="0"/>
        <w:spacing w:before="240" w:after="0"/>
        <w:jc w:val="left"/>
        <w:rPr>
          <w:rFonts w:ascii="Times New Roman" w:hAnsi="Times New Roman"/>
          <w:sz w:val="20"/>
        </w:rPr>
      </w:pPr>
      <w:r>
        <w:rPr>
          <w:rFonts w:ascii="Times New Roman" w:hAnsi="Times New Roman"/>
          <w:sz w:val="20"/>
        </w:rPr>
        <w:t xml:space="preserve">Outstanding Securities on and after the date the conditions set forth in Section 14.04 are satisfied (hereinafter, covenant defeasance), and such Securities shall thereafter be deemed to be not Outstanding for the purposes of any direction, waiver, consent or declaration or Act of Holders (and the consequences of any thereof) in connection with such covenant, but shall continue to be deemed Outstanding for all other purposes hereunder. For this purpose, such covenant defeasance means that, with respect to such Outstanding Securities, the Company may omit to comply with and shall have no liability in respect of any term, condition or limitation set forth in any such Section or such other covenant, whether directly or indirectly, by reason of any reference elsewhere herein to any such Section or such other covenant or by reason of reference in any such Section or such other covenant to any other provision herein or in any other document and such omission to comply shall not constitute a Default or an Event of Default under Section 5.01(iv) or 5.01(vii) or otherwise, as the case may be, but, except as specified above, the remainder of this Indenture and such Securities shall be unaffected thereby. Following a covenant defeasance, payment of such Securities may not be accelerated because of an Event of Default solely by reference to such Sections specified above in this Section 14.03. </w:t>
      </w:r>
    </w:p>
    <w:p>
      <w:pPr>
        <w:pStyle w:val="TextBody"/>
        <w:bidi w:val="0"/>
        <w:spacing w:before="240" w:after="0"/>
        <w:jc w:val="left"/>
        <w:rPr>
          <w:rFonts w:ascii="Times New Roman" w:hAnsi="Times New Roman"/>
          <w:sz w:val="20"/>
        </w:rPr>
      </w:pPr>
      <w:r>
        <w:rPr>
          <w:rFonts w:ascii="Times New Roman" w:hAnsi="Times New Roman"/>
          <w:sz w:val="20"/>
        </w:rPr>
        <w:t>Section 14.04. </w:t>
      </w:r>
      <w:r>
        <w:rPr>
          <w:rFonts w:ascii="Times New Roman" w:hAnsi="Times New Roman"/>
          <w:sz w:val="20"/>
          <w:u w:val="single"/>
        </w:rPr>
        <w:t>Conditions to Defeasance or Covenant Defeasance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shall be the conditions to application of either Section 14.02 or Section 14.03 to any Outstanding Securities of or within a series: </w:t>
      </w:r>
    </w:p>
    <w:p>
      <w:pPr>
        <w:pStyle w:val="TextBody"/>
        <w:bidi w:val="0"/>
        <w:spacing w:before="120" w:after="0"/>
        <w:jc w:val="left"/>
        <w:rPr>
          <w:rFonts w:ascii="Times New Roman" w:hAnsi="Times New Roman"/>
          <w:sz w:val="20"/>
        </w:rPr>
      </w:pPr>
      <w:r>
        <w:rPr>
          <w:rFonts w:ascii="Times New Roman" w:hAnsi="Times New Roman"/>
          <w:sz w:val="20"/>
        </w:rPr>
        <w:t xml:space="preserve">(i) The Company shall have irrevocably deposited or caused to be irrevocably deposited with the Trustee (or another trustee satisfying the requirements of Section 6.07 who shall agree to comply with the provisions of this Article Fourteen applicable to it) as trust funds in trust for the purpose of making the following payments, specifically pledged as security for the benefit of, and dedicated solely to,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without reinvestment thereof, not later than one day before the due date of any payment of principal of (and premium, if any) and interest, if any, on such Securities, money in an amount, or (C) a combination thereof in an amount, sufficient, in the opinion of a nationally recognized investment bank, appraisal firm or firm of independent public accountants expressed in a written certification thereof delivered to the Trustee, to pay and discharge, and which shall be applied by the Trustee (or other qualifying trustee) to pay and discharge, (1) the principal of (and premium, if any) and interest, if any, on such Outstanding Securities on the Stated Maturity of such principal or installment of principal or interest and (2) any mandatory sinking fund payments or analogous payments applicable to such Outstanding Securities on the day on which such payments are due and payable in accordance with the terms of this Indenture and of such Securities. </w:t>
      </w:r>
    </w:p>
    <w:p>
      <w:pPr>
        <w:pStyle w:val="TextBody"/>
        <w:bidi w:val="0"/>
        <w:spacing w:before="120" w:after="0"/>
        <w:jc w:val="left"/>
        <w:rPr>
          <w:rFonts w:ascii="Times New Roman" w:hAnsi="Times New Roman"/>
          <w:sz w:val="20"/>
        </w:rPr>
      </w:pPr>
      <w:r>
        <w:rPr>
          <w:rFonts w:ascii="Times New Roman" w:hAnsi="Times New Roman"/>
          <w:sz w:val="20"/>
        </w:rPr>
        <w:t xml:space="preserve">(ii) Such defeasance or covenant defeasance shall not result in a breach or violation of, or constitute a default under, this Indenture or any other material agreement or instrument to which the Company is a party or by which it is bound.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No Default or Event of Default with respect to such Securities shall have occurred and be continuing on the date of such deposit or, insofar as Sections 5.01(v) and 5.01(vi) are concerned, at any time during the period ending on the 91st day after the date of such deposit (it being understood that this condition shall not be deemed satisfied until the expiration of such period). </w:t>
      </w:r>
    </w:p>
    <w:p>
      <w:pPr>
        <w:pStyle w:val="TextBody"/>
        <w:bidi w:val="0"/>
        <w:spacing w:before="120" w:after="0"/>
        <w:jc w:val="left"/>
        <w:rPr>
          <w:rFonts w:ascii="Times New Roman" w:hAnsi="Times New Roman"/>
          <w:sz w:val="20"/>
        </w:rPr>
      </w:pPr>
      <w:r>
        <w:rPr>
          <w:rFonts w:ascii="Times New Roman" w:hAnsi="Times New Roman"/>
          <w:sz w:val="20"/>
        </w:rPr>
        <w:t xml:space="preserve">(iv) In the case of an election under Section 14.02, the Company shall have delivered to the Trustee an Opinion of Counsel stating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shall confirm that, the Holders of such Outstanding Securities will not recognize income, gain or loss for Federal income tax purposes as a result of such defeasance and will be subject to Federal income tax on the same amounts, in the same manner and at the same times as would have been the case if such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(v) In the case of an election under Section 14.03, the Company shall have delivered to the Trustee an Opinion of Counsel to the effect that the Holders of such Outstanding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 </w:t>
      </w:r>
    </w:p>
    <w:p>
      <w:pPr>
        <w:pStyle w:val="TextBody"/>
        <w:bidi w:val="0"/>
        <w:spacing w:before="120" w:after="0"/>
        <w:jc w:val="left"/>
        <w:rPr>
          <w:rFonts w:ascii="Times New Roman" w:hAnsi="Times New Roman"/>
          <w:sz w:val="20"/>
        </w:rPr>
      </w:pPr>
      <w:r>
        <w:rPr>
          <w:rFonts w:ascii="Times New Roman" w:hAnsi="Times New Roman"/>
          <w:sz w:val="20"/>
        </w:rPr>
        <w:t xml:space="preserve">(vi) The Company shall have delivered to the Trustee an Officers Certificate and an Opinion of Counsel, each stating that all conditions precedent to either the defeasance under Section 14.02 or the covenant defeasance under Section 14.03 (as the case may be) have been complied with. </w:t>
      </w:r>
    </w:p>
    <w:p>
      <w:pPr>
        <w:pStyle w:val="TextBody"/>
        <w:bidi w:val="0"/>
        <w:spacing w:before="120" w:after="0"/>
        <w:jc w:val="left"/>
        <w:rPr>
          <w:rFonts w:ascii="Times New Roman" w:hAnsi="Times New Roman"/>
          <w:sz w:val="20"/>
        </w:rPr>
      </w:pPr>
      <w:r>
        <w:rPr>
          <w:rFonts w:ascii="Times New Roman" w:hAnsi="Times New Roman"/>
          <w:sz w:val="20"/>
        </w:rPr>
        <w:t xml:space="preserve">(vii) Notwithstanding any other provisions of this Section, such defeasance or covenant defeasance shall be effected in compliance with any additional or substitute terms, conditions or limitations which may be imposed on the Company in connection therewith pursuant to Section 3.01. </w:t>
      </w:r>
    </w:p>
    <w:p>
      <w:pPr>
        <w:pStyle w:val="TextBody"/>
        <w:bidi w:val="0"/>
        <w:spacing w:before="240" w:after="0"/>
        <w:jc w:val="left"/>
        <w:rPr>
          <w:rFonts w:ascii="Times New Roman" w:hAnsi="Times New Roman"/>
          <w:sz w:val="20"/>
        </w:rPr>
      </w:pPr>
      <w:r>
        <w:rPr>
          <w:rFonts w:ascii="Times New Roman" w:hAnsi="Times New Roman"/>
          <w:sz w:val="20"/>
        </w:rPr>
        <w:t>Section 14.05. </w:t>
      </w:r>
      <w:r>
        <w:rPr>
          <w:rFonts w:ascii="Times New Roman" w:hAnsi="Times New Roman"/>
          <w:sz w:val="20"/>
          <w:u w:val="single"/>
        </w:rPr>
        <w:t>Deposited Money and Government Obligations to Be Held in Trust; Other Miscellaneous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Subject to the provisions of the last paragraph of Section 10.03, all money and Government Obligations (or other property as may be provided pursuant to Section 3.01) (including the proceeds thereof) deposited with the Trustee (or other qualifying trustee, collectively for purposes of this Section 14.05, the </w:t>
      </w:r>
      <w:r>
        <w:rPr>
          <w:rFonts w:ascii="Times New Roman" w:hAnsi="Times New Roman"/>
          <w:sz w:val="20"/>
          <w:u w:val="single"/>
        </w:rPr>
        <w:t>Trustee</w:t>
      </w:r>
      <w:r>
        <w:rPr>
          <w:rFonts w:ascii="Times New Roman" w:hAnsi="Times New Roman"/>
          <w:sz w:val="20"/>
        </w:rPr>
        <w:t xml:space="preserve">) pursuant to Section 14.04 in respect of any Outstanding Securities of any series shall be held in trust and applied by the Trustee, in accordance with the provisions of such Securities and this Indenture, to the payment, either directly or through any Paying Agent (including the Company acting as its own Paying Agent) as the Trustee may determine, to the Holders of such Securities of all sums due and to become due thereon in respect of principal (and premium, if any) and interest, if any, but such money need not be segregated from other funds except to the extent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with respect to any Security pursuant to Section 3.01, if, after a deposit referred to in Section 14.04(a) has been made, (a) the Holder of a Security in respect of which such deposit was made is entitled to, and does, elect pursuant to Section 3.12(b) or the terms of such Security to receive payment in a Currency other than that in which the deposit pursuant to Section 14.04(a) has been made in respect of such Security, or (b) a Conversion Event occurs as contemplated in Section 3.12(d) or 3.12(e) or by the terms of any Security in respect of which the deposit pursuant to Section 14.04(a) has been made, the indebtedness represented by such Security shall be deemed to have been, and will be, fully discharged and satisfied through the payment of the principal of (and premium, if any) and interest, if any, on such Security as the same becomes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second Business Day prior to each payment date, except, with respect to a Conversion Event, for such Currency in effect (as nearly as feasible) at the time of the Conversion Event.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pay and indemnify the Trustee against any tax, fee or other charge imposed on or assessed against the money or Government Obligations deposited pursuant to Section 14.04 or the principal and interest received in respect thereof other than any such tax, fee or other charge which by law is for the account of the Holders of such Outstanding Securities. </w:t>
      </w:r>
    </w:p>
    <w:p>
      <w:pPr>
        <w:pStyle w:val="TextBody"/>
        <w:bidi w:val="0"/>
        <w:spacing w:before="240" w:after="0"/>
        <w:jc w:val="left"/>
        <w:rPr>
          <w:rFonts w:ascii="Times New Roman" w:hAnsi="Times New Roman"/>
          <w:sz w:val="20"/>
        </w:rPr>
      </w:pPr>
      <w:r>
        <w:rPr>
          <w:rFonts w:ascii="Times New Roman" w:hAnsi="Times New Roman"/>
          <w:sz w:val="20"/>
        </w:rPr>
        <w:t xml:space="preserve">Anything in this Article to the contrary notwithstanding, the Trustee shall deliver or pay to the Company from time to time upon Company Request any money or Government Obligations (or other property and any proceeds therefrom) held by it as provided in Section 14.04 which, in the opinion of a nationally recognized investment bank, appraisal firm or firm of independent public accountants expressed in a written certification thereof delivered to the Trustee, are in excess of the amount thereof which would then be required to be deposited to effect a defeasance or covenant defeasance, as applicable, in accordance with this Article. </w:t>
      </w:r>
    </w:p>
    <w:p>
      <w:pPr>
        <w:pStyle w:val="TextBody"/>
        <w:bidi w:val="0"/>
        <w:spacing w:before="240" w:after="0"/>
        <w:jc w:val="left"/>
        <w:rPr>
          <w:rFonts w:ascii="Times New Roman" w:hAnsi="Times New Roman"/>
          <w:sz w:val="20"/>
        </w:rPr>
      </w:pPr>
      <w:r>
        <w:rPr>
          <w:rFonts w:ascii="Times New Roman" w:hAnsi="Times New Roman"/>
          <w:sz w:val="20"/>
        </w:rPr>
        <w:t xml:space="preserve">If, after the Company has made a deposit with the Trustee pursuant to Section 14.04, the Trustee is unable to apply any money in accordance with Section 14.05 by reason of any legal proceeding or by reason of any order or judgment of any court or governmental authority enjoining, restraining or otherwise prohibiting such application, then the Companys obligations under this Indenture and the applicable Securities shall be revived and reinstated as though no deposit had occurred pursuant to Section 14.04 until such time as the Trustee is permitted to apply all such money in accordance with this Article Fourteen; provided, however, that if the Company has made any payment of the principal of or interest on any series of Securities because of the reinstatement of its obligations, the Company shall be subrogated to the rights of the Holders of such Securities to receive any such payment from the money held by the Trustee. </w:t>
      </w:r>
    </w:p>
    <w:p>
      <w:pPr>
        <w:pStyle w:val="TextBody"/>
        <w:bidi w:val="0"/>
        <w:spacing w:before="240" w:after="0"/>
        <w:jc w:val="left"/>
        <w:rPr>
          <w:rFonts w:ascii="Times New Roman" w:hAnsi="Times New Roman"/>
          <w:sz w:val="20"/>
        </w:rPr>
      </w:pPr>
      <w:r>
        <w:rPr>
          <w:rFonts w:ascii="Times New Roman" w:hAnsi="Times New Roman"/>
          <w:sz w:val="20"/>
        </w:rPr>
        <w:t xml:space="preserve">Money deposited with the Trustee in trust pursuant to this Section 14.05 shall not be subject to the subordination provisions of Article Sixteen.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FIFTEEN </w:t>
      </w:r>
    </w:p>
    <w:p>
      <w:pPr>
        <w:pStyle w:val="TextBody"/>
        <w:bidi w:val="0"/>
        <w:spacing w:before="120" w:after="0"/>
        <w:jc w:val="center"/>
        <w:rPr>
          <w:rFonts w:ascii="Times New Roman" w:hAnsi="Times New Roman"/>
          <w:b/>
          <w:sz w:val="20"/>
        </w:rPr>
      </w:pPr>
      <w:r>
        <w:rPr>
          <w:rFonts w:ascii="Times New Roman" w:hAnsi="Times New Roman"/>
          <w:b/>
          <w:sz w:val="20"/>
        </w:rPr>
        <w:t xml:space="preserve">MEETINGS OF HOLDERS OF SECURITIES </w:t>
      </w:r>
    </w:p>
    <w:p>
      <w:pPr>
        <w:pStyle w:val="TextBody"/>
        <w:bidi w:val="0"/>
        <w:spacing w:before="240" w:after="0"/>
        <w:jc w:val="left"/>
        <w:rPr>
          <w:rFonts w:ascii="Times New Roman" w:hAnsi="Times New Roman"/>
          <w:sz w:val="20"/>
        </w:rPr>
      </w:pPr>
      <w:r>
        <w:rPr>
          <w:rFonts w:ascii="Times New Roman" w:hAnsi="Times New Roman"/>
          <w:sz w:val="20"/>
        </w:rPr>
        <w:t>Section 15.01. </w:t>
      </w:r>
      <w:r>
        <w:rPr>
          <w:rFonts w:ascii="Times New Roman" w:hAnsi="Times New Roman"/>
          <w:sz w:val="20"/>
          <w:u w:val="single"/>
        </w:rPr>
        <w:t>Purposes for Which Meetings May Be Called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Securities of such series. </w:t>
      </w:r>
    </w:p>
    <w:p>
      <w:pPr>
        <w:pStyle w:val="TextBody"/>
        <w:bidi w:val="0"/>
        <w:spacing w:before="240" w:after="0"/>
        <w:jc w:val="left"/>
        <w:rPr>
          <w:rFonts w:ascii="Times New Roman" w:hAnsi="Times New Roman"/>
          <w:sz w:val="20"/>
        </w:rPr>
      </w:pPr>
      <w:r>
        <w:rPr>
          <w:rFonts w:ascii="Times New Roman" w:hAnsi="Times New Roman"/>
          <w:sz w:val="20"/>
        </w:rPr>
        <w:t>Section 15.02. </w:t>
      </w:r>
      <w:r>
        <w:rPr>
          <w:rFonts w:ascii="Times New Roman" w:hAnsi="Times New Roman"/>
          <w:sz w:val="20"/>
          <w:u w:val="single"/>
        </w:rPr>
        <w:t>Call, Notice and Place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Trustee may at any time call a meeting of Holders of Securities of any series for any purpose specified in Section 15.01, to be held at such time and at such place in the Borough of Manhattan, the City of New York as the Trustee shall determine. Notice of every meeting of Holders of Securities of any series, setting forth the time and the place of such meeting and in general terms the action proposed to be taken at such meeting, shall be given, in the manner provided in Section 1.06, not less than 21 nor more than 180 days prior to the date fixed for the meeting. </w:t>
      </w:r>
    </w:p>
    <w:p>
      <w:pPr>
        <w:pStyle w:val="TextBody"/>
        <w:bidi w:val="0"/>
        <w:spacing w:before="240" w:after="0"/>
        <w:jc w:val="left"/>
        <w:rPr>
          <w:rFonts w:ascii="Times New Roman" w:hAnsi="Times New Roman"/>
          <w:sz w:val="20"/>
        </w:rPr>
      </w:pPr>
      <w:r>
        <w:rPr>
          <w:rFonts w:ascii="Times New Roman" w:hAnsi="Times New Roman"/>
          <w:sz w:val="20"/>
        </w:rPr>
        <w:t xml:space="preserve">(b) 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15.01, by written request setting forth in reasonable detail the action proposed to be taken at the meeting, and the Trustee shall not have made the first publication or mailing or sending of the notice of such meeting within 21 days after receipt of such request or shall not thereafter proceed to cause the meeting to be held as provided herein, then the Company or the Holders of Securities of such series in the amount above specified, as the case may be, may determine the time and the place in the Borough of Manhattan, the City of New York for such meeting and may call such meeting for such purposes by giving notice thereof as provided in subsection (a) of this Section. </w:t>
      </w:r>
    </w:p>
    <w:p>
      <w:pPr>
        <w:pStyle w:val="TextBody"/>
        <w:bidi w:val="0"/>
        <w:spacing w:before="240" w:after="0"/>
        <w:jc w:val="left"/>
        <w:rPr>
          <w:rFonts w:ascii="Times New Roman" w:hAnsi="Times New Roman"/>
          <w:sz w:val="20"/>
        </w:rPr>
      </w:pPr>
      <w:r>
        <w:rPr>
          <w:rFonts w:ascii="Times New Roman" w:hAnsi="Times New Roman"/>
          <w:sz w:val="20"/>
        </w:rPr>
        <w:t>Section 15.03. </w:t>
      </w:r>
      <w:r>
        <w:rPr>
          <w:rFonts w:ascii="Times New Roman" w:hAnsi="Times New Roman"/>
          <w:sz w:val="20"/>
          <w:u w:val="single"/>
        </w:rPr>
        <w:t>Persons Entitled to Vote at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be entitled to vote at any meeting of Holders of Securities of any series, a Person shall be (i) a Holder of one or more Outstanding Securities of such series, or (ii) a Person appointed by an instrument in writing as proxy for a Holder or Holders of one or more Outstanding Securities of such series by such Holder or Holders. The only Persons who shall be entitled to be present or to speak at any meeting of Holders of Securities of any series shall be the Persons entitled to vote at such meeting and their counsel, any representatives of the Trustee and its counsel and any representatives of the Company and its counsel. </w:t>
      </w:r>
    </w:p>
    <w:p>
      <w:pPr>
        <w:pStyle w:val="TextBody"/>
        <w:bidi w:val="0"/>
        <w:spacing w:before="240" w:after="0"/>
        <w:jc w:val="left"/>
        <w:rPr>
          <w:rFonts w:ascii="Times New Roman" w:hAnsi="Times New Roman"/>
          <w:sz w:val="20"/>
        </w:rPr>
      </w:pPr>
      <w:r>
        <w:rPr>
          <w:rFonts w:ascii="Times New Roman" w:hAnsi="Times New Roman"/>
          <w:sz w:val="20"/>
        </w:rPr>
        <w:t>Section 15.04. </w:t>
      </w:r>
      <w:r>
        <w:rPr>
          <w:rFonts w:ascii="Times New Roman" w:hAnsi="Times New Roman"/>
          <w:sz w:val="20"/>
          <w:u w:val="single"/>
        </w:rPr>
        <w:t>Quorum; Action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Persons entitled to vote a majority in principal amount of the Outstanding Securities of a series shall constitute a quorum for a meeting of Holders of Securities of such series;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if any action is to be taken at such meeting with respect to a consent, waiver, request, demand, notice, authorization, direction or other action that this Indenture expressly provides may be made, given or taken by the Holders of not less than a specified percentage in principal amount of the Outstanding Securities of a series, the Persons entitled to vote such specified percentage in principal amount of the Outstanding Securities of such series shall constitute a quorum. In the absence of a quorum within 30 minutes of the time appointed for any such meeting, the meeting shall, if convened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15.02(a), except that such notice need be given only once not less than five days prior to the date on which the meeting is scheduled to be reconvened. Notice of the reconvening of any adjourned meeting shall state expressly the percentage, as provided above, of the principal amount of the Outstanding Securities of such series which shall constitute a quorum. </w:t>
      </w:r>
    </w:p>
    <w:p>
      <w:pPr>
        <w:pStyle w:val="TextBody"/>
        <w:bidi w:val="0"/>
        <w:spacing w:before="240" w:after="0"/>
        <w:jc w:val="left"/>
        <w:rPr>
          <w:rFonts w:ascii="Times New Roman" w:hAnsi="Times New Roman"/>
          <w:sz w:val="20"/>
        </w:rPr>
      </w:pPr>
      <w:r>
        <w:rPr>
          <w:rFonts w:ascii="Times New Roman" w:hAnsi="Times New Roman"/>
          <w:sz w:val="20"/>
        </w:rPr>
        <w:t>Except as limited by the proviso to Section 9.02, any resolution presented to a meeting or adjourned meeting duly reconvened at which a quorum is present as aforesaid may be adopted by the affirmative vote of the Holders of a majority in principal amount of the Outstanding Securities of that series;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except as limited by the proviso to Section 9.02, any resolution with respect to any consent, waiver, request, demand, notice, authorization, direction or other action which this Indenture expressly provides may be made, given or taken by the Holders of a specified percentage, which is less than a majority, in principal amount of the Outstanding Securities of a series may be adopted at a meeting or an adjourned meeting duly reconvened and at which a quorum is present as aforesaid by the affirmative vote of the Holders of such specified percentage in principal amount of the Outstanding Securities of that series. </w:t>
      </w:r>
    </w:p>
    <w:p>
      <w:pPr>
        <w:pStyle w:val="TextBody"/>
        <w:bidi w:val="0"/>
        <w:spacing w:before="240" w:after="0"/>
        <w:jc w:val="left"/>
        <w:rPr>
          <w:rFonts w:ascii="Times New Roman" w:hAnsi="Times New Roman"/>
          <w:sz w:val="20"/>
        </w:rPr>
      </w:pPr>
      <w:r>
        <w:rPr>
          <w:rFonts w:ascii="Times New Roman" w:hAnsi="Times New Roman"/>
          <w:sz w:val="20"/>
        </w:rPr>
        <w:t xml:space="preserve">Any resolution passed or decision taken at any meeting of Holders of Securities of any series duly held in accordance with this Section shall be binding on all the Holders of Securities of such series, whether or not present or represented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provisions of this Section 15.04, if any action is to be taken at a meeting of Holders of Securities of any series with respect to any consent, waiver, request, demand, notice, authorization, direction or other action that this Indenture expressly provides may be made, given or taken by the Holders of a specified percentage in principal amount of all Outstanding Securities affected thereby, or of the Holders of such series and one or more additional series: </w:t>
      </w:r>
    </w:p>
    <w:p>
      <w:pPr>
        <w:pStyle w:val="TextBody"/>
        <w:bidi w:val="0"/>
        <w:spacing w:before="120" w:after="0"/>
        <w:jc w:val="left"/>
        <w:rPr>
          <w:rFonts w:ascii="Times New Roman" w:hAnsi="Times New Roman"/>
          <w:sz w:val="20"/>
        </w:rPr>
      </w:pPr>
      <w:r>
        <w:rPr>
          <w:rFonts w:ascii="Times New Roman" w:hAnsi="Times New Roman"/>
          <w:sz w:val="20"/>
        </w:rPr>
        <w:t xml:space="preserve">(i) there shall be no minimum quorum requirement for such meeting; and </w:t>
      </w:r>
    </w:p>
    <w:p>
      <w:pPr>
        <w:pStyle w:val="TextBody"/>
        <w:bidi w:val="0"/>
        <w:spacing w:before="120" w:after="0"/>
        <w:jc w:val="left"/>
        <w:rPr>
          <w:rFonts w:ascii="Times New Roman" w:hAnsi="Times New Roman"/>
          <w:sz w:val="20"/>
        </w:rPr>
      </w:pPr>
      <w:r>
        <w:rPr>
          <w:rFonts w:ascii="Times New Roman" w:hAnsi="Times New Roman"/>
          <w:sz w:val="20"/>
        </w:rPr>
        <w:t xml:space="preserve">(ii) the principal amount of the Outstanding Securities of such series that vote in favor of such consent, waiver, request, demand, notice, authorization, direction or other action shall be taken into account in determining whether such request, demand, authorization, direction, notice, consent, waiver or other action has been made, given or taken under this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15.05. </w:t>
      </w:r>
      <w:r>
        <w:rPr>
          <w:rFonts w:ascii="Times New Roman" w:hAnsi="Times New Roman"/>
          <w:sz w:val="20"/>
          <w:u w:val="single"/>
        </w:rPr>
        <w:t>Determination of Voting Rights; Conduct and Adjournment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 other provisions of this Indenture, the Trustee may make such reasonable regulations as it may deem advisable for any meeting of Holders of Securities of a series in regard to proof of the holding of Securities of such series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 Except as otherwise permitted or required by any such regulations, the holding of Securities shall be proved in the manner specified in Section 1.04 and the appointment of any proxy shall be proved in the manner specified in Section 1.04. Such regulations may provide that written instruments appointing proxies, regular on their face, may be presumed valid and genuine without the proof specified in Section 1.04 or other proof. </w:t>
      </w:r>
    </w:p>
    <w:p>
      <w:pPr>
        <w:pStyle w:val="TextBody"/>
        <w:bidi w:val="0"/>
        <w:spacing w:before="240" w:after="0"/>
        <w:jc w:val="left"/>
        <w:rPr>
          <w:rFonts w:ascii="Times New Roman" w:hAnsi="Times New Roman"/>
          <w:sz w:val="20"/>
        </w:rPr>
      </w:pPr>
      <w:r>
        <w:rPr>
          <w:rFonts w:ascii="Times New Roman" w:hAnsi="Times New Roman"/>
          <w:sz w:val="20"/>
        </w:rPr>
        <w:t xml:space="preserve">(b) The Trustee shall, by an instrument in writing appoint a temporary chairman of the meeting, unless the meeting shall have been called by the Company or by Holders of Securities as provided in Section 15.02(b), in which case the Company or the Holders of Securities of the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 </w:t>
      </w:r>
    </w:p>
    <w:p>
      <w:pPr>
        <w:pStyle w:val="TextBody"/>
        <w:bidi w:val="0"/>
        <w:spacing w:before="240" w:after="0"/>
        <w:jc w:val="left"/>
        <w:rPr>
          <w:rFonts w:ascii="Times New Roman" w:hAnsi="Times New Roman"/>
          <w:sz w:val="20"/>
        </w:rPr>
      </w:pPr>
      <w:r>
        <w:rPr>
          <w:rFonts w:ascii="Times New Roman" w:hAnsi="Times New Roman"/>
          <w:sz w:val="20"/>
        </w:rPr>
        <w:t>(c) At any meeting of Holders, each Holder of a Security of such series or proxy shall be entitled to one vote for each $1,000 principal amount of the Outstanding Securities of such series held or represented by such Holder;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no vote shall be cast or counted at any meeting in respect of any Security challenged as not Outstanding and ruled by the chairman of the meeting to be not Outstanding. The chairman of the meeting shall have no right to vote, except as a Holder of a Security of such series or proxy. </w:t>
      </w:r>
    </w:p>
    <w:p>
      <w:pPr>
        <w:pStyle w:val="TextBody"/>
        <w:bidi w:val="0"/>
        <w:spacing w:before="240" w:after="0"/>
        <w:jc w:val="left"/>
        <w:rPr>
          <w:rFonts w:ascii="Times New Roman" w:hAnsi="Times New Roman"/>
          <w:sz w:val="20"/>
        </w:rPr>
      </w:pPr>
      <w:r>
        <w:rPr>
          <w:rFonts w:ascii="Times New Roman" w:hAnsi="Times New Roman"/>
          <w:sz w:val="20"/>
        </w:rPr>
        <w:t xml:space="preserve">(d) Any meeting of Holders of Securities of any series duly called pursuant to Section 15.02 at which a quorum is present may be adjourned from time to time by Persons entitled to vote a majority in principal amount of the Outstanding Securities of such series represented at the meeting, and the meeting may be held as so adjourned without further notice. </w:t>
      </w:r>
    </w:p>
    <w:p>
      <w:pPr>
        <w:pStyle w:val="TextBody"/>
        <w:bidi w:val="0"/>
        <w:spacing w:before="240" w:after="0"/>
        <w:jc w:val="left"/>
        <w:rPr>
          <w:rFonts w:ascii="Times New Roman" w:hAnsi="Times New Roman"/>
          <w:sz w:val="20"/>
        </w:rPr>
      </w:pPr>
      <w:r>
        <w:rPr>
          <w:rFonts w:ascii="Times New Roman" w:hAnsi="Times New Roman"/>
          <w:sz w:val="20"/>
        </w:rPr>
        <w:t>Section 15.06. </w:t>
      </w:r>
      <w:r>
        <w:rPr>
          <w:rFonts w:ascii="Times New Roman" w:hAnsi="Times New Roman"/>
          <w:sz w:val="20"/>
          <w:u w:val="single"/>
        </w:rPr>
        <w:t>Counting Votes and Recording Action of Meetings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vote upon any resolution submitted to any meeting of Holders of Securities of any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any Series shall be prepared by the secretary of the meeting and there shall be attached to said record the original reports of the inspectors of votes on any vote by ballot taken thereat and affidavits by one or more persons having knowledge of the fact, setting forth a copy of the notice of the meeting and showing that said notice was given as provided in Section 15.02 and, if applicable, Section 15.04.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SIXTEEN </w:t>
      </w:r>
    </w:p>
    <w:p>
      <w:pPr>
        <w:pStyle w:val="TextBody"/>
        <w:bidi w:val="0"/>
        <w:spacing w:before="120" w:after="0"/>
        <w:jc w:val="center"/>
        <w:rPr>
          <w:rFonts w:ascii="Times New Roman" w:hAnsi="Times New Roman"/>
          <w:b/>
          <w:sz w:val="20"/>
        </w:rPr>
      </w:pPr>
      <w:r>
        <w:rPr>
          <w:rFonts w:ascii="Times New Roman" w:hAnsi="Times New Roman"/>
          <w:b/>
          <w:sz w:val="20"/>
        </w:rPr>
        <w:t xml:space="preserve">SUBORDINATION OF SECURITIES </w:t>
      </w:r>
    </w:p>
    <w:p>
      <w:pPr>
        <w:pStyle w:val="TextBody"/>
        <w:bidi w:val="0"/>
        <w:spacing w:before="240" w:after="0"/>
        <w:jc w:val="left"/>
        <w:rPr>
          <w:rFonts w:ascii="Times New Roman" w:hAnsi="Times New Roman"/>
          <w:sz w:val="20"/>
        </w:rPr>
      </w:pPr>
      <w:r>
        <w:rPr>
          <w:rFonts w:ascii="Times New Roman" w:hAnsi="Times New Roman"/>
          <w:sz w:val="20"/>
        </w:rPr>
        <w:t>Section 16.01. </w:t>
      </w:r>
      <w:r>
        <w:rPr>
          <w:rFonts w:ascii="Times New Roman" w:hAnsi="Times New Roman"/>
          <w:sz w:val="20"/>
          <w:u w:val="single"/>
        </w:rPr>
        <w:t>Agreement to Subordinate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for itself, its successors and assigns, covenants and agrees, and each Holder of Senior Subordinated Securities by his acceptance thereof, whether upon original issue or upon transfer, assignment or exchange thereof, likewise covenants and agrees, that the payment of the principal of (and premium, if any) and interest, if any, on each and all of the Senior Subordinated Securities is hereby expressly subordinated, to the extent and in the manner hereinafter set forth, in right of payment to the prior payment in full of all Senior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Company, for itself, its successors and assigns, covenants and agrees, and each Holder of Junior Subordinated Securities by his acceptance thereof, likewise covenants and agrees, that the payment of the principal of (and premium, if any) and interest, if any, on each and all of the Junior Subordinated Securities is hereby expressly subordinated, to the extent and in the manner hereinafter set forth, in right of payment to the prior payment in full of all Senior Indebtedness and Senior Subordinated Indebtedness. </w:t>
      </w:r>
    </w:p>
    <w:p>
      <w:pPr>
        <w:pStyle w:val="TextBody"/>
        <w:bidi w:val="0"/>
        <w:spacing w:before="240" w:after="0"/>
        <w:jc w:val="left"/>
        <w:rPr>
          <w:rFonts w:ascii="Times New Roman" w:hAnsi="Times New Roman"/>
          <w:sz w:val="20"/>
        </w:rPr>
      </w:pPr>
      <w:r>
        <w:rPr>
          <w:rFonts w:ascii="Times New Roman" w:hAnsi="Times New Roman"/>
          <w:sz w:val="20"/>
        </w:rPr>
        <w:t>Section 16.02. </w:t>
      </w:r>
      <w:r>
        <w:rPr>
          <w:rFonts w:ascii="Times New Roman" w:hAnsi="Times New Roman"/>
          <w:sz w:val="20"/>
          <w:u w:val="single"/>
        </w:rPr>
        <w:t>Distribution on Dissolution, Liquidation and Reorganization; Subrogation of Subordinated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distribution of assets of the Company upon any dissolution, winding up, liquidation or reorganization of the Company, whether in bankruptcy, insolvency, reorganization or receivership proceedings or upon an assignment for the benefit of creditors or any other marshalling of the assets and liabilities of the Company or otherwise (subject to the power of a court of competent jurisdiction to make other equitable provision reflecting the rights conferred in this Indenture upon the Senior Indebtedness and the holders thereof with respect to the Securities and the holders thereof by a lawful plan of reorganization under applicable bankruptcy law): </w:t>
      </w:r>
    </w:p>
    <w:p>
      <w:pPr>
        <w:pStyle w:val="TextBody"/>
        <w:bidi w:val="0"/>
        <w:spacing w:before="120" w:after="0"/>
        <w:jc w:val="left"/>
        <w:rPr>
          <w:rFonts w:ascii="Times New Roman" w:hAnsi="Times New Roman"/>
          <w:sz w:val="20"/>
        </w:rPr>
      </w:pPr>
      <w:r>
        <w:rPr>
          <w:rFonts w:ascii="Times New Roman" w:hAnsi="Times New Roman"/>
          <w:sz w:val="20"/>
        </w:rPr>
        <w:t xml:space="preserve">(i) the holders of all Senior Indebtedness shall be entitled to receive payment in full of the principal thereof (and premium, if any) and interest due thereon before the Holders of the Subordinated Securities (except that, anything in this Indenture to the contrary notwithstanding, Holders of Subordinated Securities may receive and retain Permitted Junior Securities); are entitled to receive any payment upon the principal (or premium, if any) or interest, if any, on indebtedness evidenced by the Subordinated Securities (except that, anything in this Indenture to the contrary notwithstanding, Holders of Subordinated Securities may receive and retain Permitted Junior Securities); and </w:t>
      </w:r>
    </w:p>
    <w:p>
      <w:pPr>
        <w:pStyle w:val="TextBody"/>
        <w:bidi w:val="0"/>
        <w:spacing w:before="120" w:after="0"/>
        <w:jc w:val="left"/>
        <w:rPr>
          <w:rFonts w:ascii="Times New Roman" w:hAnsi="Times New Roman"/>
          <w:sz w:val="20"/>
        </w:rPr>
      </w:pPr>
      <w:r>
        <w:rPr>
          <w:rFonts w:ascii="Times New Roman" w:hAnsi="Times New Roman"/>
          <w:sz w:val="20"/>
        </w:rPr>
        <w:t xml:space="preserve">(ii) the holders of all Senior Subordinated Indebtedness shall be entitled to receive payment in full of the principal thereof (and premium, if any) and interest due thereon before the Holders of the Junior Subordinated Securities are entitled to receive any payment upon the principal (or premium, if any) or interest, if any, on indebtedness evidenced by the Junior Subordinated Securities;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any payment or distribution of assets of the Company of any kind or character, whether in cash, property or securities, to which the Holders of the Securities or the Trustee would be entitled except for the provisions of this Article Sixteen shall be paid by the liquidating trustee or agent or other person making such payment or distribution, whether a trustee in bankruptcy, a receiver or liquidating trustee or otherwise, directly to the holders of Senior Indebtedness or their representative or representatives or to the trustee or trustees under any indenture under which any instruments evidencing any of such Senior Indebtedness may have been issued, ratably according to the aggregate amounts remaining unpaid on account of the principal of (and premium, if any) and interest on the Senior Indebtedness held or represented by each, to the extent necessary to make payment in full of all Senior Indebtedness remaining unpaid, after giving effect to any concurrent payment or distribution to the holders of such Senior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(iv) in the event that, notwithstanding the foregoing, any payment or distribution of assets of the Company of any kind or character, whether in cash, property or securities, shall be received by the Trustee or the Holders of the Subordinated Securities before all Senior Indebtedness is paid in full, such payment or distribution shall be paid over, upon written notice to the Trustee, to the holder of such Senior Indebtedness or their representative or representatives or to the trustee or trustees under any indenture under which any instrument evidencing any of such Senior Indebtedness may have been issued, ratably as aforesaid, for application to payment of all Senior Indebtedness remaining unpaid until all such Senior Indebtedness shall have been paid in full, after giving effect to any concurrent payment or distribution to the holders of such Senior Indebtedness.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Junior Securities</w:t>
      </w:r>
      <w:r>
        <w:rPr>
          <w:rFonts w:ascii="Times New Roman" w:hAnsi="Times New Roman"/>
          <w:sz w:val="20"/>
        </w:rPr>
        <w:t xml:space="preserve"> means: </w:t>
      </w:r>
    </w:p>
    <w:p>
      <w:pPr>
        <w:pStyle w:val="TextBody"/>
        <w:bidi w:val="0"/>
        <w:spacing w:before="120" w:after="0"/>
        <w:jc w:val="left"/>
        <w:rPr>
          <w:rFonts w:ascii="Times New Roman" w:hAnsi="Times New Roman"/>
          <w:sz w:val="20"/>
        </w:rPr>
      </w:pPr>
      <w:r>
        <w:rPr>
          <w:rFonts w:ascii="Times New Roman" w:hAnsi="Times New Roman"/>
          <w:sz w:val="20"/>
        </w:rPr>
        <w:t xml:space="preserve">(1) Equity Interests in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(2) debt securities that are subordinated to all Senior Indebtedness and any debt securities issued in exchange for Senior Indebtedness to substantially the same extent as, or to a greater extent than, the Subordinated Securities and the Junior Subordinated Securities are subordinated to Senior Indebtedness under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payment in full of all Senior Indebtedness, the Holders of the Subordinated Securities shall be subrogated to the rights of the holders of Senior Indebtedness to receive payments or distributions of cash, property or securities of the Company applicable to Senior Indebtedness until the principal of (and premium, if any) and interest, if any, on the Subordinated Securities shall be paid in full and no such payments or distributions to the Holders of the Subordinated Securities of cash, property or securities otherwise distributable to the holders of Senior Indebtedness shall, as between the Company, its creditors other than the holders of Senior Indebtedness, and the Holders of the Subordinated Securities be deemed to be a payment by the Company to or on account of the Subordinated Securities. It is understood that the provisions of this Article Sixteen are and are intended solely for the purpose of defining the relative rights of the Holders of the Subordinated Securities, on the one hand, and the holders of the Senior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other hand. Nothing contained in this Article Sixteen or elsewhere in this Indenture or in the Subordinated Securities is intended to or shall impair, as between the Company, its creditors other than the holders of Senior Indebtedness, and the Holders of the Subordinated Securities, the obligation of the Company, which is unconditional and absolute, to pay to the Holders of the Subordinated Securities the principal of (and premium, if any) and interest, if any, on the Subordinated Securities as and when the same shall become due and payable in accordance with their terms, or to affect the relative rights of the Holders of the Subordinated Securities and creditors of the Company other than the holders of Senior Indebtedness, nor shall anything herein or in the Subordinated Securities prevent the Trustee or the Holder of any Subordinated Security from exercising all remedies otherwise permitted by applicable law upon default under this Indenture, subject to the rights, if any, under this Article Sixteen of the holders of Senior Indebtedness in respect of cash, property or securities of the Company received upon the exercise of any such remedy. Upon any payment or distribution of assets of the Company referred to in this Article Sixteen, the Trustee, subject to the provisions of Section 6.01, shall be entitled to rely upon a certificate of the liquidating trustee or agent or other person making any distribution to the Trustee for the purpose of ascertaining the Persons entitled to participate in such distribution, the holders of Senior Indebtedness and other indebtedness of the Company, the amount thereof or payable thereon, the amount or amounts paid or distributed thereon and all other facts pertinent thereto or to this Article Sixteen. </w:t>
      </w:r>
    </w:p>
    <w:p>
      <w:pPr>
        <w:pStyle w:val="TextBody"/>
        <w:bidi w:val="0"/>
        <w:spacing w:before="240" w:after="0"/>
        <w:jc w:val="left"/>
        <w:rPr>
          <w:rFonts w:ascii="Times New Roman" w:hAnsi="Times New Roman"/>
          <w:sz w:val="20"/>
        </w:rPr>
      </w:pPr>
      <w:r>
        <w:rPr>
          <w:rFonts w:ascii="Times New Roman" w:hAnsi="Times New Roman"/>
          <w:sz w:val="20"/>
        </w:rPr>
        <w:t xml:space="preserve">If the Trustee or any Holder of Subordinated Securities does not file a proper claim or proof of debt in the form required in any proceeding referred to above prior to 30 days before the expiration of the time to file such claim in such proceeding, then the holder of any Senior Indebtedness is hereby authorized, and has the right, to file an appropriate claim or claims for or on behalf of such Holder of Subordinated Securities.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holders of Senior Indebtedness, the Trustee undertakes to perform or to observe only such of its covenants or obligations as are specifically set forth in this Article and no implied covenants or obligations with respect to holders of Senior Indebtedness shall be read into this Indenture against the Trustee. </w:t>
      </w:r>
    </w:p>
    <w:p>
      <w:pPr>
        <w:pStyle w:val="TextBody"/>
        <w:bidi w:val="0"/>
        <w:spacing w:before="240" w:after="0"/>
        <w:jc w:val="left"/>
        <w:rPr>
          <w:rFonts w:ascii="Times New Roman" w:hAnsi="Times New Roman"/>
          <w:sz w:val="20"/>
        </w:rPr>
      </w:pPr>
      <w:r>
        <w:rPr>
          <w:rFonts w:ascii="Times New Roman" w:hAnsi="Times New Roman"/>
          <w:sz w:val="20"/>
        </w:rPr>
        <w:t xml:space="preserve">The Trustee does not owe any fiduciary duties to the holders of Senior Indebtedness, including any holder of Securities other than Securities issued under this Indenture. </w:t>
      </w:r>
    </w:p>
    <w:p>
      <w:pPr>
        <w:pStyle w:val="TextBody"/>
        <w:bidi w:val="0"/>
        <w:spacing w:before="240" w:after="0"/>
        <w:jc w:val="left"/>
        <w:rPr>
          <w:rFonts w:ascii="Times New Roman" w:hAnsi="Times New Roman"/>
          <w:sz w:val="20"/>
        </w:rPr>
      </w:pPr>
      <w:r>
        <w:rPr>
          <w:rFonts w:ascii="Times New Roman" w:hAnsi="Times New Roman"/>
          <w:sz w:val="20"/>
        </w:rPr>
        <w:t>Section 16.03. </w:t>
      </w:r>
      <w:r>
        <w:rPr>
          <w:rFonts w:ascii="Times New Roman" w:hAnsi="Times New Roman"/>
          <w:sz w:val="20"/>
          <w:u w:val="single"/>
        </w:rPr>
        <w:t>No Payment on Subordinated Securities in Event of Default on Senior 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payment by the Company on account of principal (or premium, if any), sinking funds or interest, if any, on the Subordinated Securities shall be made unless full payment of amounts then due for principal (premium, if any), sinking funds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Section 16.04. </w:t>
      </w:r>
      <w:r>
        <w:rPr>
          <w:rFonts w:ascii="Times New Roman" w:hAnsi="Times New Roman"/>
          <w:sz w:val="20"/>
          <w:u w:val="single"/>
        </w:rPr>
        <w:t>Payments on Subordinated Securities Permitted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Nothing contained in this Indenture or in any of the Subordinated Securities shall (a) affect the obligation of the Company to make, or prevent the Company from making, at any time except as provided in Sections 16.02 and 16.03, payments of principal of (or premium, if any) or interest, if any, on the Subordinated Securities or (b) prevent the application by the Trustee of any moneys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deposited with it hereunder to the payment of or on account of the principal of (or premium, if any) or interest, if any, on the Subordinated Securities, unless the Trustee shall have received at its Corporate Trust Office written notice of any event prohibiting the making of such payment more than three Business Days prior to the date fixed for such payment. </w:t>
      </w:r>
    </w:p>
    <w:p>
      <w:pPr>
        <w:pStyle w:val="TextBody"/>
        <w:bidi w:val="0"/>
        <w:spacing w:before="240" w:after="0"/>
        <w:jc w:val="left"/>
        <w:rPr>
          <w:rFonts w:ascii="Times New Roman" w:hAnsi="Times New Roman"/>
          <w:sz w:val="20"/>
        </w:rPr>
      </w:pPr>
      <w:r>
        <w:rPr>
          <w:rFonts w:ascii="Times New Roman" w:hAnsi="Times New Roman"/>
          <w:sz w:val="20"/>
        </w:rPr>
        <w:t>Section 16.05. </w:t>
      </w:r>
      <w:r>
        <w:rPr>
          <w:rFonts w:ascii="Times New Roman" w:hAnsi="Times New Roman"/>
          <w:sz w:val="20"/>
          <w:u w:val="single"/>
        </w:rPr>
        <w:t>Authorization of Holders to Trustee to Effect Subordination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Each Holder of Subordinated Securities by his acceptance thereof authorizes and directs the Trustee on his behalf to take such action as may be necessary or appropriate to effectuate the subordination as provided in this Article Sixteen and appoints the Trustee his attorney-in-fact for any and all such purposes. </w:t>
      </w:r>
    </w:p>
    <w:p>
      <w:pPr>
        <w:pStyle w:val="TextBody"/>
        <w:bidi w:val="0"/>
        <w:spacing w:before="240" w:after="0"/>
        <w:jc w:val="left"/>
        <w:rPr>
          <w:rFonts w:ascii="Times New Roman" w:hAnsi="Times New Roman"/>
          <w:sz w:val="20"/>
        </w:rPr>
      </w:pPr>
      <w:r>
        <w:rPr>
          <w:rFonts w:ascii="Times New Roman" w:hAnsi="Times New Roman"/>
          <w:sz w:val="20"/>
        </w:rPr>
        <w:t>Section 16.06. </w:t>
      </w:r>
      <w:r>
        <w:rPr>
          <w:rFonts w:ascii="Times New Roman" w:hAnsi="Times New Roman"/>
          <w:sz w:val="20"/>
          <w:u w:val="single"/>
        </w:rPr>
        <w:t>Notices to Trustee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Notwithstanding the provisions of this Article or any other provisions of this Indenture, neither the Trustee nor any Paying Agent (other than the Company) shall be charged with knowledge of the existence of any Senior Indebtedness or of any event which would prohibit the making of any payment of moneys to or by the Trustee or such Paying Agent, unless and until the Trustee or such Paying Agent shall have received (in the case of the Trustee, at its Corporate Trust Office) written notice thereof from the Company or from the holder of any Senior Indebtedness or from the trustee for any such holder, together with proof reasonably satisfactory to the Trustee of such holding of Senior Indebtedness or of the authority of such trustee; </w:t>
      </w:r>
      <w:r>
        <w:rPr>
          <w:rFonts w:ascii="Times New Roman" w:hAnsi="Times New Roman"/>
          <w:sz w:val="20"/>
          <w:u w:val="single"/>
        </w:rPr>
        <w:t>provided</w:t>
      </w:r>
      <w:r>
        <w:rPr>
          <w:rFonts w:ascii="Times New Roman" w:hAnsi="Times New Roman"/>
          <w:sz w:val="20"/>
        </w:rPr>
        <w:t>, </w:t>
      </w:r>
      <w:r>
        <w:rPr>
          <w:rFonts w:ascii="Times New Roman" w:hAnsi="Times New Roman"/>
          <w:sz w:val="20"/>
          <w:u w:val="single"/>
        </w:rPr>
        <w:t>however</w:t>
      </w:r>
      <w:r>
        <w:rPr>
          <w:rFonts w:ascii="Times New Roman" w:hAnsi="Times New Roman"/>
          <w:sz w:val="20"/>
        </w:rPr>
        <w:t xml:space="preserve">, that if at least three Business Days prior to the date upon which by the terms hereof any such moneys may become payable for any purpose (including, without limitation, the payment of either the principal (or premium, if any) or interest, if any, on any Subordinated Security) the Trustee shall not have received with respect to such moneys the notice provided for in this Section 16.06, then, anything herein contained to the contrary notwithstanding, the Trustee shall have full power and authority to receive such moneys and to apply the same to the purpose for which they were received, and shall not be affected by any notice to the contrary, which may be received by it within three Business Days prior to such date. The Trustee shall be entitled to rely on the delivery to it of a written notice by a Person representing himself to be a holder of Senior Indebtedness (or a trustee on behalf of such holder) to establish that such a notice has been given by a holder of Senior Indebtedness or a trustee on behalf of any such holder. In the event that the Trustee determines in good faith that further evidence is required with respect to the right of any Person as a holder of Senior Indebtedness to participate in any payment or distribution pursuant to this Article Sixteen, the Trustee may request such Person to furnish evidence to the reasonable satisfaction of the Trustee as to the amount of Senior Indebtedness held by such Person, the extent to which such Person is entitled to participate in such payment or distribution and any other facts pertinent to the rights of such Person under this Article Sixteen and, if such evidence is not furnished, the Trustee may defer any payment to such Person pending judicial determination as to the right of such Person to receive such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16.07. </w:t>
      </w:r>
      <w:r>
        <w:rPr>
          <w:rFonts w:ascii="Times New Roman" w:hAnsi="Times New Roman"/>
          <w:sz w:val="20"/>
          <w:u w:val="single"/>
        </w:rPr>
        <w:t>Trustee as Holder of Senior 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Trustee in its individual capacity shall be entitled to all the rights set forth in this Article Sixteen in respect of any Senior Indebtedness at any time held by it to the same extent as any other holder of Senior Indebtedness and nothing in this Indenture shall be construed to deprive the Trustee of any of its rights as such holder. </w:t>
      </w:r>
    </w:p>
    <w:p>
      <w:pPr>
        <w:pStyle w:val="TextBody"/>
        <w:bidi w:val="0"/>
        <w:spacing w:before="240" w:after="0"/>
        <w:jc w:val="left"/>
        <w:rPr>
          <w:rFonts w:ascii="Times New Roman" w:hAnsi="Times New Roman"/>
          <w:sz w:val="20"/>
        </w:rPr>
      </w:pPr>
      <w:r>
        <w:rPr>
          <w:rFonts w:ascii="Times New Roman" w:hAnsi="Times New Roman"/>
          <w:sz w:val="20"/>
        </w:rPr>
        <w:t xml:space="preserve">Nothing in this Article Sixteen shall apply to claims of, or payments to, the Trustee under or pursuant to Section 6.06. </w:t>
      </w:r>
    </w:p>
    <w:p>
      <w:pPr>
        <w:pStyle w:val="TextBody"/>
        <w:bidi w:val="0"/>
        <w:spacing w:before="240" w:after="0"/>
        <w:jc w:val="left"/>
        <w:rPr>
          <w:rFonts w:ascii="Times New Roman" w:hAnsi="Times New Roman"/>
          <w:sz w:val="20"/>
        </w:rPr>
      </w:pPr>
      <w:r>
        <w:rPr>
          <w:rFonts w:ascii="Times New Roman" w:hAnsi="Times New Roman"/>
          <w:sz w:val="20"/>
        </w:rPr>
        <w:t>Section 16.08. </w:t>
      </w:r>
      <w:r>
        <w:rPr>
          <w:rFonts w:ascii="Times New Roman" w:hAnsi="Times New Roman"/>
          <w:sz w:val="20"/>
          <w:u w:val="single"/>
        </w:rPr>
        <w:t>Modifications of Terms of Senior Indebtedness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Any renewal or extension of the time of payment of any Senior Indebtedness or the exercise by the holders of Senior Indebtedness of any of their rights under any instrument creating or evidencing Senior Indebtedness, including, without limitation, the waiver of default thereunder, may be made or done all without notice to or assent from the Holders of the Subordinated Securities or the Trustee. </w:t>
      </w:r>
    </w:p>
    <w:p>
      <w:pPr>
        <w:pStyle w:val="TextBody"/>
        <w:bidi w:val="0"/>
        <w:spacing w:before="240" w:after="0"/>
        <w:jc w:val="left"/>
        <w:rPr>
          <w:rFonts w:ascii="Times New Roman" w:hAnsi="Times New Roman"/>
          <w:sz w:val="20"/>
        </w:rPr>
      </w:pPr>
      <w:r>
        <w:rPr>
          <w:rFonts w:ascii="Times New Roman" w:hAnsi="Times New Roman"/>
          <w:sz w:val="20"/>
        </w:rPr>
        <w:t xml:space="preserve">No compromise, alteration, amendment, modification, extension, renewal or other change of, or waiver, consent or other action in respect of, any liability or obligation under or in respect of, or of any of the terms, covenants or conditions of any indenture or other instrument under which any Senior Indebtedness is outstanding or of such Senior Indebtedness, whether or not such release is in accordance with the provisions of any applicable document, shall in any way alter or affect any of the provisions of this Article Sixteen or of the Subordinated Securities relating to the subordination thereof. </w:t>
      </w:r>
    </w:p>
    <w:p>
      <w:pPr>
        <w:pStyle w:val="TextBody"/>
        <w:bidi w:val="0"/>
        <w:spacing w:before="240" w:after="0"/>
        <w:jc w:val="left"/>
        <w:rPr>
          <w:rFonts w:ascii="Times New Roman" w:hAnsi="Times New Roman"/>
          <w:sz w:val="20"/>
        </w:rPr>
      </w:pPr>
      <w:r>
        <w:rPr>
          <w:rFonts w:ascii="Times New Roman" w:hAnsi="Times New Roman"/>
          <w:sz w:val="20"/>
        </w:rPr>
        <w:t>Section 16.09. </w:t>
      </w:r>
      <w:r>
        <w:rPr>
          <w:rFonts w:ascii="Times New Roman" w:hAnsi="Times New Roman"/>
          <w:sz w:val="20"/>
          <w:u w:val="single"/>
        </w:rPr>
        <w:t>Reliance on Judicial Order or Certificate of Liquidating Agent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Upon any payment or distribution of assets of the Company referred to in this Article Sixteen, the Trustee and the Holders of the Securities shall be entitled to rely upon any order or decree entered by any court of competent jurisdiction in which such insolvency, bankruptcy, receivership, liquidation, reorganization, dissolution, winding up or similar case or proceeding is pending, or a certificate of the trustee in bankruptcy, liquidating trustee, custodian, receiver, assignee for the benefit of creditors, agent or other person making such payment or distribution, delivered to the Trustee or to the Holders of Subordinated Securities, for the purpose of ascertaining the persons entitled to participate in such payment or distribution, the holders of Senior Indebtedness and other indebtedness of the Company, the amount thereof or payable thereon, the amount or amounts paid or distributed thereon and all other facts pertinent thereto or to this Article Sixteen.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This Indenture may be executed in any number of counterparts, each of which so executed shall be deemed to be an original, but all such counterparts shall together constitute but one and the same Indenture. The exchange of copies of this Indenture and of signature pages by facsimile, .pdf transmission or electronic mail shall constitute effective execution and delivery of this Indenture for all purposes. Signatures of the parties hereto transmitted by facsimile, .pdf transmission or electronic mail shall be deemed to be their original signatures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Indenture to be duly executed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0"/>
        <w:gridCol w:w="61"/>
        <w:gridCol w:w="3351"/>
      </w:tblGrid>
      <w:tr>
        <w:trPr/>
        <w:tc>
          <w:tcPr>
            <w:tcW w:w="67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vAlign w:val="bottom"/>
          </w:tcPr>
          <w:p>
            <w:pPr>
              <w:pStyle w:val="TableContents"/>
              <w:bidi w:val="0"/>
              <w:spacing w:before="0" w:after="283"/>
              <w:jc w:val="left"/>
              <w:rPr/>
            </w:pPr>
            <w:r>
              <w:rPr/>
              <w:t>/s/ Ian T. Simmonds</w:t>
            </w:r>
          </w:p>
        </w:tc>
      </w:tr>
      <w:tr>
        <w:trPr/>
        <w:tc>
          <w:tcPr>
            <w:tcW w:w="67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Ian T. Simmonds</w:t>
            </w:r>
          </w:p>
        </w:tc>
      </w:tr>
      <w:tr>
        <w:trPr/>
        <w:tc>
          <w:tcPr>
            <w:tcW w:w="670"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w:t>
            </w:r>
          </w:p>
          <w:p>
            <w:pPr>
              <w:pStyle w:val="TableContents"/>
              <w:bidi w:val="0"/>
              <w:spacing w:before="0" w:after="20"/>
              <w:jc w:val="left"/>
              <w:rPr>
                <w:rFonts w:ascii="Times New Roman" w:hAnsi="Times New Roman"/>
                <w:sz w:val="20"/>
              </w:rPr>
            </w:pPr>
            <w:r>
              <w:rPr>
                <w:rFonts w:ascii="Times New Roman" w:hAnsi="Times New Roman"/>
                <w:sz w:val="20"/>
              </w:rPr>
              <w:t>NATIONAL ASSOCIATION, as Trustee</w:t>
            </w:r>
          </w:p>
        </w:tc>
      </w:tr>
      <w:tr>
        <w:trPr>
          <w:trHeight w:val="240" w:hRule="atLeast"/>
        </w:trPr>
        <w:tc>
          <w:tcPr>
            <w:tcW w:w="670" w:type="dxa"/>
            <w:tcBorders/>
            <w:vAlign w:val="center"/>
          </w:tcPr>
          <w:p>
            <w:pPr>
              <w:pStyle w:val="TableContents"/>
              <w:bidi w:val="0"/>
              <w:spacing w:before="0" w:after="283"/>
              <w:jc w:val="left"/>
              <w:rPr>
                <w:sz w:val="4"/>
                <w:szCs w:val="4"/>
              </w:rPr>
            </w:pPr>
            <w:r>
              <w:rPr>
                <w:sz w:val="4"/>
                <w:szCs w:val="4"/>
              </w:rPr>
            </w:r>
          </w:p>
        </w:tc>
        <w:tc>
          <w:tcPr>
            <w:tcW w:w="3412" w:type="dxa"/>
            <w:gridSpan w:val="2"/>
            <w:tcBorders/>
            <w:vAlign w:val="center"/>
          </w:tcPr>
          <w:p>
            <w:pPr>
              <w:pStyle w:val="TableContents"/>
              <w:bidi w:val="0"/>
              <w:spacing w:before="0" w:after="283"/>
              <w:jc w:val="left"/>
              <w:rPr>
                <w:sz w:val="4"/>
                <w:szCs w:val="4"/>
              </w:rPr>
            </w:pPr>
            <w:r>
              <w:rPr>
                <w:sz w:val="4"/>
                <w:szCs w:val="4"/>
              </w:rPr>
            </w:r>
          </w:p>
        </w:tc>
      </w:tr>
      <w:tr>
        <w:trPr/>
        <w:tc>
          <w:tcPr>
            <w:tcW w:w="670" w:type="dxa"/>
            <w:tcBorders/>
            <w:vAlign w:val="bottom"/>
          </w:tcPr>
          <w:p>
            <w:pPr>
              <w:pStyle w:val="TableContents"/>
              <w:bidi w:val="0"/>
              <w:spacing w:before="0" w:after="283"/>
              <w:jc w:val="left"/>
              <w:rPr/>
            </w:pPr>
            <w:r>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351" w:type="dxa"/>
            <w:tcBorders>
              <w:bottom w:val="single" w:sz="2" w:space="0" w:color="000000"/>
            </w:tcBorders>
            <w:tcMar>
              <w:bottom w:w="28" w:type="dxa"/>
            </w:tcMar>
            <w:vAlign w:val="bottom"/>
          </w:tcPr>
          <w:p>
            <w:pPr>
              <w:pStyle w:val="TableContents"/>
              <w:bidi w:val="0"/>
              <w:spacing w:before="0" w:after="283"/>
              <w:jc w:val="left"/>
              <w:rPr/>
            </w:pPr>
            <w:r>
              <w:rPr/>
              <w:t>/s/ James W. Hall</w:t>
            </w:r>
          </w:p>
        </w:tc>
      </w:tr>
      <w:tr>
        <w:trPr/>
        <w:tc>
          <w:tcPr>
            <w:tcW w:w="670" w:type="dxa"/>
            <w:tcBorders/>
            <w:vAlign w:val="bottom"/>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James W. Hall</w:t>
            </w:r>
          </w:p>
        </w:tc>
      </w:tr>
      <w:tr>
        <w:trPr/>
        <w:tc>
          <w:tcPr>
            <w:tcW w:w="670" w:type="dxa"/>
            <w:tcBorders/>
            <w:vAlign w:val="bottom"/>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51" w:type="dxa"/>
            <w:tcBorders/>
            <w:vAlign w:val="bottom"/>
          </w:tcPr>
          <w:p>
            <w:pPr>
              <w:pStyle w:val="TableContents"/>
              <w:bidi w:val="0"/>
              <w:spacing w:before="0" w:after="283"/>
              <w:jc w:val="left"/>
              <w:rPr/>
            </w:pPr>
            <w:r>
              <w:rPr/>
              <w:t>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Indenture</w:t>
      </w:r>
      <w:r>
        <w:rPr>
          <w:rFonts w:ascii="Times New Roman" w:hAnsi="Times New Roman"/>
          <w:sz w:val="20"/>
        </w:rPr>
        <w:t xml:space="preserve">] </w:t>
      </w:r>
    </w:p>
    <w:p>
      <w:pPr>
        <w:pStyle w:val="TextBody"/>
        <w:bidi w:val="0"/>
        <w:spacing w:before="0" w:after="0"/>
        <w:jc w:val="right"/>
        <w:rPr>
          <w:rFonts w:ascii="Times New Roman" w:hAnsi="Times New Roman"/>
          <w:b/>
          <w:i/>
          <w:sz w:val="20"/>
        </w:rPr>
      </w:pPr>
      <w:bookmarkStart w:id="4" w:name="d813134dex42.htm"/>
      <w:bookmarkStart w:id="5" w:name="ksd813134dex42"/>
      <w:bookmarkEnd w:id="4"/>
      <w:bookmarkEnd w:id="5"/>
      <w:r>
        <w:rPr>
          <w:rFonts w:ascii="Times New Roman" w:hAnsi="Times New Roman"/>
          <w:b/>
          <w:i/>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FIRST SUPPLEMENTAL INDENTURE </w:t>
      </w:r>
    </w:p>
    <w:p>
      <w:pPr>
        <w:pStyle w:val="TextBody"/>
        <w:bidi w:val="0"/>
        <w:spacing w:before="120" w:after="0"/>
        <w:jc w:val="center"/>
        <w:rPr>
          <w:rFonts w:ascii="Times New Roman" w:hAnsi="Times New Roman"/>
          <w:b/>
          <w:sz w:val="20"/>
        </w:rPr>
      </w:pPr>
      <w:r>
        <w:rPr>
          <w:rFonts w:ascii="Times New Roman" w:hAnsi="Times New Roman"/>
          <w:b/>
          <w:sz w:val="20"/>
        </w:rPr>
        <w:t xml:space="preserve">between </w:t>
      </w:r>
    </w:p>
    <w:p>
      <w:pPr>
        <w:pStyle w:val="TextBody"/>
        <w:bidi w:val="0"/>
        <w:spacing w:before="12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120" w:after="0"/>
        <w:jc w:val="center"/>
        <w:rPr>
          <w:rFonts w:ascii="Times New Roman" w:hAnsi="Times New Roman"/>
          <w:b/>
          <w:sz w:val="20"/>
        </w:rPr>
      </w:pPr>
      <w:r>
        <w:rPr>
          <w:rFonts w:ascii="Times New Roman" w:hAnsi="Times New Roman"/>
          <w:b/>
          <w:sz w:val="20"/>
        </w:rPr>
        <w:t xml:space="preserve">and </w:t>
      </w:r>
    </w:p>
    <w:p>
      <w:pPr>
        <w:pStyle w:val="TextBody"/>
        <w:bidi w:val="0"/>
        <w:spacing w:before="120" w:after="0"/>
        <w:jc w:val="center"/>
        <w:rPr>
          <w:rFonts w:ascii="Times New Roman" w:hAnsi="Times New Roman"/>
          <w:b/>
          <w:sz w:val="20"/>
        </w:rPr>
      </w:pPr>
      <w:r>
        <w:rPr>
          <w:rFonts w:ascii="Times New Roman" w:hAnsi="Times New Roman"/>
          <w:b/>
          <w:sz w:val="20"/>
        </w:rPr>
        <w:t xml:space="preserve">U.S. BANK TRUST COMPANY, NATIONAL ASSOCIATION, </w:t>
      </w:r>
    </w:p>
    <w:p>
      <w:pPr>
        <w:pStyle w:val="TextBody"/>
        <w:bidi w:val="0"/>
        <w:spacing w:before="12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120" w:after="0"/>
        <w:jc w:val="center"/>
        <w:rPr>
          <w:rFonts w:ascii="Times New Roman" w:hAnsi="Times New Roman"/>
          <w:b/>
          <w:sz w:val="20"/>
        </w:rPr>
      </w:pPr>
      <w:r>
        <w:rPr>
          <w:rFonts w:ascii="Times New Roman" w:hAnsi="Times New Roman"/>
          <w:b/>
          <w:sz w:val="20"/>
        </w:rPr>
        <w:t xml:space="preserve">DATED AS OF MARCH 11, 2024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FIRST SUPPLEMENTAL INDENTURE </w:t>
      </w:r>
    </w:p>
    <w:p>
      <w:pPr>
        <w:pStyle w:val="TextBody"/>
        <w:bidi w:val="0"/>
        <w:spacing w:before="240" w:after="0"/>
        <w:jc w:val="left"/>
        <w:rPr>
          <w:rFonts w:ascii="Times New Roman" w:hAnsi="Times New Roman"/>
          <w:sz w:val="20"/>
        </w:rPr>
      </w:pPr>
      <w:r>
        <w:rPr>
          <w:rFonts w:ascii="Times New Roman" w:hAnsi="Times New Roman"/>
          <w:sz w:val="20"/>
        </w:rPr>
        <w:t>THIS FIRST SUPPLEMENTAL INDENTURE (this </w:t>
      </w:r>
      <w:r>
        <w:rPr>
          <w:rFonts w:ascii="Times New Roman" w:hAnsi="Times New Roman"/>
          <w:sz w:val="20"/>
          <w:u w:val="single"/>
        </w:rPr>
        <w:t>First Supplemental Indenture</w:t>
      </w:r>
      <w:r>
        <w:rPr>
          <w:rFonts w:ascii="Times New Roman" w:hAnsi="Times New Roman"/>
          <w:sz w:val="20"/>
        </w:rPr>
        <w:t>), dated as of March 11, 2024 (the </w:t>
      </w:r>
      <w:r>
        <w:rPr>
          <w:rFonts w:ascii="Times New Roman" w:hAnsi="Times New Roman"/>
          <w:sz w:val="20"/>
          <w:u w:val="single"/>
        </w:rPr>
        <w:t>Issue Date</w:t>
      </w:r>
      <w:r>
        <w:rPr>
          <w:rFonts w:ascii="Times New Roman" w:hAnsi="Times New Roman"/>
          <w:sz w:val="20"/>
        </w:rPr>
        <w:t>), is between Sixth Street Lending Partners, a Delaware statutory trust (the </w:t>
      </w:r>
      <w:r>
        <w:rPr>
          <w:rFonts w:ascii="Times New Roman" w:hAnsi="Times New Roman"/>
          <w:sz w:val="20"/>
          <w:u w:val="single"/>
        </w:rPr>
        <w:t>Company</w:t>
      </w:r>
      <w:r>
        <w:rPr>
          <w:rFonts w:ascii="Times New Roman" w:hAnsi="Times New Roman"/>
          <w:sz w:val="20"/>
        </w:rPr>
        <w:t>), and U.S. Bank Trust Company, National Association, as trustee (the </w:t>
      </w:r>
      <w:r>
        <w:rPr>
          <w:rFonts w:ascii="Times New Roman" w:hAnsi="Times New Roman"/>
          <w:sz w:val="20"/>
          <w:u w:val="single"/>
        </w:rPr>
        <w:t>Trustee</w:t>
      </w:r>
      <w:r>
        <w:rPr>
          <w:rFonts w:ascii="Times New Roman" w:hAnsi="Times New Roman"/>
          <w:sz w:val="20"/>
        </w:rPr>
        <w:t xml:space="preserve">). All capitalized terms used herein shall have the meaning set forth in the Base Indenture (as defined below) unless otherwise defined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OF THE COMPANY </w:t>
      </w:r>
    </w:p>
    <w:p>
      <w:pPr>
        <w:pStyle w:val="TextBody"/>
        <w:bidi w:val="0"/>
        <w:spacing w:before="240" w:after="0"/>
        <w:jc w:val="left"/>
        <w:rPr>
          <w:rFonts w:ascii="Times New Roman" w:hAnsi="Times New Roman"/>
          <w:sz w:val="20"/>
        </w:rPr>
      </w:pPr>
      <w:r>
        <w:rPr>
          <w:rFonts w:ascii="Times New Roman" w:hAnsi="Times New Roman"/>
          <w:sz w:val="20"/>
        </w:rPr>
        <w:t>The Company and the Trustee executed and delivered an Indenture, dated as of March 11, 2024 (the </w:t>
      </w:r>
      <w:r>
        <w:rPr>
          <w:rFonts w:ascii="Times New Roman" w:hAnsi="Times New Roman"/>
          <w:sz w:val="20"/>
          <w:u w:val="single"/>
        </w:rPr>
        <w:t>Base</w:t>
      </w:r>
      <w:r>
        <w:rPr>
          <w:rFonts w:ascii="Times New Roman" w:hAnsi="Times New Roman"/>
          <w:sz w:val="20"/>
        </w:rPr>
        <w:t xml:space="preserve"> </w:t>
      </w:r>
      <w:r>
        <w:rPr>
          <w:rFonts w:ascii="Times New Roman" w:hAnsi="Times New Roman"/>
          <w:sz w:val="20"/>
          <w:u w:val="single"/>
        </w:rPr>
        <w:t>Indenture</w:t>
      </w:r>
      <w:r>
        <w:rPr>
          <w:rFonts w:ascii="Times New Roman" w:hAnsi="Times New Roman"/>
          <w:sz w:val="20"/>
        </w:rPr>
        <w:t> and, as supplemented by this First Supplemental Indenture, collectively, the </w:t>
      </w:r>
      <w:r>
        <w:rPr>
          <w:rFonts w:ascii="Times New Roman" w:hAnsi="Times New Roman"/>
          <w:sz w:val="20"/>
          <w:u w:val="single"/>
        </w:rPr>
        <w:t>Indenture</w:t>
      </w:r>
      <w:r>
        <w:rPr>
          <w:rFonts w:ascii="Times New Roman" w:hAnsi="Times New Roman"/>
          <w:sz w:val="20"/>
        </w:rPr>
        <w:t>), to provide for the issuance by the Company from time to time of the Companys unsecured debentures, notes or other evidences of indebtedness (the </w:t>
      </w:r>
      <w:r>
        <w:rPr>
          <w:rFonts w:ascii="Times New Roman" w:hAnsi="Times New Roman"/>
          <w:sz w:val="20"/>
          <w:u w:val="single"/>
        </w:rPr>
        <w:t>Securities</w:t>
      </w:r>
      <w:r>
        <w:rPr>
          <w:rFonts w:ascii="Times New Roman" w:hAnsi="Times New Roman"/>
          <w:sz w:val="20"/>
        </w:rPr>
        <w:t xml:space="preserve">), to be issued in one or more series as provided in the Base Indenture. </w:t>
      </w:r>
    </w:p>
    <w:p>
      <w:pPr>
        <w:pStyle w:val="TextBody"/>
        <w:bidi w:val="0"/>
        <w:spacing w:before="240" w:after="0"/>
        <w:jc w:val="left"/>
        <w:rPr>
          <w:rFonts w:ascii="Times New Roman" w:hAnsi="Times New Roman"/>
          <w:sz w:val="20"/>
        </w:rPr>
      </w:pPr>
      <w:r>
        <w:rPr>
          <w:rFonts w:ascii="Times New Roman" w:hAnsi="Times New Roman"/>
          <w:sz w:val="20"/>
        </w:rPr>
        <w:t>The Company has duly authorized the creation, issue and sale of (a) $600,000,000 aggregate principal amount of the Companys 6.500% Notes due 2029 (the </w:t>
      </w:r>
      <w:r>
        <w:rPr>
          <w:rFonts w:ascii="Times New Roman" w:hAnsi="Times New Roman"/>
          <w:sz w:val="20"/>
          <w:u w:val="single"/>
        </w:rPr>
        <w:t>Initial Notes</w:t>
      </w:r>
      <w:r>
        <w:rPr>
          <w:rFonts w:ascii="Times New Roman" w:hAnsi="Times New Roman"/>
          <w:sz w:val="20"/>
        </w:rPr>
        <w:t xml:space="preserve">) and (b) if and when issued as provided in the Registration Rights Agreement in a Registered Exchange Offer in exchange for any Initial Notes or otherwise registered under the Securities Act and issued in the form of </w:t>
      </w:r>
      <w:r>
        <w:rPr>
          <w:rFonts w:ascii="Times New Roman" w:hAnsi="Times New Roman"/>
          <w:sz w:val="20"/>
          <w:u w:val="single"/>
        </w:rPr>
        <w:t>Exhibit A</w:t>
      </w:r>
      <w:r>
        <w:rPr>
          <w:rFonts w:ascii="Times New Roman" w:hAnsi="Times New Roman"/>
          <w:sz w:val="20"/>
        </w:rPr>
        <w:t>, the Companys 6.500% Notes due 2029 (the </w:t>
      </w:r>
      <w:r>
        <w:rPr>
          <w:rFonts w:ascii="Times New Roman" w:hAnsi="Times New Roman"/>
          <w:sz w:val="20"/>
          <w:u w:val="single"/>
        </w:rPr>
        <w:t>Exchange Notes</w:t>
      </w:r>
      <w:r>
        <w:rPr>
          <w:rFonts w:ascii="Times New Roman" w:hAnsi="Times New Roman"/>
          <w:sz w:val="20"/>
        </w:rPr>
        <w:t> and, together with the Initial Notes and any Additional Notes (as defined below), the </w:t>
      </w:r>
      <w:r>
        <w:rPr>
          <w:rFonts w:ascii="Times New Roman" w:hAnsi="Times New Roman"/>
          <w:sz w:val="20"/>
          <w:u w:val="single"/>
        </w:rPr>
        <w:t>Notes</w:t>
      </w:r>
      <w:r>
        <w:rPr>
          <w:rFonts w:ascii="Times New Roman" w:hAnsi="Times New Roman"/>
          <w:sz w:val="20"/>
        </w:rPr>
        <w:t xml:space="preserve">). The Initial Notes, the Exchange Notes and any Additional Notes shall be treated as a single class for all purposes under this Indenture, including waivers, amendments, redemptions and offers to purchase. The Notes will be distributed initially only to (i) persons reasonably believed to be QIBs in reliance on Rule 144A and (ii) Non-U.S. Persons in reliance on Regulation S, in each case as such terms are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Sections 9.01(v) and 9.01(vii) of the Base Indenture provide that without the consent of Holders of the Securities of any series issued under the Base Indenture (as supplemented or amended from time to time by one or more indentures supplemental thereto), the Company, when authorized by or pursuant to a Board Resolution, and the Trustee, at any time and from time to time, may enter into one or more indentures supplemental to the Base Indenture to (i) change or eliminate any of the provisions of the Base Indenture (as supplemented or amended from time to time by one or more indentures supplemental thereto)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 </w:t>
      </w:r>
    </w:p>
    <w:p>
      <w:pPr>
        <w:pStyle w:val="TextBody"/>
        <w:bidi w:val="0"/>
        <w:spacing w:before="240" w:after="0"/>
        <w:jc w:val="left"/>
        <w:rPr>
          <w:rFonts w:ascii="Times New Roman" w:hAnsi="Times New Roman"/>
          <w:sz w:val="20"/>
        </w:rPr>
      </w:pPr>
      <w:r>
        <w:rPr>
          <w:rFonts w:ascii="Times New Roman" w:hAnsi="Times New Roman"/>
          <w:sz w:val="20"/>
        </w:rPr>
        <w:t>The Company desires to establish the form and terms of the Notes and to modify, alter, supplement and change certain provisions of the Base Indenture for the benefit of the Holders of the Notes (subject to amendment as may be provided in a future supplemental indenture to the Indenture (</w:t>
      </w:r>
      <w:r>
        <w:rPr>
          <w:rFonts w:ascii="Times New Roman" w:hAnsi="Times New Roman"/>
          <w:sz w:val="20"/>
          <w:u w:val="single"/>
        </w:rPr>
        <w:t>Future Supplemental Indenture</w:t>
      </w:r>
      <w:r>
        <w:rPr>
          <w:rFonts w:ascii="Times New Roman" w:hAnsi="Times New Roman"/>
          <w:sz w:val="20"/>
        </w:rPr>
        <w:t xml:space="preserve">)).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has duly authorized the execution and delivery of this First Supplemental Indenture to provide for the issuance of the Notes and all acts and things necessary to make this First Supplemental Indenture a valid, binding, and legal obligation of the Company and to constitute a valid agreement of the Company, in accordance with its terms, have been done and performed.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for and in consideration of the premises and the purchase of the Notes by the Holders thereof, it is mutually agreed, for the equal and proportionate benefit of all Holders of the Notes,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TERMS OF THE NOTES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1.01. </w:t>
      </w:r>
      <w:r>
        <w:rPr>
          <w:rFonts w:ascii="Times New Roman" w:hAnsi="Times New Roman"/>
          <w:sz w:val="20"/>
        </w:rPr>
        <w:t xml:space="preserve">The following terms relating to the Notes are hereby established: </w:t>
      </w:r>
    </w:p>
    <w:p>
      <w:pPr>
        <w:pStyle w:val="TextBody"/>
        <w:bidi w:val="0"/>
        <w:spacing w:before="120" w:after="0"/>
        <w:jc w:val="left"/>
        <w:rPr>
          <w:rFonts w:ascii="Times New Roman" w:hAnsi="Times New Roman"/>
          <w:sz w:val="20"/>
        </w:rPr>
      </w:pPr>
      <w:r>
        <w:rPr>
          <w:rFonts w:ascii="Times New Roman" w:hAnsi="Times New Roman"/>
          <w:sz w:val="20"/>
        </w:rPr>
        <w:t xml:space="preserve">(a) The Notes shall constitute a series of Securities having the title 6.500% Notes due 2029 and shall be designated as Senior Securities under the Indenture. The Notes offered and sold to QIBs in reliance on Rule 144A shall bear a CUSIP number of 829932AA0 and an ISIN number of US829932AA03. The Notes offered and sold in reliance on Regulation S shall bear a CUSIP number of U82912AA1 and an ISIN number of USU82912AA14. </w:t>
      </w:r>
    </w:p>
    <w:p>
      <w:pPr>
        <w:pStyle w:val="TextBody"/>
        <w:bidi w:val="0"/>
        <w:spacing w:before="240" w:after="0"/>
        <w:jc w:val="left"/>
        <w:rPr>
          <w:rFonts w:ascii="Times New Roman" w:hAnsi="Times New Roman"/>
          <w:sz w:val="20"/>
        </w:rPr>
      </w:pPr>
      <w:r>
        <w:rPr>
          <w:rFonts w:ascii="Times New Roman" w:hAnsi="Times New Roman"/>
          <w:sz w:val="20"/>
        </w:rPr>
        <w:t>(b) The aggregate principal amount of the Initial Notes that may be initially authenticated and delivered under the Indenture (except for Initial Notes authenticated and delivered upon registration of, transfer of, or in exchange for, or in lieu of, other Notes pursuant to Sections 3.04, 3.05, 3.06, 9.06, 11.07 or 13.05 of the Base Indenture) shall be $600,000,000. In addition, Exchange Notes may be authenticated and delivered under this Indenture for issue in a Registered Exchange Offer pursuant to the Registration Rights Agreement in a like principal amount of the Initial Notes or Additional Notes exchanged pursuant thereto or otherwise pursuant to an effective registration statement under the Securities Act. Under a Board Resolution, Officers Certificate pursuant to Board Resolutions or an indenture supplement, the Company may from time to time, without the consent of the Holders of Notes, issue additional Notes (in any such case, other than any Exchange Notes, </w:t>
      </w:r>
      <w:r>
        <w:rPr>
          <w:rFonts w:ascii="Times New Roman" w:hAnsi="Times New Roman"/>
          <w:sz w:val="20"/>
          <w:u w:val="single"/>
        </w:rPr>
        <w:t>Additional Notes</w:t>
      </w:r>
      <w:r>
        <w:rPr>
          <w:rFonts w:ascii="Times New Roman" w:hAnsi="Times New Roman"/>
          <w:sz w:val="20"/>
        </w:rPr>
        <w:t xml:space="preserve">) having the same ranking and the same interest rate, maturity, CUSIP number and other terms as the Notes; </w:t>
      </w:r>
      <w:r>
        <w:rPr>
          <w:rFonts w:ascii="Times New Roman" w:hAnsi="Times New Roman"/>
          <w:i/>
          <w:sz w:val="20"/>
        </w:rPr>
        <w:t xml:space="preserve">provided </w:t>
      </w:r>
      <w:r>
        <w:rPr>
          <w:rFonts w:ascii="Times New Roman" w:hAnsi="Times New Roman"/>
          <w:sz w:val="20"/>
        </w:rPr>
        <w:t xml:space="preserve">that, such Additional Notes must either (i) be issued in a qualified reopening for U.S. Federal income tax purposes, with no more than a de minis amount of original issue discount, or otherwise (ii) be part of the same issue as the Notes. Any Additional Notes and the existing Notes will constitute a single series under the Indenture and all references to the relevant Notes herein shall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(c) The entire Outstanding principal amount of the Notes shall be payable on March 11, 2029, unless earlier redeemed or repurchased in accordance with the provisions of this First Supplemental Indenture. </w:t>
      </w:r>
    </w:p>
    <w:p>
      <w:pPr>
        <w:pStyle w:val="TextBody"/>
        <w:bidi w:val="0"/>
        <w:spacing w:before="240" w:after="0"/>
        <w:jc w:val="left"/>
        <w:rPr>
          <w:rFonts w:ascii="Times New Roman" w:hAnsi="Times New Roman"/>
          <w:sz w:val="20"/>
        </w:rPr>
      </w:pPr>
      <w:r>
        <w:rPr>
          <w:rFonts w:ascii="Times New Roman" w:hAnsi="Times New Roman"/>
          <w:sz w:val="20"/>
        </w:rPr>
        <w:t>(d) The rate at which the Notes shall bear interest shall be 6.500% per annum (the </w:t>
      </w:r>
      <w:r>
        <w:rPr>
          <w:rFonts w:ascii="Times New Roman" w:hAnsi="Times New Roman"/>
          <w:sz w:val="20"/>
          <w:u w:val="single"/>
        </w:rPr>
        <w:t>Applicable Interest Rate</w:t>
      </w:r>
      <w:r>
        <w:rPr>
          <w:rFonts w:ascii="Times New Roman" w:hAnsi="Times New Roman"/>
          <w:sz w:val="20"/>
        </w:rPr>
        <w:t xml:space="preserve">). The date from which interest shall accrue on the Notes shall be March 11, 2024, or the most recent Interest Payment Date to which interest has been paid or provided for; the Interest Payment Dates for the Notes shall be March 11 and September 11 of each year, commencing September 11, 2024 (if an Interest Payment Date falls on a day that is not a Business Day, then the applicable interest payment will be made on the next succeeding Business Day with the same force and effect as if made on the scheduled Interest Payment Date and no additional interest will accrue as a result of such delayed payment); the initial interest period will be the period from and including March 11, 2024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the interest so payable, and punctually paid or duly provided for, on any Interest Payment Date, will be paid to the Person in whose name the Note (or one or more Predecessor Securities) is registered at 5:00 p.m. New York City time (the close of business) on the Regular Record Date for such interest, which shall be February 25 and August 27 (whether or not a Business Day), as the case may be, immediately preceding such Interest Payment Date. Payment of principal of (and premium, if any, on) and any such interest on the Notes will be made at the office of the Trustee located at 100 Wall Street, New York, NY 10005 and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case of Notes that are not in global form, at the option of the Company, payment of interest may be made by check mailed to the address of the Person entitled thereto as such address shall appear in the Security Register. Interest on the Notes will be computed on the basis of a 360-day year of twelve 30-day months.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Notes offered on the date hereof will be distributed initially only to (i) persons reasonably believed to be QIBs in reliance on Rule 144A and (ii) Non-U.S. Persons in reliance on Regulation S. Such Notes may thereafter be transferred only in accordance with the provisions of the Indenture. </w:t>
      </w:r>
    </w:p>
    <w:p>
      <w:pPr>
        <w:pStyle w:val="TextBody"/>
        <w:bidi w:val="0"/>
        <w:spacing w:before="240" w:after="0"/>
        <w:jc w:val="left"/>
        <w:rPr>
          <w:rFonts w:ascii="Times New Roman" w:hAnsi="Times New Roman"/>
          <w:sz w:val="20"/>
        </w:rPr>
      </w:pPr>
      <w:r>
        <w:rPr>
          <w:rFonts w:ascii="Times New Roman" w:hAnsi="Times New Roman"/>
          <w:sz w:val="20"/>
        </w:rPr>
        <w:t>(f) The Notes shall be initially issuable in global form (each such Note, a </w:t>
      </w:r>
      <w:r>
        <w:rPr>
          <w:rFonts w:ascii="Times New Roman" w:hAnsi="Times New Roman"/>
          <w:sz w:val="20"/>
          <w:u w:val="single"/>
        </w:rPr>
        <w:t>Global Note</w:t>
      </w:r>
      <w:r>
        <w:rPr>
          <w:rFonts w:ascii="Times New Roman" w:hAnsi="Times New Roman"/>
          <w:sz w:val="20"/>
        </w:rPr>
        <w:t xml:space="preserve">). The Global Notes and the Trustees certificate of authentication thereon shall be substantially in the form of </w:t>
      </w:r>
      <w:r>
        <w:rPr>
          <w:rFonts w:ascii="Times New Roman" w:hAnsi="Times New Roman"/>
          <w:sz w:val="20"/>
          <w:u w:val="single"/>
        </w:rPr>
        <w:t>Exhibit A</w:t>
      </w:r>
      <w:r>
        <w:rPr>
          <w:rFonts w:ascii="Times New Roman" w:hAnsi="Times New Roman"/>
          <w:sz w:val="20"/>
        </w:rPr>
        <w:t xml:space="preserve"> to this First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Notes offered and sold to QIBs in reliance on Rule 144A shall be issued initially in the form of one or more 144A Global Notes, which shall be deposited with, or on behalf of, the Depositary, or will remain in the custody of the Trustee pursuant to an agreement between the Depositary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(ii) The Notes offered and sold in reliance on Regulation S shall be issued initially in the form of one or more Regulation S Global Notes, which shall be deposited with, or on behalf of, a custodian for the Depositary, or will remain in the custody of the Trustee pursuant to an agreement between the Depositary and the Trustee, for credit to the respective accounts of the purchasers (or to such other accounts as they may direct) at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(iii) Unrestricted Global Notes shall be issued in accordance with </w:t>
      </w:r>
      <w:r>
        <w:rPr>
          <w:rFonts w:ascii="Times New Roman" w:hAnsi="Times New Roman"/>
          <w:sz w:val="20"/>
          <w:u w:val="single"/>
        </w:rPr>
        <w:t>Section 1.02(b)(vi)</w:t>
      </w:r>
      <w:r>
        <w:rPr>
          <w:rFonts w:ascii="Times New Roman" w:hAnsi="Times New Roman"/>
          <w:sz w:val="20"/>
        </w:rPr>
        <w:t xml:space="preserve"> hereof and shall be deposited, duly executed by the Company and authenticated by the Trustee as hereinafter provided. </w:t>
      </w:r>
    </w:p>
    <w:p>
      <w:pPr>
        <w:pStyle w:val="TextBody"/>
        <w:bidi w:val="0"/>
        <w:spacing w:before="240" w:after="0"/>
        <w:jc w:val="left"/>
        <w:rPr>
          <w:rFonts w:ascii="Times New Roman" w:hAnsi="Times New Roman"/>
          <w:sz w:val="20"/>
        </w:rPr>
      </w:pPr>
      <w:r>
        <w:rPr>
          <w:rFonts w:ascii="Times New Roman" w:hAnsi="Times New Roman"/>
          <w:sz w:val="20"/>
        </w:rPr>
        <w:t>(g) The depositary for such Global Notes (the </w:t>
      </w:r>
      <w:r>
        <w:rPr>
          <w:rFonts w:ascii="Times New Roman" w:hAnsi="Times New Roman"/>
          <w:sz w:val="20"/>
          <w:u w:val="single"/>
        </w:rPr>
        <w:t>Depositary</w:t>
      </w:r>
      <w:r>
        <w:rPr>
          <w:rFonts w:ascii="Times New Roman" w:hAnsi="Times New Roman"/>
          <w:sz w:val="20"/>
        </w:rPr>
        <w:t xml:space="preserve">) shall be The Depository Trust Company, New York, New York, until a successor shall have been appointed and becomes such person, and thereafter, Depositary shall mean or include such successor. The Security Registrar with respect to the Global Notes shall be the Trustee. </w:t>
      </w:r>
    </w:p>
    <w:p>
      <w:pPr>
        <w:pStyle w:val="TextBody"/>
        <w:bidi w:val="0"/>
        <w:spacing w:before="240" w:after="0"/>
        <w:jc w:val="left"/>
        <w:rPr>
          <w:rFonts w:ascii="Times New Roman" w:hAnsi="Times New Roman"/>
          <w:sz w:val="20"/>
        </w:rPr>
      </w:pPr>
      <w:r>
        <w:rPr>
          <w:rFonts w:ascii="Times New Roman" w:hAnsi="Times New Roman"/>
          <w:sz w:val="20"/>
        </w:rPr>
        <w:t xml:space="preserve">(h) The Notes shall be defeasible pursuant to Section 14.02 or Section 14.03 of the Base Indenture. Covenant defeasance contained in Section 14.03 of the Base Indenture shall apply to the covenants contained in Sections 10.06, 10.07 and 10.08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 The Notes shall be redeemable pursuant to Section 11.01 of the Base Indenture and as follows: </w:t>
      </w:r>
    </w:p>
    <w:p>
      <w:pPr>
        <w:pStyle w:val="TextBody"/>
        <w:bidi w:val="0"/>
        <w:spacing w:before="120" w:after="0"/>
        <w:jc w:val="left"/>
        <w:rPr>
          <w:rFonts w:ascii="Times New Roman" w:hAnsi="Times New Roman"/>
          <w:sz w:val="20"/>
        </w:rPr>
      </w:pPr>
      <w:r>
        <w:rPr>
          <w:rFonts w:ascii="Times New Roman" w:hAnsi="Times New Roman"/>
          <w:sz w:val="20"/>
        </w:rPr>
        <w:t xml:space="preserve">(i) Prior to February 11, 2029 (one month prior to the maturity of the Notes) (the Par Call Date), the Notes will be redeemable, in whole or in part, at any time, or from time to time, at the option of the Company, at a Redemption Price (expressed as a percentage of principal amount and rounded to three decimal places) equal to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40 basis points less (2) interest accrued to the date of redemption,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plus, in either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on or after the Par Call Date, the Company may redeem the Notes, in whole or in part, at any time and from time to time, at a Redemption Price equal to 100% of the principal amount of the Notes to be redeemed plus accrued and unpaid interest thereon to the Redemption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Treasury Rate means, with respect to any Redemption Date of the Notes, the yield determined by the Company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Actions and determinations made by the Company with respect to determining the Redemption Price shall be conclusive and binding for all purposes, absent manifest error. The Trustee will not be responsible or liable for determining, confirming, or verifying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Notes to be redeemed, at the Holders address appearing in the Security Register. All notices of redemption shall contain the information set forth in Section 11.04 of the Base Indenture. If the Redemption Price is not known at the time such notice is to be given, the actual Redemption Price, calculated as described in the terms of the Notes, will be set forth in an Officers Certificate of the Company delivered to the Trustee no later than two Business Days prior to the Redemption Date. Any exercise of the Companys option to redeem the Notes will be done in compliance with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only a portion of the Notes, selection of the Notes for redemption shall be made pro rata, by lot or by such other method as the Trustee deems appropriate and fair with the prior written consent of the Company. No Notes of a principal amount of $2,000 or less will be redeemed in part. If any Note is to be redeemed in part only, the notice of redemption that relates to the Note will state the portion of the principal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amount of the Note to be redeemed. A new note in a principal amount equal to the unredeemed portion of the Note will be issued in the name of the Holder of the Note upon surrender for cancellation of the original Note. For so long as the Notes are held by DTC, Euroclear or Clearstream (or another depositary), the redemption of the Notes shall be done in accordance with the policies and procedures of the depositary. </w:t>
      </w:r>
    </w:p>
    <w:p>
      <w:pPr>
        <w:pStyle w:val="TextBody"/>
        <w:bidi w:val="0"/>
        <w:spacing w:before="240" w:after="0"/>
        <w:jc w:val="left"/>
        <w:rPr>
          <w:rFonts w:ascii="Times New Roman" w:hAnsi="Times New Roman"/>
          <w:sz w:val="20"/>
        </w:rPr>
      </w:pPr>
      <w:r>
        <w:rPr>
          <w:rFonts w:ascii="Times New Roman" w:hAnsi="Times New Roman"/>
          <w:sz w:val="20"/>
        </w:rPr>
        <w:t xml:space="preserve">(j) Unless the Company defaults in payment of the Redemption Price, on and after the Redemption Date, interest will cease to accrue on the Notes called for redemption hereunder. </w:t>
      </w:r>
    </w:p>
    <w:p>
      <w:pPr>
        <w:pStyle w:val="TextBody"/>
        <w:bidi w:val="0"/>
        <w:spacing w:before="240" w:after="0"/>
        <w:jc w:val="left"/>
        <w:rPr>
          <w:rFonts w:ascii="Times New Roman" w:hAnsi="Times New Roman"/>
          <w:sz w:val="20"/>
        </w:rPr>
      </w:pPr>
      <w:r>
        <w:rPr>
          <w:rFonts w:ascii="Times New Roman" w:hAnsi="Times New Roman"/>
          <w:sz w:val="20"/>
        </w:rPr>
        <w:t xml:space="preserve">(k) The Notes shall not be subject to any sinking fund pursuant to Section 12.01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(l) The Notes shall be issuable in denominations of $2,000 and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(m) Holders of the Notes will not have the option to have the Notes repaid prior to the Stated Maturity other than in accordance with Article Thirteen of the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1.02. Transfer and Exchange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Transfer and Exchange of Global Notes. </w:t>
      </w:r>
      <w:r>
        <w:rPr>
          <w:rFonts w:ascii="Times New Roman" w:hAnsi="Times New Roman"/>
          <w:sz w:val="20"/>
        </w:rPr>
        <w:t xml:space="preserve">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will be exchanged by the Company for Definitive Notes only if (i) the Company delivers to the Trustee notice from the Depositary that it is unwilling or unable to continue to act as Depositary or that it ceases to be a clearing agency registered under the Exchange Act and, in either case, a successor Depositary is not appointed by the Company within 90 days after the date of such notice from the Depositary or of such cessation, (ii) the Company in its sole discretion determines that the Global Notes (in whole but not in part) should be exchanged for Definitive Notes and delivers a written notice to such effect to the Trustee or (iii) an Event of Default has occurred or is continuing. Global Notes also may be exchanged or replaced, in whole or in part, as provided in Sections 3.04 and 3.06 of the Base Indenture. Every Note authenticated and delivered in exchange for, or in lieu of, a Global Note or any portion thereof, pursuant to this </w:t>
      </w:r>
      <w:r>
        <w:rPr>
          <w:rFonts w:ascii="Times New Roman" w:hAnsi="Times New Roman"/>
          <w:sz w:val="20"/>
          <w:u w:val="single"/>
        </w:rPr>
        <w:t>Section 1.02</w:t>
      </w:r>
      <w:r>
        <w:rPr>
          <w:rFonts w:ascii="Times New Roman" w:hAnsi="Times New Roman"/>
          <w:sz w:val="20"/>
        </w:rPr>
        <w:t xml:space="preserve"> or Sections 3.04 and 3.05 of the Base Indenture, shall be authenticated and delivered in the form of, and shall be, a Global Note. A Global Note may not be exchanged for another Note other than as provided in this </w:t>
      </w:r>
      <w:r>
        <w:rPr>
          <w:rFonts w:ascii="Times New Roman" w:hAnsi="Times New Roman"/>
          <w:sz w:val="20"/>
          <w:u w:val="single"/>
        </w:rPr>
        <w:t>Section 1.02(a)</w:t>
      </w:r>
      <w:r>
        <w:rPr>
          <w:rFonts w:ascii="Times New Roman" w:hAnsi="Times New Roman"/>
          <w:sz w:val="20"/>
        </w:rPr>
        <w:t xml:space="preserve">; however, beneficial interests in a Global Note may be transferred and exchanged as provided in </w:t>
      </w:r>
      <w:r>
        <w:rPr>
          <w:rFonts w:ascii="Times New Roman" w:hAnsi="Times New Roman"/>
          <w:sz w:val="20"/>
          <w:u w:val="single"/>
        </w:rPr>
        <w:t>Section 1.02(b)</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Transfer and Exchange of Beneficial Interests in the Global Notes. </w:t>
      </w:r>
      <w:r>
        <w:rPr>
          <w:rFonts w:ascii="Times New Roman" w:hAnsi="Times New Roman"/>
          <w:sz w:val="20"/>
        </w:rPr>
        <w:t xml:space="preserve">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subsections (i) through (vi) below, as applicable, as well as one or more of the other following subsections, as applicable: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Transfer of Beneficial Interests in the Same Global Note</w:t>
      </w:r>
      <w:r>
        <w:rPr>
          <w:rFonts w:ascii="Times New Roman" w:hAnsi="Times New Roman"/>
          <w:sz w:val="20"/>
        </w:rPr>
        <w:t xml:space="preserve">. Beneficial interests in any Restricted Global Note may be transferred to Persons who take delivery thereof in the form of a beneficial interest in the same Restricted Global Note in accordance with the transfer restrictions set forth in the Restricted Notes Legend. Beneficial interests in any Unrestricted Global Note may be transferred to Persons who take delivery thereof in the form of a beneficial interest in an Unrestricted Global Note. No written orders or instructions shall be required to be delivered to the Security Registrar to effect the transfers described in this </w:t>
      </w:r>
      <w:r>
        <w:rPr>
          <w:rFonts w:ascii="Times New Roman" w:hAnsi="Times New Roman"/>
          <w:sz w:val="20"/>
          <w:u w:val="single"/>
        </w:rPr>
        <w:t>Section 1.02(b)(i)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All Other Transfers and Exchanges of Beneficial Interests in Global Notes</w:t>
      </w:r>
      <w:r>
        <w:rPr>
          <w:rFonts w:ascii="Times New Roman" w:hAnsi="Times New Roman"/>
          <w:sz w:val="20"/>
        </w:rPr>
        <w:t xml:space="preserve">. In connection with all transfers and exchanges of beneficial interests that are not subject to </w:t>
      </w:r>
      <w:r>
        <w:rPr>
          <w:rFonts w:ascii="Times New Roman" w:hAnsi="Times New Roman"/>
          <w:sz w:val="20"/>
          <w:u w:val="single"/>
        </w:rPr>
        <w:t>Section 1.02(b)(i)</w:t>
      </w:r>
      <w:r>
        <w:rPr>
          <w:rFonts w:ascii="Times New Roman" w:hAnsi="Times New Roman"/>
          <w:sz w:val="20"/>
        </w:rPr>
        <w:t xml:space="preserve"> above, the transferor of such beneficial interest must deliver to the Security Registrar (A)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(B) instructions given in accordance with the Applicable Procedures containing information regarding the Participant account to be credited with such increase. Upon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w:t>
      </w:r>
      <w:r>
        <w:rPr>
          <w:rFonts w:ascii="Times New Roman" w:hAnsi="Times New Roman"/>
          <w:sz w:val="20"/>
          <w:u w:val="single"/>
        </w:rPr>
        <w:t>Section 1.02</w:t>
      </w:r>
      <w:r>
        <w:rPr>
          <w:rFonts w:ascii="Times New Roman" w:hAnsi="Times New Roman"/>
          <w:sz w:val="20"/>
        </w:rPr>
        <w:t xml:space="preserve"> hereof. Transfers by an owner of a beneficial interest in the 144A Global Note to a transferee who takes delivery of such interest through the Regulation S Global Note, whether before or after the expiration of the Restricted Period, shall be made only upon receipt by the Trustee of a certification from the transferor to the effect that such transfer is being made in accordance with Regulation S or, after the expiration of the Restricted Period, if available, Rule 144 under the Securities Act and that, if such transfer is being made prior to the expiration of the Restricted Period, the interest transferred shall be held immediately thereafter through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(iii) Restrictions on Transfer of Regulation S Global Note.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1"/>
        <w:gridCol w:w="8369"/>
      </w:tblGrid>
      <w:tr>
        <w:trPr/>
        <w:tc>
          <w:tcPr>
            <w:tcW w:w="1325"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Prior to the expiration of the Restricted Period, interests in the Regulation S Global Note may only be held through Euroclear or Clearstream. Prior to expiration of the Restricted Period, transfers by an owner of a beneficial interest in the Regulation S Global Note to a transferee who takes delivery of such interest through the 144A Global Note shall be made only in accordance with Applicable Procedures and upon receipt by the Trustee of a written certification from the transferor of the beneficial interest in the form provided by </w:t>
            </w:r>
            <w:r>
              <w:rPr>
                <w:rFonts w:ascii="Times New Roman" w:hAnsi="Times New Roman"/>
                <w:sz w:val="20"/>
                <w:u w:val="single"/>
              </w:rPr>
              <w:t>Exhibit B</w:t>
            </w:r>
            <w:r>
              <w:rPr>
                <w:rFonts w:ascii="Times New Roman" w:hAnsi="Times New Roman"/>
                <w:sz w:val="20"/>
              </w:rPr>
              <w:t xml:space="preserve"> or as otherwise provided by the Company in accordance with law to the effect that such transfer is being made to a person whom the transferor reasonably believes is a QIB within the meaning of Rule 144A in a transaction meeting requirements of Rule 144A. Such certification shall not be required after the expiration of the Restricted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expiration of the Restricted Period, beneficial ownership interests in the Regulation S Note shall be transferable in accordance with law and the other terms of this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i/>
          <w:sz w:val="20"/>
        </w:rPr>
        <w:t>Other Transfer of Beneficial Interests to Another Restricted Global Note</w:t>
      </w:r>
      <w:r>
        <w:rPr>
          <w:rFonts w:ascii="Times New Roman" w:hAnsi="Times New Roman"/>
          <w:sz w:val="20"/>
        </w:rPr>
        <w:t xml:space="preserve">. A beneficial interest in any Restricted Global Note may be transferred to a Person who takes delivery thereof in the form of a beneficial interest in another Restricted Global Note if the transfer complies with the requirements of Section 1.02(b)(ii) above and delivers a certificate in the form of </w:t>
      </w:r>
      <w:r>
        <w:rPr>
          <w:rFonts w:ascii="Times New Roman" w:hAnsi="Times New Roman"/>
          <w:sz w:val="20"/>
          <w:u w:val="single"/>
        </w:rPr>
        <w:t>Exhibit B</w:t>
      </w:r>
      <w:r>
        <w:rPr>
          <w:rFonts w:ascii="Times New Roman" w:hAnsi="Times New Roman"/>
          <w:sz w:val="20"/>
        </w:rPr>
        <w:t xml:space="preserve"> hereto.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Transfer and Exchange of Beneficial Interests in Global Notes to Definitive Notes. </w:t>
      </w:r>
      <w:r>
        <w:rPr>
          <w:rFonts w:ascii="Times New Roman" w:hAnsi="Times New Roman"/>
          <w:sz w:val="20"/>
        </w:rPr>
        <w:t xml:space="preserve">In the event that a Global Note is exchanged for Definitive Notes in accordance with the terms of this Indenture (including </w:t>
      </w:r>
      <w:r>
        <w:rPr>
          <w:rFonts w:ascii="Times New Roman" w:hAnsi="Times New Roman"/>
          <w:sz w:val="20"/>
          <w:u w:val="single"/>
        </w:rPr>
        <w:t>Section 1.02(a)</w:t>
      </w:r>
      <w:r>
        <w:rPr>
          <w:rFonts w:ascii="Times New Roman" w:hAnsi="Times New Roman"/>
          <w:sz w:val="20"/>
        </w:rPr>
        <w:t xml:space="preserve">), such Notes may be exchanged only in accordance with such procedures as are substantially consistent with the provisions of this </w:t>
      </w:r>
      <w:r>
        <w:rPr>
          <w:rFonts w:ascii="Times New Roman" w:hAnsi="Times New Roman"/>
          <w:sz w:val="20"/>
          <w:u w:val="single"/>
        </w:rPr>
        <w:t>Section 1.02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w:t>
      </w:r>
      <w:r>
        <w:rPr>
          <w:rFonts w:ascii="Times New Roman" w:hAnsi="Times New Roman"/>
          <w:sz w:val="20"/>
          <w:u w:val="single"/>
        </w:rPr>
        <w:t>(d)</w:t>
      </w:r>
      <w:r>
        <w:rPr>
          <w:rFonts w:ascii="Times New Roman" w:hAnsi="Times New Roman"/>
          <w:sz w:val="20"/>
        </w:rPr>
        <w:t xml:space="preserve"> and </w:t>
      </w:r>
      <w:r>
        <w:rPr>
          <w:rFonts w:ascii="Times New Roman" w:hAnsi="Times New Roman"/>
          <w:sz w:val="20"/>
          <w:u w:val="single"/>
        </w:rPr>
        <w:t>(e)</w:t>
      </w:r>
      <w:r>
        <w:rPr>
          <w:rFonts w:ascii="Times New Roman" w:hAnsi="Times New Roman"/>
          <w:sz w:val="20"/>
        </w:rPr>
        <w:t xml:space="preserve"> (including the certification requirements set forth therein intended to ensure that such transfers comply with Rule 144A, Regulation S or such other applicable exemption from registration under the Securities Act, as the case may be) and such other procedures as may from time to time be adopted by the Company reasonably necessary to comply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(vi) Transfer and Exchange of Beneficial Interests in a Restricted Global Note for Beneficial Interests in the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w:t>
      </w:r>
      <w:r>
        <w:rPr>
          <w:rFonts w:ascii="Times New Roman" w:hAnsi="Times New Roman"/>
          <w:sz w:val="20"/>
          <w:u w:val="single"/>
        </w:rPr>
        <w:t>Section 1.02(b)(ii)</w:t>
      </w:r>
      <w:r>
        <w:rPr>
          <w:rFonts w:ascii="Times New Roman" w:hAnsi="Times New Roman"/>
          <w:sz w:val="20"/>
        </w:rPr>
        <w:t xml:space="preserve"> above and: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1(a)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(D),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If any such transfer is effected pursuant to subparagraph (B) or (D) above at a time when an Unrestricted Global Note has not yet been issued, the Company shall issue and, upon receipt of a Company Order in accordance with Section 3.03 of the Base Indenture, the Trustee shall authenticate one or more Unrestricted Global Notes in an aggregate principal amount equal to the aggregate principal amount of beneficial interests transferred pursuant to subparagraph (B) or (D) above.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Transfer or Exchange of Beneficial Interests for Definitive Notes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Beneficial Interests in Restricted Global Notes to Restricted Definitive Notes</w:t>
      </w:r>
      <w:r>
        <w:rPr>
          <w:rFonts w:ascii="Times New Roman" w:hAnsi="Times New Roman"/>
          <w:sz w:val="20"/>
        </w:rPr>
        <w:t>. If any holder of a beneficial interest in a Restricted Global Note proposes to exchange such beneficial interest for a Restricted Definitive Note or to transfer such beneficial interest to a Person who takes delivery thereof in the form of a Restricted Definitive Note, in each case in accordance with the terms of this Indenture (including</w:t>
      </w:r>
      <w:r>
        <w:rPr>
          <w:rFonts w:ascii="Times New Roman" w:hAnsi="Times New Roman"/>
          <w:sz w:val="20"/>
          <w:u w:val="single"/>
        </w:rPr>
        <w:t xml:space="preserve"> Section 1.02(a)</w:t>
      </w:r>
      <w:r>
        <w:rPr>
          <w:rFonts w:ascii="Times New Roman" w:hAnsi="Times New Roman"/>
          <w:sz w:val="20"/>
        </w:rPr>
        <w:t xml:space="preserve">), then, upon receipt by the Security Registrar of the following documentation: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exchange such beneficial interest for a Restricted Definitive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2(a)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to a QIB in accordance with Rule 144A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to a Non-U.S. Person in an offshore transaction and in accordance with Rule 903 or Rule 904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2 thereof;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to the Company or any of its Subsidiaries,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pursuant to an exemption from the registration requirements of the Securities Act in accordance with Rule 144,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3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pursuant to an effective registration statement under the Securities Act, a certificate substantially in the form of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shall cause the aggregate principal amount of the applicable Global Note to be reduced accordingly pursuant to </w:t>
      </w:r>
      <w:r>
        <w:rPr>
          <w:rFonts w:ascii="Times New Roman" w:hAnsi="Times New Roman"/>
          <w:sz w:val="20"/>
          <w:u w:val="single"/>
        </w:rPr>
        <w:t>Section 1.02(g)</w:t>
      </w:r>
      <w:r>
        <w:rPr>
          <w:rFonts w:ascii="Times New Roman" w:hAnsi="Times New Roman"/>
          <w:sz w:val="20"/>
        </w:rPr>
        <w:t xml:space="preserve"> hereof, and the Company shall execute and the Trustee shall authenticate and deliver to the Person designated in the instructions a Restricted Definitive Note in the appropriate principal amount. Any Restricted Definitive Note issued in exchange for a beneficial interest in a Restricted Global Note pursuant to this </w:t>
      </w:r>
      <w:r>
        <w:rPr>
          <w:rFonts w:ascii="Times New Roman" w:hAnsi="Times New Roman"/>
          <w:sz w:val="20"/>
          <w:u w:val="single"/>
        </w:rPr>
        <w:t>Section 1.02(c)</w:t>
      </w:r>
      <w:r>
        <w:rPr>
          <w:rFonts w:ascii="Times New Roman" w:hAnsi="Times New Roman"/>
          <w:sz w:val="20"/>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Restricted Definitive Notes to the Persons in whose names such Notes are so registered. Any Restricted Definitive Note issued in exchange for a beneficial interest in a Restricted Global Note pursuant to this </w:t>
      </w:r>
      <w:r>
        <w:rPr>
          <w:rFonts w:ascii="Times New Roman" w:hAnsi="Times New Roman"/>
          <w:sz w:val="20"/>
          <w:u w:val="single"/>
        </w:rPr>
        <w:t>Section 1.02(c)(i)</w:t>
      </w:r>
      <w:r>
        <w:rPr>
          <w:rFonts w:ascii="Times New Roman" w:hAnsi="Times New Roman"/>
          <w:sz w:val="20"/>
        </w:rPr>
        <w:t xml:space="preserve"> shall bear the Restricted Notes Legend and shall be subject to all restrictions on transfer contained therein.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Beneficial Interests in Restricted Global Notes to Unrestricted Definitive Notes</w:t>
      </w:r>
      <w:r>
        <w:rPr>
          <w:rFonts w:ascii="Times New Roman" w:hAnsi="Times New Roman"/>
          <w:sz w:val="20"/>
        </w:rPr>
        <w:t xml:space="preserve">. A holder of a beneficial interest in a Restricted Global Note may exchange such beneficial interest for an Unrestricted Definitive Note or may transfer such beneficial interest to a Person who takes delivery thereof in the form of an Unrestricted Definitive Note in accordance with the terms of this Indenture (including </w:t>
      </w:r>
      <w:r>
        <w:rPr>
          <w:rFonts w:ascii="Times New Roman" w:hAnsi="Times New Roman"/>
          <w:sz w:val="20"/>
          <w:u w:val="single"/>
        </w:rPr>
        <w:t>Section 1.02(a)</w:t>
      </w:r>
      <w:r>
        <w:rPr>
          <w:rFonts w:ascii="Times New Roman" w:hAnsi="Times New Roman"/>
          <w:sz w:val="20"/>
        </w:rPr>
        <w:t xml:space="preserv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beneficial interest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4(a)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 pursuant to an exchange offer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exchange such beneficial interest for a Definitive Note that does not bear the Restricted Notes Legend,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1(b) thereof; or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beneficial interest in a Restricted Global Note proposes to transfer such beneficial interest to a Person who shall take delivery thereof in the form of a Definitive Note that does not bear the Restricted Notes Legend,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Beneficial Interests in Unrestricted Global Notes to Unrestricted Definitive Notes</w:t>
      </w:r>
      <w:r>
        <w:rPr>
          <w:rFonts w:ascii="Times New Roman" w:hAnsi="Times New Roman"/>
          <w:sz w:val="20"/>
        </w:rPr>
        <w:t xml:space="preserve">. If any holder of a beneficial interest in an Unrestricted Global Note proposes to exchange such beneficial interest for an Unrestricted Definitive Note or to transfer such beneficial interest to a Person who takes delivery thereof in the form of an Unrestricted Definitive Note in accordance with the terms of this Indenture (including </w:t>
      </w:r>
      <w:r>
        <w:rPr>
          <w:rFonts w:ascii="Times New Roman" w:hAnsi="Times New Roman"/>
          <w:sz w:val="20"/>
          <w:u w:val="single"/>
        </w:rPr>
        <w:t>Section 1.02(a)</w:t>
      </w:r>
      <w:r>
        <w:rPr>
          <w:rFonts w:ascii="Times New Roman" w:hAnsi="Times New Roman"/>
          <w:sz w:val="20"/>
        </w:rPr>
        <w:t xml:space="preserve">), then, upon satisfaction of the conditions set forth in </w:t>
      </w:r>
      <w:r>
        <w:rPr>
          <w:rFonts w:ascii="Times New Roman" w:hAnsi="Times New Roman"/>
          <w:sz w:val="20"/>
          <w:u w:val="single"/>
        </w:rPr>
        <w:t>Section 1.02(b)(ii)</w:t>
      </w:r>
      <w:r>
        <w:rPr>
          <w:rFonts w:ascii="Times New Roman" w:hAnsi="Times New Roman"/>
          <w:sz w:val="20"/>
        </w:rPr>
        <w:t xml:space="preserve"> hereof, the Trustee shall cause the aggregate principal amount of the applicable Global Note to be reduced accordingly pursuant to </w:t>
      </w:r>
      <w:r>
        <w:rPr>
          <w:rFonts w:ascii="Times New Roman" w:hAnsi="Times New Roman"/>
          <w:sz w:val="20"/>
          <w:u w:val="single"/>
        </w:rPr>
        <w:t>Section 1.02(g)</w:t>
      </w:r>
      <w:r>
        <w:rPr>
          <w:rFonts w:ascii="Times New Roman" w:hAnsi="Times New Roman"/>
          <w:sz w:val="20"/>
        </w:rPr>
        <w:t xml:space="preserve"> hereof, and the Company shall execute and the Trustee shall authenticate and deliver to the Person designated in the instructions an Unrestricted Definitive Note in the appropriate principal amount. Any Unrestricted Definitive Note issued in exchange for a beneficial interest pursuant to this </w:t>
      </w:r>
      <w:r>
        <w:rPr>
          <w:rFonts w:ascii="Times New Roman" w:hAnsi="Times New Roman"/>
          <w:sz w:val="20"/>
          <w:u w:val="single"/>
        </w:rPr>
        <w:t>Section 1.02(c)(iii)</w:t>
      </w:r>
      <w:r>
        <w:rPr>
          <w:rFonts w:ascii="Times New Roman" w:hAnsi="Times New Roman"/>
          <w:sz w:val="20"/>
        </w:rPr>
        <w:t xml:space="preserve">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Unrestricted Definitive Notes to the Persons in whose names such Notes are so registered. Any Unrestricted Definitive Note issued in exchange for a beneficial interest pursuant to this </w:t>
      </w:r>
      <w:r>
        <w:rPr>
          <w:rFonts w:ascii="Times New Roman" w:hAnsi="Times New Roman"/>
          <w:sz w:val="20"/>
          <w:u w:val="single"/>
        </w:rPr>
        <w:t>Section 1.02(c)(iii)</w:t>
      </w:r>
      <w:r>
        <w:rPr>
          <w:rFonts w:ascii="Times New Roman" w:hAnsi="Times New Roman"/>
          <w:sz w:val="20"/>
        </w:rPr>
        <w:t xml:space="preserve"> shall not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Transfer and Exchange of Definitive Notes for Beneficial Interests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Restricted Definitive Notes to Beneficial Interests in Restricted Global Notes</w:t>
      </w:r>
      <w:r>
        <w:rPr>
          <w:rFonts w:ascii="Times New Roman" w:hAnsi="Times New Roman"/>
          <w:sz w:val="20"/>
        </w:rPr>
        <w:t xml:space="preserve">. If any Holder of a Restricted Definitive Note proposes to exchange such Note for a beneficial interest in a Restricted Global Note or to transfer such Restricted Definitive Notes to a Person who takes delivery thereof in the form of a beneficial interest in a Restricted Global Note, then, upon receipt by the Security Registrar of the following documentation: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Restricted Definitive Note proposes to exchange such Note for a beneficial interest in a Restricted Global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2(b)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to a QIB in accordance with Rule 144A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to a Non-U.S. Person in an offshore transaction and in accordance with Rule 903 or Rule 904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2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exemption from the registration requirements of the Securities Act in accordance with Rule 144, a certificate substantially in the form of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(E)</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to the Company or any of its Subsidiaries,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effective registration statement under the Securities Act, a certificate substantially in the form of </w:t>
            </w:r>
            <w:r>
              <w:rPr>
                <w:rFonts w:ascii="Times New Roman" w:hAnsi="Times New Roman"/>
                <w:sz w:val="20"/>
                <w:u w:val="single"/>
              </w:rPr>
              <w:t>Exhibit B</w:t>
            </w:r>
            <w:r>
              <w:rPr>
                <w:rFonts w:ascii="Times New Roman" w:hAnsi="Times New Roman"/>
                <w:sz w:val="20"/>
              </w:rPr>
              <w:t xml:space="preserve"> hereto, including the certifications in item 3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Trustee shall cancel the Restricted Definitive Note and increase or cause to be increased the aggregate principal amount of the Restricted Global Note.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Restricted Definitive Notes to Beneficial Interests in Unrestricted Global Notes</w:t>
      </w:r>
      <w:r>
        <w:rPr>
          <w:rFonts w:ascii="Times New Roman" w:hAnsi="Times New Roman"/>
          <w:sz w:val="20"/>
        </w:rPr>
        <w:t xml:space="preserve">. A Holder of a Restricted Definitive Note may exchange such Note for a beneficial interest in an Unrestricted Global Note or transfer such Restricted Definitive Note to a Person who takes delivery thereof in the form of a beneficial interest in an Unrestricted Global Note only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4(a)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Definitive Notes proposes to exchange such Notes for a beneficial interest in the Unrestricted Global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1(c)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Definitive Notes proposes to transfer such Notes to a Person who shall take delivery thereof in the form of a beneficial interest in the Unrestricted Global Note,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in each such case set forth in this subparagraph (E), if the Company or the Security Registrar so requests or if the Applicable Procedures so require, an Opinion of Counsel in form reasonably acceptable to the Security Registrar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Upon satisfaction of the conditions of any of the subparagraphs in this </w:t>
      </w:r>
      <w:r>
        <w:rPr>
          <w:rFonts w:ascii="Times New Roman" w:hAnsi="Times New Roman"/>
          <w:sz w:val="20"/>
          <w:u w:val="single"/>
        </w:rPr>
        <w:t>Section 1.02(d)(ii)</w:t>
      </w:r>
      <w:r>
        <w:rPr>
          <w:rFonts w:ascii="Times New Roman" w:hAnsi="Times New Roman"/>
          <w:sz w:val="20"/>
        </w:rPr>
        <w:t xml:space="preserve">, the Trustee shall cancel the Definitive Notes and increase or cause to be increased the aggregate principal amount of the Unrestricted Global Note.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 xml:space="preserve">Unrestricted Definitive Notes to Beneficial Interests in Unrestricted Global Notes. </w:t>
      </w:r>
      <w:r>
        <w:rPr>
          <w:rFonts w:ascii="Times New Roman" w:hAnsi="Times New Roman"/>
          <w:sz w:val="20"/>
        </w:rPr>
        <w:t xml:space="preserve">A Holder of an Unrestricted 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 </w:t>
      </w:r>
    </w:p>
    <w:p>
      <w:pPr>
        <w:pStyle w:val="TextBody"/>
        <w:bidi w:val="0"/>
        <w:spacing w:before="240" w:after="0"/>
        <w:jc w:val="left"/>
        <w:rPr>
          <w:rFonts w:ascii="Times New Roman" w:hAnsi="Times New Roman"/>
          <w:sz w:val="20"/>
        </w:rPr>
      </w:pPr>
      <w:r>
        <w:rPr>
          <w:rFonts w:ascii="Times New Roman" w:hAnsi="Times New Roman"/>
          <w:sz w:val="20"/>
        </w:rPr>
        <w:t xml:space="preserve">If any such exchange or transfer from an Unrestricted Definitive Note to a beneficial interest is effected pursuant to subparagraphs (ii)(B), (ii)(D) or (iii) above at a time when an Unrestricted Global Note has not yet been issued, the Company shall issue and, upon receipt of an Company Order in accordance with Section 3.03 of the Base Indenture, the Trustee shall authenticate one or more Unrestricted Global Notes in an aggregate principal amount equal to the principal amount of Definitive Notes so transferred.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 and Exchange of Definitive Notes for Definitive Notes</w:t>
      </w:r>
      <w:r>
        <w:rPr>
          <w:rFonts w:ascii="Times New Roman" w:hAnsi="Times New Roman"/>
          <w:sz w:val="20"/>
        </w:rPr>
        <w:t xml:space="preserve">. Upon request by a Holder of Definitive Notes and such Holders compliance with the provisions of this </w:t>
      </w:r>
      <w:r>
        <w:rPr>
          <w:rFonts w:ascii="Times New Roman" w:hAnsi="Times New Roman"/>
          <w:sz w:val="20"/>
          <w:u w:val="single"/>
        </w:rPr>
        <w:t>Section 1.02(e)</w:t>
      </w:r>
      <w:r>
        <w:rPr>
          <w:rFonts w:ascii="Times New Roman" w:hAnsi="Times New Roman"/>
          <w:sz w:val="20"/>
        </w:rPr>
        <w:t xml:space="preserve">, the Security Registrar shall register the transfer or exchange of Definitive Notes. Prior to such registration of transfer or exchange, the requesting Holder shall present or surrender to the Security Registrar the Definitive Notes duly endorsed or accompanied by a written instruction of transfer in form satisfactory to the Security Registrar duly executed by such Holder or by its attorney, duly authorized in writing. In addition, the requesting Holder shall provide any additional certifications, documents and information, as applicable, required pursuant to the following provisions of this </w:t>
      </w:r>
      <w:r>
        <w:rPr>
          <w:rFonts w:ascii="Times New Roman" w:hAnsi="Times New Roman"/>
          <w:sz w:val="20"/>
          <w:u w:val="single"/>
        </w:rPr>
        <w:t>Section 1.02(e)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Restricted Definitive Notes to Restricted Definitive Notes</w:t>
      </w:r>
      <w:r>
        <w:rPr>
          <w:rFonts w:ascii="Times New Roman" w:hAnsi="Times New Roman"/>
          <w:sz w:val="20"/>
        </w:rPr>
        <w:t xml:space="preserve">. Any Restricted Definitive Note may be transferred to and registered in the name of Persons who take delivery thereof in the form of a Restricted Definitive Note if the Security Registrar receives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transfer will be made pursuant to Rule 144A under the Securities Act, then the transferor must deliver a certificate in the form of </w:t>
            </w:r>
            <w:r>
              <w:rPr>
                <w:rFonts w:ascii="Times New Roman" w:hAnsi="Times New Roman"/>
                <w:sz w:val="20"/>
                <w:u w:val="single"/>
              </w:rPr>
              <w:t>Exhibit B</w:t>
            </w:r>
            <w:r>
              <w:rPr>
                <w:rFonts w:ascii="Times New Roman" w:hAnsi="Times New Roman"/>
                <w:sz w:val="20"/>
              </w:rPr>
              <w:t xml:space="preserve"> hereto, including the certifications in item 1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transfer will be made pursuant to Rule 903 or Rule 904, then the transferor must deliver a certificate in the form of </w:t>
            </w:r>
            <w:r>
              <w:rPr>
                <w:rFonts w:ascii="Times New Roman" w:hAnsi="Times New Roman"/>
                <w:sz w:val="20"/>
                <w:u w:val="single"/>
              </w:rPr>
              <w:t>Exhibit B</w:t>
            </w:r>
            <w:r>
              <w:rPr>
                <w:rFonts w:ascii="Times New Roman" w:hAnsi="Times New Roman"/>
                <w:sz w:val="20"/>
              </w:rPr>
              <w:t xml:space="preserve"> hereto, including the certifications in item 2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transfer will be made pursuant to any other exemption from the registration requirements of the Securities Act, then the transferor must deliver a certificate in the form of </w:t>
            </w:r>
            <w:r>
              <w:rPr>
                <w:rFonts w:ascii="Times New Roman" w:hAnsi="Times New Roman"/>
                <w:sz w:val="20"/>
                <w:u w:val="single"/>
              </w:rPr>
              <w:t>Exhibit B</w:t>
            </w:r>
            <w:r>
              <w:rPr>
                <w:rFonts w:ascii="Times New Roman" w:hAnsi="Times New Roman"/>
                <w:sz w:val="20"/>
              </w:rPr>
              <w:t xml:space="preserve"> hereto, including the certifications, certificates and Opinion of Counsel required by item 3 thereof, if applicable.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Restricted Definitive Notes to Unrestricted Definitive Notes</w:t>
      </w:r>
      <w:r>
        <w:rPr>
          <w:rFonts w:ascii="Times New Roman" w:hAnsi="Times New Roman"/>
          <w:sz w:val="20"/>
        </w:rPr>
        <w:t xml:space="preserve">. Any Restricted Definitive Note may be exchanged by the Holder thereof for an Unrestricted Definitive Note or transferred to a Person or Persons who take delivery thereof in the form of an Unrestricted Definitive Note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exchange or transfer is effected pursuant to a Registered Exchange Offer and the holder of the beneficial interest to be transferred, in the case of an exchange, or the transferee, in the case of a transfer, makes any and all certifications required in the applicable letter of transmittal (or is deemed to have made such certifications if delivery is made through the Applicable Procedures) as may be required by such Registration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Notes are sold or exchanged pursuant to an effective registration statement under the Securities Act;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transfer is effected by a broker-dealer pursuant to an exchange offer registration statement;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Restricted Definitive Note is being transferred pursuant to an exemption from the registration requirements of the Securities Act in accordance with Rule 144 under the Securities Act, a certificate to the effect set forth in </w:t>
            </w:r>
            <w:r>
              <w:rPr>
                <w:rFonts w:ascii="Times New Roman" w:hAnsi="Times New Roman"/>
                <w:sz w:val="20"/>
                <w:u w:val="single"/>
              </w:rPr>
              <w:t>Exhibit B</w:t>
            </w:r>
            <w:r>
              <w:rPr>
                <w:rFonts w:ascii="Times New Roman" w:hAnsi="Times New Roman"/>
                <w:sz w:val="20"/>
              </w:rPr>
              <w:t xml:space="preserve"> hereto, including the certifications in item 4(a)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Security Registrar receives the following: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(1)</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Restricted Definitive Notes proposes to exchange such Notes for an Unrestricted Definitive Note, a certificate from such Holder in the form of </w:t>
            </w:r>
            <w:r>
              <w:rPr>
                <w:rFonts w:ascii="Times New Roman" w:hAnsi="Times New Roman"/>
                <w:sz w:val="20"/>
                <w:u w:val="single"/>
              </w:rPr>
              <w:t>Exhibit C</w:t>
            </w:r>
            <w:r>
              <w:rPr>
                <w:rFonts w:ascii="Times New Roman" w:hAnsi="Times New Roman"/>
                <w:sz w:val="20"/>
              </w:rPr>
              <w:t xml:space="preserve"> hereto, including the certifications in item 1(d) thereof;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836"/>
        <w:gridCol w:w="407"/>
        <w:gridCol w:w="7962"/>
      </w:tblGrid>
      <w:tr>
        <w:trPr/>
        <w:tc>
          <w:tcPr>
            <w:tcW w:w="1836"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(2)</w:t>
            </w:r>
          </w:p>
        </w:tc>
        <w:tc>
          <w:tcPr>
            <w:tcW w:w="796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Holder of such Restricted Definitive Notes proposes to transfer such Notes to a Person who shall take delivery thereof in the form of an Unrestricted Definitive Note, a certificate from such Holder in the form of </w:t>
            </w:r>
            <w:r>
              <w:rPr>
                <w:rFonts w:ascii="Times New Roman" w:hAnsi="Times New Roman"/>
                <w:sz w:val="20"/>
                <w:u w:val="single"/>
              </w:rPr>
              <w:t>Exhibit B</w:t>
            </w:r>
            <w:r>
              <w:rPr>
                <w:rFonts w:ascii="Times New Roman" w:hAnsi="Times New Roman"/>
                <w:sz w:val="20"/>
              </w:rPr>
              <w:t xml:space="preserve"> hereto, including the certifications in item 4 thereof; </w:t>
            </w:r>
          </w:p>
        </w:tc>
      </w:tr>
    </w:tbl>
    <w:p>
      <w:pPr>
        <w:pStyle w:val="TextBody"/>
        <w:bidi w:val="0"/>
        <w:spacing w:before="120" w:after="0"/>
        <w:jc w:val="left"/>
        <w:rPr>
          <w:rFonts w:ascii="Times New Roman" w:hAnsi="Times New Roman"/>
          <w:sz w:val="20"/>
        </w:rPr>
      </w:pPr>
      <w:r>
        <w:rPr>
          <w:rFonts w:ascii="Times New Roman" w:hAnsi="Times New Roman"/>
          <w:sz w:val="20"/>
        </w:rPr>
        <w:t xml:space="preserve">and, in each such case set forth in this subparagraph (E), an Opinion of Counsel in form reasonably acceptable to the Company to the effect that such exchange or transfer is in compliance with the Securities Act and that the restrictions on transfer contained herein and in the Restricted Notes Legend are no longer required in order to maintain compliance with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i/>
          <w:sz w:val="20"/>
        </w:rPr>
        <w:t>Unrestricted Definitive Notes to Unrestricted Definitive Notes</w:t>
      </w:r>
      <w:r>
        <w:rPr>
          <w:rFonts w:ascii="Times New Roman" w:hAnsi="Times New Roman"/>
          <w:sz w:val="20"/>
        </w:rPr>
        <w:t xml:space="preserve">. A Holder of Unrestricted Definitive Notes may transfer such Notes to a Person who takes delivery thereof in the form of an Unrestricted Definitive Note. Upon receipt of a request to register such a transfer, the Security Registrar shall register the Unrestricted Definitive Notes pursuant to the instructions from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Legends. </w:t>
      </w:r>
      <w:r>
        <w:rPr>
          <w:rFonts w:ascii="Times New Roman" w:hAnsi="Times New Roman"/>
          <w:sz w:val="20"/>
        </w:rPr>
        <w:t xml:space="preserve">The following legends shall appear on the face of all Global Notes and Definitive Notes issued under this Indenture unless specifically stated otherwise in the applicable provisions of this Indenture.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Restricted Notes Legend.</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9"/>
        <w:gridCol w:w="8370"/>
      </w:tblGrid>
      <w:tr>
        <w:trPr/>
        <w:tc>
          <w:tcPr>
            <w:tcW w:w="132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(A)</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permitted by subparagraphs (B), (C) and (D) below, each Global Note and each Definitive Note (and all Notes issued in exchange therefor or substitution thereof) shall bear the legend in substantially the following form: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THIS SECURITY HAS NOT BEEN REGISTERED UNDER THE SECURITIES ACT OF 1933, AS AMENDED (THE SECURITIES ACT), OR ANY STATE SECURITIES LAWS. NEITHER THIS SECURITY NOR ANY INTEREST OR PARTICIPATION HEREIN MAY BE REOFFERED, SOLD, ASSIGNED, TRANSFERRED, PLEDGED, ENCUMBERED OR OTHERWISE DISPOSED OF IN THE ABSENCE OF SUCH REGISTRATION OR UNLESS SUCH TRANSACTION IS EXEMPT FROM, OR NOT SUBJECT TO, THE REGISTRATION REQUIREMENTS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THE HOLDER OF THIS SECURITY BY ITS ACCEPTANCE HEREOF </w:t>
      </w:r>
    </w:p>
    <w:p>
      <w:pPr>
        <w:pStyle w:val="TextBody"/>
        <w:bidi w:val="0"/>
        <w:spacing w:before="120" w:after="0"/>
        <w:jc w:val="left"/>
        <w:rPr>
          <w:rFonts w:ascii="Times New Roman" w:hAnsi="Times New Roman"/>
          <w:sz w:val="20"/>
        </w:rPr>
      </w:pPr>
      <w:r>
        <w:rPr>
          <w:rFonts w:ascii="Times New Roman" w:hAnsi="Times New Roman"/>
          <w:sz w:val="20"/>
        </w:rPr>
        <w:t xml:space="preserve">(1) REPRESENTS THAT EITHER (A) IT IS A QUALIFIED INSTITUTIONAL BUYER (AS DEFINED IN RULE 144A UNDER THE SECURITIES ACT (RULE 144A)), OR (B) IT IS NOT A U.S. PERSON (AS DEFINED IN REGULATION S UNDER THE SECURITIES ACT (REGULATION 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(2) AGREES TO OFFER, SELL OR OTHERWISE TRANSFER SUCH SECURITY, PRIOR TO THE DATE (THE RESALE RESTRICTION TERMINATION DATE) WHICH IS ONE YEAR (OR SUCH OTHER DATE WHEN RESALES OF SECURITIES BY NON-AFFILIATES ARE FIRST PERMITTED UNDER RULE 144(d)) AFTER THE LATER OF THE ORIGINAL ISSUE DATE HEREOF (OR ANY PREDECESSOR OF THIS SECURITY) OR THE DATE OF ANY SUBSEQUENT REOPENING OF THE SECURITIES AND THE LAST DATE ON WHICH THE COMPANY OR ANY AFFILIATE OF THE COMPANY WAS THE OWNER OF THIS SECURITY (OR ANY PREDECESSOR OF SUCH SECURITY), ONLY (A) TO THE COMPANY OR ANY OF ITS SUBSIDIARIES, (B) PURSUANT TO A REGISTRATION STATEMENT WHICH HAS BEEN DECLARED EFFECTIVE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FOR SO LONG AS THE SECURITIES ARE ELIGIBLE FOR RESALE PURSUANT TO RULE 144A, TO A PERSON IT REASONABLY BELIEVES IS QUALIFIED INSTITUTIONAL BUYER (AS DEFINED IN RULE 144A) THAT PURCHASES FOR ITS OWN ACCOUNT OR FOR THE ACCOUNT OF A QUALIFIED INSTITUTIONAL BUYER TO WHOM NOTICE IS GIVEN THAT THE TRANSFER IS BEING MADE IN RELIANCE ON RULE 144A, (D) IN AN OFFSHORE TRANSACTION IN COMPLIANCE WITH REGULATION S, OR (E) PURSUANT TO ANOTHER AVAILABLE EXEMPTION FROM THE REGISTRATION REQUIREMENTS OF THE SECURITIES ACT AND THE SECURITIES LAWS OF ANY OTHER JURISDICTION, INCLUDING ANY STATE OF THE UNITED STATES, SUBJECT TO THE COMPANYS AND THE TRUSTEES RIGHT PRIOR TO ANY SUCH OFFER, SALE OR TRANSFER TO REQUIRE THE DELIVERY OF AN OPINION OF COUNSEL SATISFACTORY TO EACH OF THEM AND/OR A CERTIFICATE OF TRANSFER OR EXCHANGE IN THE FORM PRESCRIBED IN THE INDENTURE. THIS LEGEND WILL BE REMOVED UPON THE REQUEST OF THE HOLDER AFTER THE RESALE RESTRICTION TERMINATION DATE.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10"/>
        <w:gridCol w:w="8370"/>
      </w:tblGrid>
      <w:tr>
        <w:trPr/>
        <w:tc>
          <w:tcPr>
            <w:tcW w:w="132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837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the foregoing, any Global Note or Definitive Note issued pursuant to subsections (b)(vi), (c)(ii), (c)(iii), (d)(ii), (d)(iii), (e)(ii) or (e)(iii) of this </w:t>
            </w:r>
            <w:r>
              <w:rPr>
                <w:rFonts w:ascii="Times New Roman" w:hAnsi="Times New Roman"/>
                <w:sz w:val="20"/>
                <w:u w:val="single"/>
              </w:rPr>
              <w:t>Section 1.02</w:t>
            </w:r>
            <w:r>
              <w:rPr>
                <w:rFonts w:ascii="Times New Roman" w:hAnsi="Times New Roman"/>
                <w:sz w:val="20"/>
              </w:rPr>
              <w:t xml:space="preserve"> (and all Notes issued in exchange therefor or substitution thereof) shall not bear the Restricted Notes Legend.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10"/>
        <w:gridCol w:w="8369"/>
      </w:tblGrid>
      <w:tr>
        <w:trPr/>
        <w:tc>
          <w:tcPr>
            <w:tcW w:w="132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836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a transfer of any Initial Notes during the period of the effectiveness of a Shelf Registration Statement with respect to such Initial Notes, all requirements pertaining to the Restricted Notes Legend on such Initial Notes shall cease to apply and the requirements that any such Initial Notes be issued in global form shall continue to apply.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837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the consummation of a Registered Exchange Offer with respect to the Initial Notes pursuant to which Holders of such Initial Notes are offered Exchange Notes in exchange for their Initial Notes, all requirements pertaining to Initial Notes that Initial Notes be issued in global form shall continue to apply, and Exchange Notes in global form without the Restricted Notes Legend shall be available to Holders that exchange such Initial Notes in such Registered Exchange Offer.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(ii) </w:t>
      </w:r>
      <w:r>
        <w:rPr>
          <w:rFonts w:ascii="Times New Roman" w:hAnsi="Times New Roman"/>
          <w:i/>
          <w:sz w:val="20"/>
        </w:rPr>
        <w:t>Global Note Legend</w:t>
      </w:r>
      <w:r>
        <w:rPr>
          <w:rFonts w:ascii="Times New Roman" w:hAnsi="Times New Roman"/>
          <w:sz w:val="20"/>
        </w:rPr>
        <w:t xml:space="preserve">. Each Global Note shall bear a legend in substantially the following form: </w:t>
      </w:r>
    </w:p>
    <w:p>
      <w:pPr>
        <w:pStyle w:val="TextBody"/>
        <w:bidi w:val="0"/>
        <w:spacing w:before="120" w:after="0"/>
        <w:jc w:val="left"/>
        <w:rPr>
          <w:rFonts w:ascii="Times New Roman" w:hAnsi="Times New Roman"/>
          <w:sz w:val="20"/>
        </w:rPr>
      </w:pPr>
      <w:r>
        <w:rPr>
          <w:rFonts w:ascii="Times New Roman" w:hAnsi="Times New Roman"/>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Cancellation and/or Adjustment of Global Notes. </w:t>
      </w:r>
      <w:r>
        <w:rPr>
          <w:rFonts w:ascii="Times New Roman" w:hAnsi="Times New Roman"/>
          <w:sz w:val="20"/>
        </w:rPr>
        <w:t xml:space="preserve">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3.10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1.03. Additional Interest</w:t>
      </w:r>
      <w:r>
        <w:rPr>
          <w:rFonts w:ascii="Times New Roman" w:hAnsi="Times New Roman"/>
          <w:sz w:val="20"/>
        </w:rPr>
        <w:t xml:space="preserve">. In the event that the Company is required to pay Additional Interest to Holders of the Notes pursuant to the Registration Rights Agreement, the Company will provide written notice (Additional Interest Notice) to the Trustee of its obligation to pay Additional Interest 15 days prior to the proposed payment date for the Additional Interest to the extent reasonably practicable, but in no event later than five Business Days prior to such proposed payment date, and the Additional Interest Notice shall set forth the amount of Additional Interest to be paid by the Company on such payment date. The Trustee shall not at any time be under any duty or responsibility to any holder of the Notes to determine the Additional Interest, or with respect to the nature, extent, or calculation of the amount of Additional Interest owed, or with respect to the method employed in such calculation of the Additional Interest.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1.04. </w:t>
      </w:r>
      <w:r>
        <w:rPr>
          <w:rFonts w:ascii="Times New Roman" w:hAnsi="Times New Roman"/>
          <w:sz w:val="20"/>
        </w:rPr>
        <w:t xml:space="preserve">For purposes of this First Supplemental Indenture, the following terms have the meanings set forth below: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144A Global Note</w:t>
      </w:r>
      <w:r>
        <w:rPr>
          <w:rFonts w:ascii="Times New Roman" w:hAnsi="Times New Roman"/>
          <w:sz w:val="20"/>
        </w:rPr>
        <w:t xml:space="preserve"> means a global note substantially in the form of </w:t>
      </w:r>
      <w:r>
        <w:rPr>
          <w:rFonts w:ascii="Times New Roman" w:hAnsi="Times New Roman"/>
          <w:sz w:val="20"/>
          <w:u w:val="single"/>
        </w:rPr>
        <w:t>Exhibit A</w:t>
      </w:r>
      <w:r>
        <w:rPr>
          <w:rFonts w:ascii="Times New Roman" w:hAnsi="Times New Roman"/>
          <w:sz w:val="20"/>
        </w:rPr>
        <w:t xml:space="preserve"> hereto bearing the Global Note Legend and the Restricted Notes Legend and deposited with or on behalf of, and registered in the name of, the Depositary or its nominee that will be issued in a denomination equal to the outstanding principal amount of the Notes sold in reliance on Rule 144A.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Applicable Procedures</w:t>
      </w:r>
      <w:r>
        <w:rPr>
          <w:rFonts w:ascii="Times New Roman" w:hAnsi="Times New Roman"/>
          <w:sz w:val="20"/>
        </w:rPr>
        <w:t xml:space="preserve"> means, with respect to any transfer, redemption, tender or exchange of or for beneficial interests in any Global Note, the rules and procedures of the Depositary, Euroclear and/or Clearstream that apply to such transfer or exchange.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Clearstream</w:t>
      </w:r>
      <w:r>
        <w:rPr>
          <w:rFonts w:ascii="Times New Roman" w:hAnsi="Times New Roman"/>
          <w:sz w:val="20"/>
        </w:rPr>
        <w:t xml:space="preserve"> means Clearstream Banking, Société Anonyme, and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Definitive Note</w:t>
      </w:r>
      <w:r>
        <w:rPr>
          <w:rFonts w:ascii="Times New Roman" w:hAnsi="Times New Roman"/>
          <w:sz w:val="20"/>
        </w:rPr>
        <w:t xml:space="preserve"> means a certificated Note registered in the name of the Holder thereof and issued in accordance with </w:t>
      </w:r>
      <w:r>
        <w:rPr>
          <w:rFonts w:ascii="Times New Roman" w:hAnsi="Times New Roman"/>
          <w:sz w:val="20"/>
          <w:u w:val="single"/>
        </w:rPr>
        <w:t>Section 1.02</w:t>
      </w:r>
      <w:r>
        <w:rPr>
          <w:rFonts w:ascii="Times New Roman" w:hAnsi="Times New Roman"/>
          <w:sz w:val="20"/>
        </w:rPr>
        <w:t xml:space="preserve"> hereof, substantially in the form of </w:t>
      </w:r>
      <w:r>
        <w:rPr>
          <w:rFonts w:ascii="Times New Roman" w:hAnsi="Times New Roman"/>
          <w:sz w:val="20"/>
          <w:u w:val="single"/>
        </w:rPr>
        <w:t>Exhibit A</w:t>
      </w:r>
      <w:r>
        <w:rPr>
          <w:rFonts w:ascii="Times New Roman" w:hAnsi="Times New Roman"/>
          <w:sz w:val="20"/>
        </w:rPr>
        <w:t xml:space="preserve"> hereto except that such Note shall not bear the Global Note Legend and shall not have the Schedule of Exchanges of Interests in the Global Note attached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Euroclear</w:t>
      </w:r>
      <w:r>
        <w:rPr>
          <w:rFonts w:ascii="Times New Roman" w:hAnsi="Times New Roman"/>
          <w:sz w:val="20"/>
        </w:rPr>
        <w:t xml:space="preserve"> means Euroclear S.A./N.V., as operator of the Euroclear system, and any successor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Note Legend</w:t>
      </w:r>
      <w:r>
        <w:rPr>
          <w:rFonts w:ascii="Times New Roman" w:hAnsi="Times New Roman"/>
          <w:sz w:val="20"/>
        </w:rPr>
        <w:t xml:space="preserve"> means the legend set forth in </w:t>
      </w:r>
      <w:r>
        <w:rPr>
          <w:rFonts w:ascii="Times New Roman" w:hAnsi="Times New Roman"/>
          <w:sz w:val="20"/>
          <w:u w:val="single"/>
        </w:rPr>
        <w:t>Section 1.02(f)(ii)</w:t>
      </w:r>
      <w:r>
        <w:rPr>
          <w:rFonts w:ascii="Times New Roman" w:hAnsi="Times New Roman"/>
          <w:sz w:val="20"/>
        </w:rPr>
        <w:t xml:space="preserve">, which is required to be placed on all Global Notes issued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Global Notes</w:t>
      </w:r>
      <w:r>
        <w:rPr>
          <w:rFonts w:ascii="Times New Roman" w:hAnsi="Times New Roman"/>
          <w:sz w:val="20"/>
        </w:rPr>
        <w:t xml:space="preserve"> means, individually and collectively, each of the Restricted Global Notes and the Unrestricted Global Notes, substantially in the form of </w:t>
      </w:r>
      <w:r>
        <w:rPr>
          <w:rFonts w:ascii="Times New Roman" w:hAnsi="Times New Roman"/>
          <w:sz w:val="20"/>
          <w:u w:val="single"/>
        </w:rPr>
        <w:t>Exhibit A</w:t>
      </w:r>
      <w:r>
        <w:rPr>
          <w:rFonts w:ascii="Times New Roman" w:hAnsi="Times New Roman"/>
          <w:sz w:val="20"/>
        </w:rPr>
        <w:t xml:space="preserve"> hereto issued in accordance with </w:t>
      </w:r>
      <w:r>
        <w:rPr>
          <w:rFonts w:ascii="Times New Roman" w:hAnsi="Times New Roman"/>
          <w:sz w:val="20"/>
          <w:u w:val="single"/>
        </w:rPr>
        <w:t>Section 1.02(b)</w:t>
      </w:r>
      <w:r>
        <w:rPr>
          <w:rFonts w:ascii="Times New Roman" w:hAnsi="Times New Roman"/>
          <w:sz w:val="20"/>
        </w:rPr>
        <w:t xml:space="preserve"> or </w:t>
      </w:r>
      <w:r>
        <w:rPr>
          <w:rFonts w:ascii="Times New Roman" w:hAnsi="Times New Roman"/>
          <w:sz w:val="20"/>
          <w:u w:val="single"/>
        </w:rPr>
        <w:t>1.02(d)</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interest</w:t>
      </w:r>
      <w:r>
        <w:rPr>
          <w:rFonts w:ascii="Times New Roman" w:hAnsi="Times New Roman"/>
          <w:sz w:val="20"/>
        </w:rPr>
        <w:t xml:space="preserve"> means, with respect to the Notes, interest and Additional Interest, if any, on the Notes (regardless of whether so stated).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Indirect Participant</w:t>
      </w:r>
      <w:r>
        <w:rPr>
          <w:rFonts w:ascii="Times New Roman" w:hAnsi="Times New Roman"/>
          <w:sz w:val="20"/>
        </w:rPr>
        <w:t xml:space="preserve"> means a Person who holds a beneficial interest in a Global Note through a Participant.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Non-U.S. Person</w:t>
      </w:r>
      <w:r>
        <w:rPr>
          <w:rFonts w:ascii="Times New Roman" w:hAnsi="Times New Roman"/>
          <w:sz w:val="20"/>
        </w:rPr>
        <w:t xml:space="preserve"> means a person other than a U.S. Person.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Participant</w:t>
      </w:r>
      <w:r>
        <w:rPr>
          <w:rFonts w:ascii="Times New Roman" w:hAnsi="Times New Roman"/>
          <w:sz w:val="20"/>
        </w:rPr>
        <w:t xml:space="preserve"> means, with respect to the Depositary, Euroclear or Clearstream, a Person who has an account with the Depositary, Euroclear or Clearstream, respectively (and with respect to DTC, shall include Euroclear and Clearstream).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QIB</w:t>
      </w:r>
      <w:r>
        <w:rPr>
          <w:rFonts w:ascii="Times New Roman" w:hAnsi="Times New Roman"/>
          <w:sz w:val="20"/>
        </w:rPr>
        <w:t xml:space="preserve"> means a qualified institutional buyer as defined in Rule 144A.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w:t>
      </w:r>
      <w:r>
        <w:rPr>
          <w:rFonts w:ascii="Times New Roman" w:hAnsi="Times New Roman"/>
          <w:sz w:val="20"/>
        </w:rPr>
        <w:t xml:space="preserve"> means Regulation S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Regulation S Global Note</w:t>
      </w:r>
      <w:r>
        <w:rPr>
          <w:rFonts w:ascii="Times New Roman" w:hAnsi="Times New Roman"/>
          <w:sz w:val="20"/>
        </w:rPr>
        <w:t xml:space="preserve"> means the Global Note substantially in the form of </w:t>
      </w:r>
      <w:r>
        <w:rPr>
          <w:rFonts w:ascii="Times New Roman" w:hAnsi="Times New Roman"/>
          <w:sz w:val="20"/>
          <w:u w:val="single"/>
        </w:rPr>
        <w:t>Exhibit A</w:t>
      </w:r>
      <w:r>
        <w:rPr>
          <w:rFonts w:ascii="Times New Roman" w:hAnsi="Times New Roman"/>
          <w:sz w:val="20"/>
        </w:rPr>
        <w:t xml:space="preserve"> hereto, bearing the Global Note Legend and the Restricted Notes Legend representing the Notes offered and sold outside the United States in reliance on Regulation 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Definitive Note</w:t>
      </w:r>
      <w:r>
        <w:rPr>
          <w:rFonts w:ascii="Times New Roman" w:hAnsi="Times New Roman"/>
          <w:sz w:val="20"/>
        </w:rPr>
        <w:t xml:space="preserve"> means a definitive Note substantially in the form of </w:t>
      </w:r>
      <w:r>
        <w:rPr>
          <w:rFonts w:ascii="Times New Roman" w:hAnsi="Times New Roman"/>
          <w:sz w:val="20"/>
          <w:u w:val="single"/>
        </w:rPr>
        <w:t>Exhibit A</w:t>
      </w:r>
      <w:r>
        <w:rPr>
          <w:rFonts w:ascii="Times New Roman" w:hAnsi="Times New Roman"/>
          <w:sz w:val="20"/>
        </w:rPr>
        <w:t xml:space="preserve"> attached hereto that does not bear the Global Note Legend nor the Schedule of Exchanges of Interests in the Global Note attached thereto, and that bears the Restricted Notes Legend.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Global Note</w:t>
      </w:r>
      <w:r>
        <w:rPr>
          <w:rFonts w:ascii="Times New Roman" w:hAnsi="Times New Roman"/>
          <w:sz w:val="20"/>
        </w:rPr>
        <w:t xml:space="preserve"> means a permanent global Note substantially in the form of </w:t>
      </w:r>
      <w:r>
        <w:rPr>
          <w:rFonts w:ascii="Times New Roman" w:hAnsi="Times New Roman"/>
          <w:sz w:val="20"/>
          <w:u w:val="single"/>
        </w:rPr>
        <w:t>Exhibit A</w:t>
      </w:r>
      <w:r>
        <w:rPr>
          <w:rFonts w:ascii="Times New Roman" w:hAnsi="Times New Roman"/>
          <w:sz w:val="20"/>
        </w:rPr>
        <w:t xml:space="preserve"> attached hereto that bears the Global Note Legend and that has the Schedule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 xml:space="preserve">attached thereto, and that is deposited with or on behalf of and registered in the name of the Depositary, representing a series of Notes that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Notes Legend</w:t>
      </w:r>
      <w:r>
        <w:rPr>
          <w:rFonts w:ascii="Times New Roman" w:hAnsi="Times New Roman"/>
          <w:sz w:val="20"/>
        </w:rPr>
        <w:t xml:space="preserve"> means the legend set forth in Section 1.02(f)(i) to be placed on all Notes issued under this Indenture except where otherwise permitted by the provisions of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Restricted Period</w:t>
      </w:r>
      <w:r>
        <w:rPr>
          <w:rFonts w:ascii="Times New Roman" w:hAnsi="Times New Roman"/>
          <w:sz w:val="20"/>
        </w:rPr>
        <w:t xml:space="preserve"> with respect to any Restricted Global Note, means the 40 consecutive days beginning on and including the later of (i) the commencement of the offering of the Notes to persons other than distributors (as defined in Regulation S) in reliance on Regulation S and (ii) the date of the issuance of the Notes initially offered under this Indenture.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w:t>
      </w:r>
      <w:r>
        <w:rPr>
          <w:rFonts w:ascii="Times New Roman" w:hAnsi="Times New Roman"/>
          <w:sz w:val="20"/>
        </w:rPr>
        <w:t xml:space="preserve"> means Rule 144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Rule 144A</w:t>
      </w:r>
      <w:r>
        <w:rPr>
          <w:rFonts w:ascii="Times New Roman" w:hAnsi="Times New Roman"/>
          <w:sz w:val="20"/>
        </w:rPr>
        <w:t xml:space="preserve"> means Rule 144A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Definitive Note</w:t>
      </w:r>
      <w:r>
        <w:rPr>
          <w:rFonts w:ascii="Times New Roman" w:hAnsi="Times New Roman"/>
          <w:sz w:val="20"/>
        </w:rPr>
        <w:t xml:space="preserve"> means a definitive Note substantially in the form of </w:t>
      </w:r>
      <w:r>
        <w:rPr>
          <w:rFonts w:ascii="Times New Roman" w:hAnsi="Times New Roman"/>
          <w:sz w:val="20"/>
          <w:u w:val="single"/>
        </w:rPr>
        <w:t>Exhibit A</w:t>
      </w:r>
      <w:r>
        <w:rPr>
          <w:rFonts w:ascii="Times New Roman" w:hAnsi="Times New Roman"/>
          <w:sz w:val="20"/>
        </w:rPr>
        <w:t xml:space="preserve"> attached hereto that does not bear the Global Note Legend nor the Schedule of Exchanges of Interests in the Global Note attached thereto, and that does not bear the Restricted Notes Legend.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Unrestricted Global Note</w:t>
      </w:r>
      <w:r>
        <w:rPr>
          <w:rFonts w:ascii="Times New Roman" w:hAnsi="Times New Roman"/>
          <w:sz w:val="20"/>
        </w:rPr>
        <w:t xml:space="preserve"> means a permanent global Note substantially in the form of </w:t>
      </w:r>
      <w:r>
        <w:rPr>
          <w:rFonts w:ascii="Times New Roman" w:hAnsi="Times New Roman"/>
          <w:sz w:val="20"/>
          <w:u w:val="single"/>
        </w:rPr>
        <w:t>Exhibit A a</w:t>
      </w:r>
      <w:r>
        <w:rPr>
          <w:rFonts w:ascii="Times New Roman" w:hAnsi="Times New Roman"/>
          <w:sz w:val="20"/>
        </w:rPr>
        <w:t xml:space="preserve">ttached hereto that bears the Global Note Legend and that has the Schedule of Exchanges of Interests in the Global Note attached thereto, and that is deposited with or on behalf of and registered in the name of the Depositary, representing a series of Notes that do not bear the Restricted Notes Legend.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U.S. Person</w:t>
      </w:r>
      <w:r>
        <w:rPr>
          <w:rFonts w:ascii="Times New Roman" w:hAnsi="Times New Roman"/>
          <w:sz w:val="20"/>
        </w:rPr>
        <w:t xml:space="preserve"> means a U.S. Person as defined in Rule 902(k) of Regulation S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OTHER PROVISIONS OF GENERAL APPLICATION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2.01.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One of the Base Indenture shall be amended by adding the following defined terms to Section 1.01 of the Base Indenture in appropriate alphabetical sequence, as follows: </w:t>
      </w:r>
    </w:p>
    <w:p>
      <w:pPr>
        <w:pStyle w:val="TextBody"/>
        <w:bidi w:val="0"/>
        <w:spacing w:before="120" w:after="0"/>
        <w:jc w:val="left"/>
        <w:rPr>
          <w:rFonts w:ascii="Times New Roman" w:hAnsi="Times New Roman"/>
          <w:sz w:val="20"/>
        </w:rPr>
      </w:pPr>
      <w:r>
        <w:rPr>
          <w:rFonts w:ascii="Times New Roman" w:hAnsi="Times New Roman"/>
          <w:sz w:val="20"/>
        </w:rPr>
        <w:t></w:t>
      </w:r>
      <w:r>
        <w:rPr>
          <w:rFonts w:ascii="Times New Roman" w:hAnsi="Times New Roman"/>
          <w:sz w:val="20"/>
          <w:u w:val="single"/>
        </w:rPr>
        <w:t>Additional Interest</w:t>
      </w:r>
      <w:r>
        <w:rPr>
          <w:rFonts w:ascii="Times New Roman" w:hAnsi="Times New Roman"/>
          <w:sz w:val="20"/>
        </w:rPr>
        <w:t xml:space="preserve"> means all additional interest then owing pursuant to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Below Investment Grade Rating Event</w:t>
      </w:r>
      <w:r>
        <w:rPr>
          <w:rFonts w:ascii="Times New Roman" w:hAnsi="Times New Roman"/>
          <w:sz w:val="20"/>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hAnsi="Times New Roman"/>
          <w:i/>
          <w:sz w:val="20"/>
        </w:rPr>
        <w:t xml:space="preserve">provided </w:t>
      </w:r>
      <w:r>
        <w:rPr>
          <w:rFonts w:ascii="Times New Roman" w:hAnsi="Times New Roman"/>
          <w:sz w:val="20"/>
        </w:rPr>
        <w:t xml:space="preserve">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Company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w:t>
      </w:r>
      <w:r>
        <w:rPr>
          <w:rFonts w:ascii="Times New Roman" w:hAnsi="Times New Roman"/>
          <w:sz w:val="20"/>
        </w:rPr>
        <w:t xml:space="preserve"> means the occurrence of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hAnsi="Times New Roman"/>
          <w:i/>
          <w:sz w:val="20"/>
        </w:rPr>
        <w:t xml:space="preserve">provided </w:t>
      </w:r>
      <w:r>
        <w:rPr>
          <w:rFonts w:ascii="Times New Roman" w:hAnsi="Times New Roman"/>
          <w:sz w:val="20"/>
        </w:rPr>
        <w:t xml:space="preserve">that, for the avoidance of doubt, a pledge of assets pursuant to any secured debt instrument of the Company or its Controlled Subsidiaries shall not be deemed to be any such sale, lease, transfer, conveyance or disposition; </w:t>
      </w:r>
    </w:p>
    <w:p>
      <w:pPr>
        <w:pStyle w:val="TextBody"/>
        <w:bidi w:val="0"/>
        <w:spacing w:before="240" w:after="0"/>
        <w:jc w:val="left"/>
        <w:rPr>
          <w:rFonts w:ascii="Times New Roman" w:hAnsi="Times New Roman"/>
          <w:sz w:val="20"/>
        </w:rPr>
      </w:pPr>
      <w:r>
        <w:rPr>
          <w:rFonts w:ascii="Times New Roman" w:hAnsi="Times New Roman"/>
          <w:sz w:val="20"/>
        </w:rPr>
        <w:t xml:space="preserve">(2) 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 </w:t>
      </w:r>
    </w:p>
    <w:p>
      <w:pPr>
        <w:pStyle w:val="TextBody"/>
        <w:bidi w:val="0"/>
        <w:spacing w:before="240" w:after="0"/>
        <w:jc w:val="left"/>
        <w:rPr>
          <w:rFonts w:ascii="Times New Roman" w:hAnsi="Times New Roman"/>
          <w:sz w:val="20"/>
        </w:rPr>
      </w:pPr>
      <w:r>
        <w:rPr>
          <w:rFonts w:ascii="Times New Roman" w:hAnsi="Times New Roman"/>
          <w:sz w:val="20"/>
        </w:rPr>
        <w:t xml:space="preserve">(3) the approval by the Companys stockholders of any plan or proposal relating to the liquidation or dissolution of the Company.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Change of Control Repurchase Event</w:t>
      </w:r>
      <w:r>
        <w:rPr>
          <w:rFonts w:ascii="Times New Roman" w:hAnsi="Times New Roman"/>
          <w:sz w:val="20"/>
        </w:rPr>
        <w:t xml:space="preserve"> means the occurrence of a Change of Control and a Below Investment Grade Rating Event.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Fitch</w:t>
      </w:r>
      <w:r>
        <w:rPr>
          <w:rFonts w:ascii="Times New Roman" w:hAnsi="Times New Roman"/>
          <w:sz w:val="20"/>
        </w:rPr>
        <w:t xml:space="preserve"> means Fitch Ratings, Inc., also known as Fitch Ratings, or any successor thereto.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t>
      </w:r>
      <w:r>
        <w:rPr>
          <w:rFonts w:ascii="Times New Roman" w:hAnsi="Times New Roman"/>
          <w:sz w:val="20"/>
          <w:u w:val="single"/>
        </w:rPr>
        <w:t>Investment Grade</w:t>
      </w:r>
      <w:r>
        <w:rPr>
          <w:rFonts w:ascii="Times New Roman" w:hAnsi="Times New Roman"/>
          <w:sz w:val="20"/>
        </w:rPr>
        <w:t xml:space="preserve"> means a rating of BBB- or better by Fitch (or its equivalent under any successor rating categories of Fitch)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Moodys</w:t>
      </w:r>
      <w:r>
        <w:rPr>
          <w:rFonts w:ascii="Times New Roman" w:hAnsi="Times New Roman"/>
          <w:sz w:val="20"/>
        </w:rPr>
        <w:t xml:space="preserve"> means Moodys Investors Service, or any successor thereto.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Permitted Holders</w:t>
      </w:r>
      <w:r>
        <w:rPr>
          <w:rFonts w:ascii="Times New Roman" w:hAnsi="Times New Roman"/>
          <w:sz w:val="20"/>
        </w:rPr>
        <w:t xml:space="preserve"> means (i) the Company, (ii) one or more of the Companys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Rating Agency</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of Fitch and Moodys;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either of Fitch or Moodys ceases to rate the Notes or fails to make a rating of the Notes publicly available for reasons outside of the Companys control, a nationally recognized statistical rating organization as defined in Section 3(a)(62) of the Exchange Act selected by the Company as a replacement agency for Fitch or Moodys, or both, as the case may be. </w:t>
            </w:r>
          </w:p>
        </w:tc>
      </w:tr>
    </w:tbl>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Registered Exchange Offer</w:t>
      </w:r>
      <w:r>
        <w:rPr>
          <w:rFonts w:ascii="Times New Roman" w:hAnsi="Times New Roman"/>
          <w:sz w:val="20"/>
        </w:rPr>
        <w:t xml:space="preserve"> means the offer by the Company, pursuant to the Registration Rights Agreement, to certain Holders of Initial Notes, to issue and deliver to such Holders, in exchange for their Initial Notes, a like aggregate principal amount of Exchange Notes registered under the Securities Act.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Registration Rights Agreement</w:t>
      </w:r>
      <w:r>
        <w:rPr>
          <w:rFonts w:ascii="Times New Roman" w:hAnsi="Times New Roman"/>
          <w:sz w:val="20"/>
        </w:rPr>
        <w:t xml:space="preserve"> means (a) the Registration Rights Agreement with respect to the Notes, dated as of the Issue Date, among the Company and BofA Securities, Inc., as representative of the Initial Purchasers and (b) other similar registration rights agreements relating to any Additional Notes.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Shelf Registration Statement</w:t>
      </w:r>
      <w:r>
        <w:rPr>
          <w:rFonts w:ascii="Times New Roman" w:hAnsi="Times New Roman"/>
          <w:sz w:val="20"/>
        </w:rPr>
        <w:t xml:space="preserve"> means a registration statement filed by the Company in connection with the offer and sale of Initial Notes pursuant to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Voting Stock</w:t>
      </w:r>
      <w:r>
        <w:rPr>
          <w:rFonts w:ascii="Times New Roman" w:hAnsi="Times New Roman"/>
          <w:sz w:val="20"/>
        </w:rPr>
        <w:t xml:space="preserve"> as applied to stock of any Person, means shares, interests, participations or other equivalents in the equity interest (however designated) in such Person having ordinary voting power for the election of a majority of the trustees (or the equivalent) of such Person, other than shares, interests, participations or other equivalents having such power only by reason of the occurrence of a contingency.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2.02.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One of the Base Indenture shall be amended by amending and restating the definitions of Business Day and Subsidiary in Section 1.01 as follows: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means, with respect to any Note, any day other than a Saturday, Sunday or a day on which banking institutions in New York or the city in which the Corporate Trust Office is located are authorized or obligated by law or executive order to close. </w:t>
      </w:r>
    </w:p>
    <w:p>
      <w:pPr>
        <w:pStyle w:val="TextBody"/>
        <w:bidi w:val="0"/>
        <w:spacing w:before="240" w:after="0"/>
        <w:jc w:val="left"/>
        <w:rPr>
          <w:rFonts w:ascii="Times New Roman" w:hAnsi="Times New Roman"/>
          <w:sz w:val="20"/>
        </w:rPr>
      </w:pPr>
      <w:r>
        <w:rPr>
          <w:rFonts w:ascii="Times New Roman" w:hAnsi="Times New Roman"/>
          <w:sz w:val="20"/>
        </w:rPr>
        <w:t></w:t>
      </w:r>
      <w:r>
        <w:rPr>
          <w:rFonts w:ascii="Times New Roman" w:hAnsi="Times New Roman"/>
          <w:sz w:val="20"/>
          <w:u w:val="single"/>
        </w:rPr>
        <w:t>Subsidiary</w:t>
      </w:r>
      <w:r>
        <w:rPr>
          <w:rFonts w:ascii="Times New Roman" w:hAnsi="Times New Roman"/>
          <w:sz w:val="20"/>
        </w:rPr>
        <w:t xml:space="preserve"> means (1) any corporation a majority of the outstanding voting stock of which is owned, directly or indirectly, by the Company or by one or more other Subsidiaries of the Company, (2) any other Person (other than a corporation) in which such Person, one or more Subsidiaries of such Person, or such Person and one or more Subsidiaries of such Person, directly or indirectly, at the date of determination thereof has a majority ownership interest, or (3) a partnership in which such Person or Subsidiary of such Person is, at the time, a general partner and in which such Person, directly or indirectly, at the date of determination thereof has a majority ownership interest. For the purposes of this definition, voting stock mean stock having voting power for the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election of trustees, whether at all times or only so long as no senior class of stock has such voting power by reason of any contingency. In addition, for purposes of this definition, Subsidiary shall exclude any investments held by the Company in the ordinary course of business which are not, under GAAP, consolidated on the financial statements of the Company and its Subsidiaries.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REMEDIES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3.01.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Five of the Base Indenture shall be amended by replacing clause (i) of Section 5.01 thereof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default in the payment of any interest or Additional Interest upon any Note when such interest becomes due and payable, and continuance of such default for a period of 30 days; or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3.02. </w:t>
      </w: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Five of the Base Indenture shall be amended by replacing the first paragraph of Section 5.02 thereof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with respect to the Notes occurs and is continuing and a Responsible Officer of the Trustee has received written notice or has actual knowledge thereof, then and in every such case (other than an Event of Default specified in Section 5.01(v) or 5.01(vi)), the Trustee or the Holders of not less than 25% in principal amount of the Outstanding Notes may declare the principal of all the Outstanding Notes to be due and payable immediately, by a notice in writing to the Company (and to the Trustee if given by the Holders), and upon any such declaration such principal or specified portion thereof shall become immediately due and payable; </w:t>
      </w:r>
      <w:r>
        <w:rPr>
          <w:rFonts w:ascii="Times New Roman" w:hAnsi="Times New Roman"/>
          <w:i/>
          <w:sz w:val="20"/>
        </w:rPr>
        <w:t xml:space="preserve">provided </w:t>
      </w:r>
      <w:r>
        <w:rPr>
          <w:rFonts w:ascii="Times New Roman" w:hAnsi="Times New Roman"/>
          <w:sz w:val="20"/>
        </w:rPr>
        <w:t xml:space="preserve">that 100% of the principal of, and accrued and unpaid interest on, the Notes will automatically become due and payable in the case of an Event of Default specified in Section 5.01(v) or 5.01(vi) hereof.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THE TRUSTEE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4.01. </w:t>
      </w:r>
      <w:r>
        <w:rPr>
          <w:rFonts w:ascii="Times New Roman" w:hAnsi="Times New Roman"/>
          <w:sz w:val="20"/>
        </w:rPr>
        <w:t xml:space="preserve">Neither the Trustee nor any Paying Agent shall be responsible (or liable) for determining whether any Change of Control or Below Investment Grade Rating Event has occurred and whether any Change of Control offer with respect to the Notes is required. The transferor of any Note shall provide or cause to be provided to the Trustee, upon reasonable request therefore, all information necessary to allow the Trustee to comply with any applicable tax reporting obligations, including without limitation any cost basis reporting obligations under Internal Revenue Code Section 6045. In connection with any proposed exchange of a certificated Note for a Global Note, there shall be provided to the Trustee, upon reasonable request therefore, all information necessary to allow the Trustee to comply with any applicable tax reporting obligations, including without limitation any cost basis reporting obligations under Internal Revenue Code Section 6045. The Trustee may rely on information provided to it and shall have no responsibility (or liability) to verify or ensure the accuracy, correctness, adequacy, or completeness of such information.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4.02. </w:t>
      </w:r>
      <w:r>
        <w:rPr>
          <w:rFonts w:ascii="Times New Roman" w:hAnsi="Times New Roman"/>
          <w:sz w:val="20"/>
        </w:rPr>
        <w:t xml:space="preserve">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COVENANTS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5.01. </w:t>
      </w:r>
      <w:r>
        <w:rPr>
          <w:rFonts w:ascii="Times New Roman" w:hAnsi="Times New Roman"/>
          <w:sz w:val="20"/>
        </w:rPr>
        <w:t xml:space="preserve">Except as may be provided in a Future Supplemental Indenture, for the benefit of Holders of the Notes but no other series of Securities under the Base Indenture (as supplemented or amended from time to time by one or more indentures supplemental thereto), whether now or hereafter issued and Outstanding, Article Ten of the Base Indenture shall be amended by replacing clause (1) of Section 10.05 thereof with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deliver to the Trustee within 120 days after the end of each fiscal year ending after the date hereof (which fiscal year ends on December 31), so long as any Notes are Outstanding hereunder, a brief Officers Certificate, that need not comply with Section 1.02, as to the knowledge of the signers of the Companys compliance with all of the terms, provisions or conditions of this Indenture. For purposes of this Section 10.05, such compliance shall be determined without regard to any period of grace or requirement of notice under this Indenture.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OFFER TO REPURCHASE UPON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Thirteen of the Base Indenture shall be amended by replacing Sections 13.01 to 13.05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Section 13.01. Change of Control. </w:t>
      </w:r>
    </w:p>
    <w:p>
      <w:pPr>
        <w:pStyle w:val="TextBody"/>
        <w:bidi w:val="0"/>
        <w:spacing w:before="240" w:after="0"/>
        <w:jc w:val="left"/>
        <w:rPr>
          <w:rFonts w:ascii="Times New Roman" w:hAnsi="Times New Roman"/>
          <w:sz w:val="20"/>
        </w:rPr>
      </w:pPr>
      <w:r>
        <w:rPr>
          <w:rFonts w:ascii="Times New Roman" w:hAnsi="Times New Roman"/>
          <w:sz w:val="20"/>
        </w:rPr>
        <w:t xml:space="preserve">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and Additional Interest, if any, on the Notes repurchased to, but not including, the date of purchase. Within 30 days following any Change of Control Repurchase Event or, at the Companys option, prior to any Change of Control, but after the public announcement of the Change of Control, the Company shall send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provisions of any securities laws or regulations conflict with this Section 13.01, the Company shall comply with the applicable securities laws and regulations and shall not be deemed to have breached its obligations under this Section 13.01 by virtue of such conflict. </w:t>
      </w:r>
    </w:p>
    <w:p>
      <w:pPr>
        <w:pStyle w:val="TextBody"/>
        <w:bidi w:val="0"/>
        <w:spacing w:before="240" w:after="0"/>
        <w:jc w:val="left"/>
        <w:rPr>
          <w:rFonts w:ascii="Times New Roman" w:hAnsi="Times New Roman"/>
          <w:sz w:val="20"/>
        </w:rPr>
      </w:pPr>
      <w:r>
        <w:rPr>
          <w:rFonts w:ascii="Times New Roman" w:hAnsi="Times New Roman"/>
          <w:sz w:val="20"/>
        </w:rPr>
        <w:t xml:space="preserve">On the Change of Control Repurchase Event payment date, subject to extension if necessary to comply with the provisions of the Investment Company Act, the Company shall, to the extent lawful: </w:t>
      </w:r>
    </w:p>
    <w:p>
      <w:pPr>
        <w:pStyle w:val="TextBody"/>
        <w:bidi w:val="0"/>
        <w:spacing w:before="120" w:after="0"/>
        <w:jc w:val="left"/>
        <w:rPr>
          <w:rFonts w:ascii="Times New Roman" w:hAnsi="Times New Roman"/>
          <w:sz w:val="20"/>
        </w:rPr>
      </w:pPr>
      <w:r>
        <w:rPr>
          <w:rFonts w:ascii="Times New Roman" w:hAnsi="Times New Roman"/>
          <w:sz w:val="20"/>
        </w:rPr>
        <w:t xml:space="preserve">(1) accept for payment all Notes or portions of Notes properly tendered pursuant to its offer; </w:t>
      </w:r>
    </w:p>
    <w:p>
      <w:pPr>
        <w:pStyle w:val="TextBody"/>
        <w:bidi w:val="0"/>
        <w:spacing w:before="240" w:after="0"/>
        <w:jc w:val="left"/>
        <w:rPr>
          <w:rFonts w:ascii="Times New Roman" w:hAnsi="Times New Roman"/>
          <w:sz w:val="20"/>
        </w:rPr>
      </w:pPr>
      <w:r>
        <w:rPr>
          <w:rFonts w:ascii="Times New Roman" w:hAnsi="Times New Roman"/>
          <w:sz w:val="20"/>
        </w:rPr>
        <w:t xml:space="preserve">(2) deposit with the Paying Agent an amount equal to the aggregate purchase price in respect of all Notes or portions of Notes properly tendered; and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deliver or cause to be delivered to the Trustee the Notes properly accepted, together with an Officers Certificate stating the aggregate principal amount of Notes being purchased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hAnsi="Times New Roman"/>
          <w:i/>
          <w:sz w:val="20"/>
        </w:rPr>
        <w:t xml:space="preserve">provided </w:t>
      </w:r>
      <w:r>
        <w:rPr>
          <w:rFonts w:ascii="Times New Roman" w:hAnsi="Times New Roman"/>
          <w:sz w:val="20"/>
        </w:rPr>
        <w:t xml:space="preserve">that each new Note will be in a minimum principal amount of $2,000 or an integral multiple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If any Repayment Date upon a Change of Control Repurchase Event falls on a day that is not a Business Day, then the required payment will be made on the next succeeding Business Day and no additional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7.01. </w:t>
      </w:r>
      <w:r>
        <w:rPr>
          <w:rFonts w:ascii="Times New Roman" w:hAnsi="Times New Roman"/>
          <w:sz w:val="20"/>
        </w:rPr>
        <w:t xml:space="preserve">This First Supplemental Indenture and the Notes shall be governed by and construed in accordance with the laws of the State of New York, without regard to principles of conflicts of laws that would cause the application of laws of another jurisdiction. This First Supplemental Indenture is subject to the provisions of the Trust Indenture Act that are required to be part of the Indenture and shall, to the extent applicable, be governed by such provisions. All of the provisions contained in the Indenture in respect to the rights, privileges, immunities, indemnities, protections, powers and duties of the Trustee shall be applicable in respect of this First Supplemental Indenture as fully and with like effect as if set forth herein in full.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7.02. </w:t>
      </w:r>
      <w:r>
        <w:rPr>
          <w:rFonts w:ascii="Times New Roman" w:hAnsi="Times New Roman"/>
          <w:sz w:val="20"/>
        </w:rPr>
        <w:t xml:space="preserve">In case any provision in this First Supplemental Indenture or in the Notes shall be invalid, illegal or unenforceable, the validity, legality and enforceability of the remaining provisions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7.03. </w:t>
      </w:r>
      <w:r>
        <w:rPr>
          <w:rFonts w:ascii="Times New Roman" w:hAnsi="Times New Roman"/>
          <w:sz w:val="20"/>
        </w:rPr>
        <w:t xml:space="preserve">This First Supplemental Indenture may be executed in counterparts, each of which will be an original, but such counterparts will together constitute but one and the same First Supplemental Indenture. The exchange of copies of this First Supplemental Indenture and of signature pages by facsimile, .pdf transmission, email or other electronic means shall constitute effective execution and delivery of this First Supplemental Indenture for all purposes. Signatures of the parties hereto transmitted by facsimile, .pdf transmission, email or other electronic means shall be deemed to be their original signatures for all purposes. For the avoidance of doubt, all notices, approvals, consents, requests and any communications hereunder or with respect to this First Supplemental Indenture must be in writing (provided that any communication sent to Trustee hereunder must be in the form of a document that is signed manually or by way of a digital signature provided by DocuSign or Adobe (or such other digital signature provider as specified in writing to Trustee by the authorized representative), in English.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7.04. </w:t>
      </w:r>
      <w:r>
        <w:rPr>
          <w:rFonts w:ascii="Times New Roman" w:hAnsi="Times New Roman"/>
          <w:sz w:val="20"/>
        </w:rPr>
        <w:t xml:space="preserve">The Base Indenture, as supplemented and amended by this First Supplemental Indenture, is in all respects ratified and confirmed, and the Base Indenture and this First Supplemental Indenture shall be read, taken and construed as one and the same instrument with respect to the Notes. All provisions included in this First Supplemental Indenture supersede any conflicting provisions included in the Base Indenture with respect to the Notes, unless not permitted by law. The Trustee accepts the trusts created by the Base Indenture, as supplemented by this First Supplemental Indenture, and agrees to perform the same upon the terms and conditions of the Base Indenture, as supplemented by this First Supplemental Indenture.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7.05. </w:t>
      </w:r>
      <w:r>
        <w:rPr>
          <w:rFonts w:ascii="Times New Roman" w:hAnsi="Times New Roman"/>
          <w:sz w:val="20"/>
        </w:rPr>
        <w:t xml:space="preserve">The provisions of this First Supplemental Indenture shall become effective as of the date 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7.06. </w:t>
      </w:r>
      <w:r>
        <w:rPr>
          <w:rFonts w:ascii="Times New Roman" w:hAnsi="Times New Roman"/>
          <w:sz w:val="20"/>
        </w:rPr>
        <w:t xml:space="preserve">Notwithstanding anything else to the contrary herein, the terms and provisions of this First Supplemental Indenture shall apply only to the Notes and shall not apply to any other series of Securities under the Base Indenture (as supplemented or amended from time to time by one or more indentures supplemental thereto) and this First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7.07. </w:t>
      </w:r>
      <w:r>
        <w:rPr>
          <w:rFonts w:ascii="Times New Roman" w:hAnsi="Times New Roman"/>
          <w:sz w:val="20"/>
        </w:rPr>
        <w:t xml:space="preserve">The recitals contained herein and in the Notes shall be taken as the statements of the Company, and the Trustee assumes no responsibility for their correctness. The Trustee makes no representations as to the validity or sufficiency of this First Supplemental Indenture, the Notes or any Additional Notes, except that the Trustee represents that it is duly authorized to execute and deliver this First Supplemental Indenture, authenticate the Notes and any Additional Notes and perform its obligations hereunder. The Trustee shall not be accountable for the use or application by the Company of the Notes or any Additional Notes or the proceeds thereof.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 xml:space="preserve">7.08. </w:t>
      </w:r>
      <w:r>
        <w:rPr>
          <w:rFonts w:ascii="Times New Roman" w:hAnsi="Times New Roman"/>
          <w:sz w:val="20"/>
        </w:rPr>
        <w:t xml:space="preserve">EACH OF THE COMPANY AND THE TRUSTEE HEREBY IRREVOCABLY WAIVES, TO THE FULLEST EXTENT PERMITTED BY APPLICABLE LAW, ANY AND ALL RIGHT TO TRIAL BY JURY IN ANY LEGAL PROCEEDING ARISING OUT OF OR RELATING TO THIS FIRST SUPPLEMENTAL INDENTURE, THE SECURITIES OR THE TRANSACTION CONTEMPLATED HEREBY.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hereto have caused this First Supplemental Indenture to be duly executed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2"/>
        <w:gridCol w:w="60"/>
        <w:gridCol w:w="3670"/>
      </w:tblGrid>
      <w:tr>
        <w:trPr/>
        <w:tc>
          <w:tcPr>
            <w:tcW w:w="35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vAlign w:val="bottom"/>
          </w:tcPr>
          <w:p>
            <w:pPr>
              <w:pStyle w:val="TableContents"/>
              <w:bidi w:val="0"/>
              <w:spacing w:before="0" w:after="283"/>
              <w:jc w:val="left"/>
              <w:rPr/>
            </w:pPr>
            <w:r>
              <w:rPr/>
              <w:t>/s/ Ian T. Simmonds</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Ian T. Simmonds</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Chief Financial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U.S. BANK TRUST COMPANY, NATIONAL ASSOCIATION, as Trustee</w:t>
            </w:r>
          </w:p>
        </w:tc>
      </w:tr>
      <w:tr>
        <w:trPr>
          <w:trHeight w:val="240" w:hRule="atLeast"/>
        </w:trPr>
        <w:tc>
          <w:tcPr>
            <w:tcW w:w="352" w:type="dxa"/>
            <w:tcBorders/>
            <w:vAlign w:val="center"/>
          </w:tcPr>
          <w:p>
            <w:pPr>
              <w:pStyle w:val="TableContents"/>
              <w:bidi w:val="0"/>
              <w:spacing w:before="0" w:after="283"/>
              <w:jc w:val="left"/>
              <w:rPr>
                <w:sz w:val="4"/>
                <w:szCs w:val="4"/>
              </w:rPr>
            </w:pPr>
            <w:r>
              <w:rPr>
                <w:sz w:val="4"/>
                <w:szCs w:val="4"/>
              </w:rPr>
            </w:r>
          </w:p>
        </w:tc>
        <w:tc>
          <w:tcPr>
            <w:tcW w:w="3730" w:type="dxa"/>
            <w:gridSpan w:val="2"/>
            <w:tcBorders/>
            <w:vAlign w:val="center"/>
          </w:tcPr>
          <w:p>
            <w:pPr>
              <w:pStyle w:val="TableContents"/>
              <w:bidi w:val="0"/>
              <w:spacing w:before="0" w:after="283"/>
              <w:jc w:val="left"/>
              <w:rPr>
                <w:sz w:val="4"/>
                <w:szCs w:val="4"/>
              </w:rPr>
            </w:pPr>
            <w:r>
              <w:rPr>
                <w:sz w:val="4"/>
                <w:szCs w:val="4"/>
              </w:rPr>
            </w:r>
          </w:p>
        </w:tc>
      </w:tr>
      <w:tr>
        <w:trPr/>
        <w:tc>
          <w:tcPr>
            <w:tcW w:w="352" w:type="dxa"/>
            <w:tcBorders/>
            <w:vAlign w:val="bottom"/>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0" w:type="dxa"/>
            <w:tcBorders>
              <w:bottom w:val="single" w:sz="2" w:space="0" w:color="000000"/>
            </w:tcBorders>
            <w:tcMar>
              <w:bottom w:w="28" w:type="dxa"/>
            </w:tcMar>
            <w:vAlign w:val="bottom"/>
          </w:tcPr>
          <w:p>
            <w:pPr>
              <w:pStyle w:val="TableContents"/>
              <w:bidi w:val="0"/>
              <w:spacing w:before="0" w:after="283"/>
              <w:jc w:val="left"/>
              <w:rPr/>
            </w:pPr>
            <w:r>
              <w:rPr/>
              <w:t>/s/ James W. Hall</w:t>
            </w:r>
          </w:p>
        </w:tc>
      </w:tr>
      <w:tr>
        <w:trPr/>
        <w:tc>
          <w:tcPr>
            <w:tcW w:w="35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Name: James W. Hall</w:t>
            </w:r>
          </w:p>
        </w:tc>
      </w:tr>
      <w:tr>
        <w:trPr/>
        <w:tc>
          <w:tcPr>
            <w:tcW w:w="35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0" w:type="dxa"/>
            <w:tcBorders/>
            <w:vAlign w:val="bottom"/>
          </w:tcPr>
          <w:p>
            <w:pPr>
              <w:pStyle w:val="TableContents"/>
              <w:bidi w:val="0"/>
              <w:spacing w:before="0" w:after="283"/>
              <w:jc w:val="left"/>
              <w:rPr/>
            </w:pPr>
            <w:r>
              <w:rPr/>
              <w:t>Title: Vice President</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i/>
          <w:sz w:val="20"/>
        </w:rPr>
      </w:pPr>
      <w:r>
        <w:rPr>
          <w:rFonts w:ascii="Times New Roman" w:hAnsi="Times New Roman"/>
          <w:i/>
          <w:sz w:val="20"/>
        </w:rPr>
        <w:t xml:space="preserve">[First Supplemental Indenture Signature Page]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 Form of Global Note </w:t>
      </w:r>
    </w:p>
    <w:p>
      <w:pPr>
        <w:pStyle w:val="TextBody"/>
        <w:bidi w:val="0"/>
        <w:spacing w:before="240" w:after="0"/>
        <w:jc w:val="left"/>
        <w:rPr>
          <w:rFonts w:ascii="Times New Roman" w:hAnsi="Times New Roman"/>
          <w:b/>
          <w:sz w:val="20"/>
        </w:rPr>
      </w:pPr>
      <w:r>
        <w:rPr>
          <w:rFonts w:ascii="Times New Roman" w:hAnsi="Times New Roman"/>
          <w:b/>
          <w:sz w:val="20"/>
        </w:rPr>
        <w:t xml:space="preserve">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 </w:t>
      </w:r>
    </w:p>
    <w:p>
      <w:pPr>
        <w:pStyle w:val="TextBody"/>
        <w:bidi w:val="0"/>
        <w:spacing w:before="240" w:after="0"/>
        <w:jc w:val="left"/>
        <w:rPr>
          <w:rFonts w:ascii="Times New Roman" w:hAnsi="Times New Roman"/>
          <w:b/>
          <w:sz w:val="20"/>
        </w:rPr>
      </w:pPr>
      <w:r>
        <w:rPr>
          <w:rFonts w:ascii="Times New Roman" w:hAnsi="Times New Roman"/>
          <w:b/>
          <w:sz w:val="20"/>
        </w:rPr>
        <w:t xml:space="preserve">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 </w:t>
      </w:r>
    </w:p>
    <w:p>
      <w:pPr>
        <w:pStyle w:val="TextBody"/>
        <w:bidi w:val="0"/>
        <w:spacing w:before="240" w:after="0"/>
        <w:jc w:val="left"/>
        <w:rPr>
          <w:rFonts w:ascii="Times New Roman" w:hAnsi="Times New Roman"/>
          <w:b/>
          <w:sz w:val="20"/>
        </w:rPr>
      </w:pPr>
      <w:r>
        <w:rPr>
          <w:rFonts w:ascii="Times New Roman" w:hAnsi="Times New Roman"/>
          <w:b/>
          <w:sz w:val="20"/>
        </w:rPr>
        <w:t xml:space="preserve">[Insert the Restricted Notes Legend if applicable pursuant to the provisions of the Indenture] </w:t>
      </w:r>
    </w:p>
    <w:p>
      <w:pPr>
        <w:pStyle w:val="TextBody"/>
        <w:bidi w:val="0"/>
        <w:spacing w:before="48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82"/>
        <w:gridCol w:w="111"/>
        <w:gridCol w:w="1957"/>
        <w:gridCol w:w="111"/>
        <w:gridCol w:w="1957"/>
        <w:gridCol w:w="111"/>
        <w:gridCol w:w="1957"/>
        <w:gridCol w:w="125"/>
        <w:gridCol w:w="1794"/>
      </w:tblGrid>
      <w:tr>
        <w:trPr/>
        <w:tc>
          <w:tcPr>
            <w:tcW w:w="2082"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r>
      <w:tr>
        <w:trPr/>
        <w:tc>
          <w:tcPr>
            <w:tcW w:w="2082" w:type="dxa"/>
            <w:tcBorders/>
          </w:tcPr>
          <w:p>
            <w:pPr>
              <w:pStyle w:val="TableContents"/>
              <w:bidi w:val="0"/>
              <w:spacing w:before="0" w:after="283"/>
              <w:jc w:val="left"/>
              <w:rPr/>
            </w:pPr>
            <w:r>
              <w:rPr/>
              <w:t xml:space="preserve">No. </w:t>
            </w:r>
            <w:r>
              <w:rPr>
                <w:u w:val="single"/>
              </w:rPr>
              <w:t>    </w:t>
            </w:r>
          </w:p>
        </w:tc>
        <w:tc>
          <w:tcPr>
            <w:tcW w:w="111"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283"/>
              <w:jc w:val="right"/>
              <w:rPr/>
            </w:pPr>
            <w:r>
              <w:rPr/>
              <w:t>$</w:t>
            </w:r>
          </w:p>
        </w:tc>
      </w:tr>
      <w:tr>
        <w:trPr/>
        <w:tc>
          <w:tcPr>
            <w:tcW w:w="2082"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pPr>
            <w:r>
              <w:rPr/>
              <w:t> </w:t>
            </w:r>
          </w:p>
        </w:tc>
        <w:tc>
          <w:tcPr>
            <w:tcW w:w="1957"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794" w:type="dxa"/>
            <w:tcBorders/>
          </w:tcPr>
          <w:p>
            <w:pPr>
              <w:pStyle w:val="TableContents"/>
              <w:bidi w:val="0"/>
              <w:spacing w:before="0" w:after="0"/>
              <w:jc w:val="left"/>
              <w:rPr>
                <w:rFonts w:ascii="Times New Roman" w:hAnsi="Times New Roman"/>
                <w:sz w:val="20"/>
              </w:rPr>
            </w:pPr>
            <w:r>
              <w:rPr>
                <w:rFonts w:ascii="Times New Roman" w:hAnsi="Times New Roman"/>
                <w:sz w:val="20"/>
              </w:rPr>
              <w:t>CUSIP No.</w:t>
            </w:r>
          </w:p>
          <w:p>
            <w:pPr>
              <w:pStyle w:val="TableContents"/>
              <w:bidi w:val="0"/>
              <w:spacing w:before="0" w:after="20"/>
              <w:jc w:val="left"/>
              <w:rPr>
                <w:rFonts w:ascii="Times New Roman" w:hAnsi="Times New Roman"/>
                <w:sz w:val="20"/>
              </w:rPr>
            </w:pPr>
            <w:r>
              <w:rPr>
                <w:rFonts w:ascii="Times New Roman" w:hAnsi="Times New Roman"/>
                <w:sz w:val="20"/>
              </w:rPr>
              <w:t>ISIN No.</w:t>
            </w:r>
          </w:p>
        </w:tc>
      </w:tr>
    </w:tbl>
    <w:p>
      <w:pPr>
        <w:pStyle w:val="TextBody"/>
        <w:bidi w:val="0"/>
        <w:spacing w:before="240" w:after="0"/>
        <w:jc w:val="center"/>
        <w:rPr>
          <w:rFonts w:ascii="Times New Roman" w:hAnsi="Times New Roman"/>
          <w:sz w:val="20"/>
        </w:rPr>
      </w:pPr>
      <w:r>
        <w:rPr>
          <w:rFonts w:ascii="Times New Roman" w:hAnsi="Times New Roman"/>
          <w:sz w:val="20"/>
        </w:rPr>
        <w:t xml:space="preserve">6.500% Notes due 2029 </w:t>
      </w:r>
    </w:p>
    <w:p>
      <w:pPr>
        <w:pStyle w:val="TextBody"/>
        <w:bidi w:val="0"/>
        <w:spacing w:before="240" w:after="0"/>
        <w:jc w:val="left"/>
        <w:rPr>
          <w:rFonts w:ascii="Times New Roman" w:hAnsi="Times New Roman"/>
          <w:sz w:val="20"/>
        </w:rPr>
      </w:pPr>
      <w:r>
        <w:rPr>
          <w:rFonts w:ascii="Times New Roman" w:hAnsi="Times New Roman"/>
          <w:sz w:val="20"/>
        </w:rPr>
        <w:t>Sixth Street Lending Partners, a Delaware statutory trust duly organized and existing under the laws of Delaware (herein called the </w:t>
      </w:r>
      <w:r>
        <w:rPr>
          <w:rFonts w:ascii="Times New Roman" w:hAnsi="Times New Roman"/>
          <w:sz w:val="20"/>
          <w:u w:val="single"/>
        </w:rPr>
        <w:t>Company</w:t>
      </w:r>
      <w:r>
        <w:rPr>
          <w:rFonts w:ascii="Times New Roman" w:hAnsi="Times New Roman"/>
          <w:sz w:val="20"/>
        </w:rPr>
        <w:t xml:space="preserve">, which term includes any successor Person under the Indenture hereinafter referred to), for value received, hereby promises to pay to Cede &amp; Co., or registered assigns, the principal sum of </w:t>
      </w:r>
      <w:r>
        <w:rPr>
          <w:rFonts w:ascii="Times New Roman" w:hAnsi="Times New Roman"/>
          <w:sz w:val="20"/>
          <w:u w:val="single"/>
        </w:rPr>
        <w:t>   </w:t>
      </w:r>
      <w:r>
        <w:rPr>
          <w:rFonts w:ascii="Times New Roman" w:hAnsi="Times New Roman"/>
          <w:sz w:val="20"/>
        </w:rPr>
        <w:t xml:space="preserve"> (U.S. $</w:t>
      </w:r>
      <w:r>
        <w:rPr>
          <w:rFonts w:ascii="Times New Roman" w:hAnsi="Times New Roman"/>
          <w:sz w:val="20"/>
          <w:u w:val="single"/>
        </w:rPr>
        <w:t xml:space="preserve">    </w:t>
      </w:r>
      <w:r>
        <w:rPr>
          <w:rFonts w:ascii="Times New Roman" w:hAnsi="Times New Roman"/>
          <w:sz w:val="20"/>
        </w:rPr>
        <w:t xml:space="preserve">) on March 11, 2029 and to pay interest thereon from March 11, 2024, or from the most recent Interest Payment Date to which interest has been paid or duly provided for, semi-annually on March 11 and September 11 of each year, commencing September 11, 2024, at the rate of 6.500% per annum, until the principal hereof is paid or made available for payment. The interest so payable, and punctually paid or duly provided for, on any Interest Payment Date will, as provided in such Indenture, be paid to the Person in whose name this Security is registered at 5:00 p.m. New York City time (the close of business) on the Regular Record Date for such interest, which shall be February 25 and August 27 (whether or not a Business Day), as the case may be, immediately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Company,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 </w:t>
      </w:r>
    </w:p>
    <w:p>
      <w:pPr>
        <w:pStyle w:val="TextBody"/>
        <w:bidi w:val="0"/>
        <w:spacing w:before="240" w:after="0"/>
        <w:jc w:val="left"/>
        <w:rPr>
          <w:rFonts w:ascii="Times New Roman" w:hAnsi="Times New Roman"/>
          <w:sz w:val="20"/>
        </w:rPr>
      </w:pPr>
      <w:r>
        <w:rPr>
          <w:rFonts w:ascii="Times New Roman" w:hAnsi="Times New Roman"/>
          <w:sz w:val="20"/>
        </w:rPr>
        <w:t xml:space="preserve">Payment of the principal of (and premium, if any, on) and any such interest on this Security will be made at the office of the Trustee located at 100 Wall Street, New York, NY 10005 and at such other address as designated by the Trustee, in such coin or currency of the United States of America as at the time of payment is legal tender for payment of public and private debts;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at the option of the Company payment of interest may be made by check mailed to the address of the Person entitled thereto as such address shall appear in the Security Register;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so long as this Security is registered to Cede &amp; Co., such payment will be made by wire transfer in accordance with the procedures established by The Depository Trust Company and the Trustee. </w:t>
      </w:r>
    </w:p>
    <w:p>
      <w:pPr>
        <w:pStyle w:val="TextBody"/>
        <w:bidi w:val="0"/>
        <w:spacing w:before="240" w:after="0"/>
        <w:jc w:val="left"/>
        <w:rPr>
          <w:rFonts w:ascii="Times New Roman" w:hAnsi="Times New Roman"/>
          <w:sz w:val="20"/>
        </w:rPr>
      </w:pPr>
      <w:r>
        <w:rPr>
          <w:rFonts w:ascii="Times New Roman" w:hAnsi="Times New Roman"/>
          <w:sz w:val="20"/>
        </w:rPr>
        <w:t xml:space="preserve">Reference is hereby made to the further provisions of this Security set forth on the reverse hereof, which further provisions shall for all purposes have the same effect as if set forth at this place.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certificate of authentication hereon has been executed by the Trustee referred to on the reverse hereof by manual signature, this Security shall not be entitled to any benefit under the Indenture or be valid or obligatory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the Company has caused this instrument to be duly executed. </w:t>
      </w:r>
    </w:p>
    <w:p>
      <w:pPr>
        <w:pStyle w:val="TextBody"/>
        <w:bidi w:val="0"/>
        <w:spacing w:before="120" w:after="0"/>
        <w:jc w:val="left"/>
        <w:rPr>
          <w:rFonts w:ascii="Times New Roman" w:hAnsi="Times New Roman"/>
          <w:sz w:val="20"/>
        </w:rPr>
      </w:pPr>
      <w:r>
        <w:rPr>
          <w:rFonts w:ascii="Times New Roman" w:hAnsi="Times New Roman"/>
          <w:sz w:val="20"/>
        </w:rPr>
        <w:t xml:space="preserve">Dated: March 11,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1"/>
        <w:gridCol w:w="61"/>
        <w:gridCol w:w="3660"/>
      </w:tblGrid>
      <w:tr>
        <w:trPr/>
        <w:tc>
          <w:tcPr>
            <w:tcW w:w="361"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6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SIXTH STREET LENDING PARTNERS</w:t>
            </w:r>
          </w:p>
        </w:tc>
      </w:tr>
      <w:tr>
        <w:trPr>
          <w:trHeight w:val="240" w:hRule="atLeast"/>
        </w:trPr>
        <w:tc>
          <w:tcPr>
            <w:tcW w:w="361" w:type="dxa"/>
            <w:tcBorders/>
            <w:vAlign w:val="center"/>
          </w:tcPr>
          <w:p>
            <w:pPr>
              <w:pStyle w:val="TableContents"/>
              <w:bidi w:val="0"/>
              <w:spacing w:before="0" w:after="283"/>
              <w:jc w:val="left"/>
              <w:rPr>
                <w:sz w:val="4"/>
                <w:szCs w:val="4"/>
              </w:rPr>
            </w:pPr>
            <w:r>
              <w:rPr>
                <w:sz w:val="4"/>
                <w:szCs w:val="4"/>
              </w:rPr>
            </w:r>
          </w:p>
        </w:tc>
        <w:tc>
          <w:tcPr>
            <w:tcW w:w="3721" w:type="dxa"/>
            <w:gridSpan w:val="2"/>
            <w:tcBorders/>
            <w:vAlign w:val="center"/>
          </w:tcPr>
          <w:p>
            <w:pPr>
              <w:pStyle w:val="TableContents"/>
              <w:bidi w:val="0"/>
              <w:spacing w:before="0" w:after="283"/>
              <w:jc w:val="left"/>
              <w:rPr>
                <w:sz w:val="4"/>
                <w:szCs w:val="4"/>
              </w:rPr>
            </w:pPr>
            <w:r>
              <w:rPr>
                <w:sz w:val="4"/>
                <w:szCs w:val="4"/>
              </w:rPr>
            </w:r>
          </w:p>
        </w:tc>
      </w:tr>
      <w:tr>
        <w:trPr/>
        <w:tc>
          <w:tcPr>
            <w:tcW w:w="361"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c>
          <w:tcPr>
            <w:tcW w:w="3660" w:type="dxa"/>
            <w:tcBorders>
              <w:bottom w:val="single" w:sz="2" w:space="0" w:color="000000"/>
            </w:tcBorders>
            <w:tcMar>
              <w:bottom w:w="28" w:type="dxa"/>
            </w:tcMar>
          </w:tcPr>
          <w:p>
            <w:pPr>
              <w:pStyle w:val="TableContents"/>
              <w:bidi w:val="0"/>
              <w:spacing w:before="0" w:after="283"/>
              <w:jc w:val="left"/>
              <w:rPr/>
            </w:pPr>
            <w:r>
              <w:rPr/>
              <w:t> </w:t>
            </w:r>
          </w:p>
        </w:tc>
      </w:tr>
      <w:tr>
        <w:trPr/>
        <w:tc>
          <w:tcPr>
            <w:tcW w:w="36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Name: Ian T. Simmonds</w:t>
            </w:r>
          </w:p>
        </w:tc>
      </w:tr>
      <w:tr>
        <w:trPr/>
        <w:tc>
          <w:tcPr>
            <w:tcW w:w="361"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60" w:type="dxa"/>
            <w:tcBorders/>
          </w:tcPr>
          <w:p>
            <w:pPr>
              <w:pStyle w:val="TableContents"/>
              <w:bidi w:val="0"/>
              <w:spacing w:before="0" w:after="0"/>
              <w:jc w:val="left"/>
              <w:rPr>
                <w:rFonts w:ascii="Times New Roman" w:hAnsi="Times New Roman"/>
                <w:sz w:val="20"/>
              </w:rPr>
            </w:pPr>
            <w:r>
              <w:rPr>
                <w:rFonts w:ascii="Times New Roman" w:hAnsi="Times New Roman"/>
                <w:sz w:val="20"/>
              </w:rPr>
              <w:t>Title: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is one of the Securities of the series designated therein referred to in the within-mentioned Indenture. </w:t>
      </w:r>
    </w:p>
    <w:p>
      <w:pPr>
        <w:pStyle w:val="TextBody"/>
        <w:bidi w:val="0"/>
        <w:spacing w:before="240" w:after="0"/>
        <w:jc w:val="left"/>
        <w:rPr>
          <w:rFonts w:ascii="Times New Roman" w:hAnsi="Times New Roman"/>
          <w:sz w:val="20"/>
        </w:rPr>
      </w:pPr>
      <w:r>
        <w:rPr>
          <w:rFonts w:ascii="Times New Roman" w:hAnsi="Times New Roman"/>
          <w:sz w:val="20"/>
        </w:rPr>
        <w:t xml:space="preserve">Dated: March 11,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89"/>
        <w:gridCol w:w="210"/>
        <w:gridCol w:w="2883"/>
      </w:tblGrid>
      <w:tr>
        <w:trPr/>
        <w:tc>
          <w:tcPr>
            <w:tcW w:w="989" w:type="dxa"/>
            <w:tcBorders/>
            <w:vAlign w:val="center"/>
          </w:tcPr>
          <w:p>
            <w:pPr>
              <w:pStyle w:val="TableContents"/>
              <w:bidi w:val="0"/>
              <w:spacing w:before="0" w:after="283"/>
              <w:jc w:val="left"/>
              <w:rPr>
                <w:sz w:val="4"/>
                <w:szCs w:val="4"/>
              </w:rPr>
            </w:pPr>
            <w:r>
              <w:rPr>
                <w:sz w:val="4"/>
                <w:szCs w:val="4"/>
              </w:rPr>
            </w:r>
          </w:p>
        </w:tc>
        <w:tc>
          <w:tcPr>
            <w:tcW w:w="210" w:type="dxa"/>
            <w:tcBorders/>
            <w:vAlign w:val="bottom"/>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U.S. BANK TRUST COMPANY, NATIONAL ASSOCIATION, as Trustee</w:t>
            </w:r>
          </w:p>
        </w:tc>
      </w:tr>
      <w:tr>
        <w:trPr>
          <w:trHeight w:val="240" w:hRule="atLeast"/>
        </w:trPr>
        <w:tc>
          <w:tcPr>
            <w:tcW w:w="989" w:type="dxa"/>
            <w:tcBorders/>
            <w:vAlign w:val="center"/>
          </w:tcPr>
          <w:p>
            <w:pPr>
              <w:pStyle w:val="TableContents"/>
              <w:bidi w:val="0"/>
              <w:spacing w:before="0" w:after="283"/>
              <w:jc w:val="left"/>
              <w:rPr>
                <w:sz w:val="4"/>
                <w:szCs w:val="4"/>
              </w:rPr>
            </w:pPr>
            <w:r>
              <w:rPr>
                <w:sz w:val="4"/>
                <w:szCs w:val="4"/>
              </w:rPr>
            </w:r>
          </w:p>
        </w:tc>
        <w:tc>
          <w:tcPr>
            <w:tcW w:w="3093" w:type="dxa"/>
            <w:gridSpan w:val="2"/>
            <w:tcBorders/>
            <w:vAlign w:val="center"/>
          </w:tcPr>
          <w:p>
            <w:pPr>
              <w:pStyle w:val="TableContents"/>
              <w:bidi w:val="0"/>
              <w:spacing w:before="0" w:after="283"/>
              <w:jc w:val="left"/>
              <w:rPr>
                <w:sz w:val="4"/>
                <w:szCs w:val="4"/>
              </w:rPr>
            </w:pPr>
            <w:r>
              <w:rPr>
                <w:sz w:val="4"/>
                <w:szCs w:val="4"/>
              </w:rPr>
            </w:r>
          </w:p>
        </w:tc>
      </w:tr>
      <w:tr>
        <w:trPr/>
        <w:tc>
          <w:tcPr>
            <w:tcW w:w="989"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10" w:type="dxa"/>
            <w:tcBorders>
              <w:bottom w:val="single" w:sz="2" w:space="0" w:color="000000"/>
            </w:tcBorders>
            <w:tcMar>
              <w:bottom w:w="28" w:type="dxa"/>
            </w:tcMar>
            <w:vAlign w:val="bottom"/>
          </w:tcPr>
          <w:p>
            <w:pPr>
              <w:pStyle w:val="TableContents"/>
              <w:bidi w:val="0"/>
              <w:spacing w:before="0" w:after="283"/>
              <w:jc w:val="left"/>
              <w:rPr/>
            </w:pPr>
            <w:r>
              <w:rPr/>
              <w:t> </w:t>
            </w:r>
          </w:p>
        </w:tc>
        <w:tc>
          <w:tcPr>
            <w:tcW w:w="2883" w:type="dxa"/>
            <w:tcBorders>
              <w:bottom w:val="single" w:sz="2" w:space="0" w:color="000000"/>
            </w:tcBorders>
            <w:tcMar>
              <w:bottom w:w="28" w:type="dxa"/>
            </w:tcMar>
          </w:tcPr>
          <w:p>
            <w:pPr>
              <w:pStyle w:val="TableContents"/>
              <w:bidi w:val="0"/>
              <w:spacing w:before="0" w:after="283"/>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Authorized Signatory</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[BACK OF NOTE] </w:t>
      </w:r>
    </w:p>
    <w:p>
      <w:pPr>
        <w:pStyle w:val="TextBody"/>
        <w:bidi w:val="0"/>
        <w:spacing w:before="12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120" w:after="0"/>
        <w:jc w:val="center"/>
        <w:rPr>
          <w:rFonts w:ascii="Times New Roman" w:hAnsi="Times New Roman"/>
          <w:sz w:val="20"/>
        </w:rPr>
      </w:pPr>
      <w:r>
        <w:rPr>
          <w:rFonts w:ascii="Times New Roman" w:hAnsi="Times New Roman"/>
          <w:sz w:val="20"/>
        </w:rPr>
        <w:t xml:space="preserve">6.500% Notes due 2029 </w:t>
      </w:r>
    </w:p>
    <w:p>
      <w:pPr>
        <w:pStyle w:val="TextBody"/>
        <w:bidi w:val="0"/>
        <w:spacing w:before="240" w:after="0"/>
        <w:jc w:val="left"/>
        <w:rPr>
          <w:rFonts w:ascii="Times New Roman" w:hAnsi="Times New Roman"/>
          <w:sz w:val="20"/>
        </w:rPr>
      </w:pPr>
      <w:r>
        <w:rPr>
          <w:rFonts w:ascii="Times New Roman" w:hAnsi="Times New Roman"/>
          <w:sz w:val="20"/>
        </w:rPr>
        <w:t>This Security is one of a duly authorized issue of securities of the Company (herein called the </w:t>
      </w:r>
      <w:r>
        <w:rPr>
          <w:rFonts w:ascii="Times New Roman" w:hAnsi="Times New Roman"/>
          <w:sz w:val="20"/>
          <w:u w:val="single"/>
        </w:rPr>
        <w:t>Securities</w:t>
      </w:r>
      <w:r>
        <w:rPr>
          <w:rFonts w:ascii="Times New Roman" w:hAnsi="Times New Roman"/>
          <w:sz w:val="20"/>
        </w:rPr>
        <w:t>), issued and to be issued in one or more series under an Indenture, dated as of March 11, 2024 (herein called the </w:t>
      </w:r>
      <w:r>
        <w:rPr>
          <w:rFonts w:ascii="Times New Roman" w:hAnsi="Times New Roman"/>
          <w:sz w:val="20"/>
          <w:u w:val="single"/>
        </w:rPr>
        <w:t>Base Indenture</w:t>
      </w:r>
      <w:r>
        <w:rPr>
          <w:rFonts w:ascii="Times New Roman" w:hAnsi="Times New Roman"/>
          <w:sz w:val="20"/>
        </w:rPr>
        <w:t>, which term shall have the meaning assigned to it in such instrument), between the Company and U.S. Bank Trust Company, National Association, as Trustee (herein called the </w:t>
      </w:r>
      <w:r>
        <w:rPr>
          <w:rFonts w:ascii="Times New Roman" w:hAnsi="Times New Roman"/>
          <w:sz w:val="20"/>
          <w:u w:val="single"/>
        </w:rPr>
        <w:t>Trustee</w:t>
      </w:r>
      <w:r>
        <w:rPr>
          <w:rFonts w:ascii="Times New Roman" w:hAnsi="Times New Roman"/>
          <w:sz w:val="20"/>
        </w:rPr>
        <w:t>, which term includes any successor trustee under the Base Indenture), and reference is hereby made to the Base Indenture for a statement of the respective rights, limitations of rights, duties and immunities thereunder of the Company, the Trustee</w:t>
      </w:r>
      <w:r>
        <w:rPr>
          <w:rFonts w:ascii="Times New Roman" w:hAnsi="Times New Roman"/>
          <w:b/>
          <w:sz w:val="20"/>
        </w:rPr>
        <w:t xml:space="preserve">, </w:t>
      </w:r>
      <w:r>
        <w:rPr>
          <w:rFonts w:ascii="Times New Roman" w:hAnsi="Times New Roman"/>
          <w:sz w:val="20"/>
        </w:rPr>
        <w:t>and the Holders of the Securities and of the terms upon which the Securities are, and are to be, authenticated and delivered, as amended and supplemented by the First Supplemental Indenture, relating to the Securities, dated as of March 11, 2024, by and between the Company and the Trustee (herein called the </w:t>
      </w:r>
      <w:r>
        <w:rPr>
          <w:rFonts w:ascii="Times New Roman" w:hAnsi="Times New Roman"/>
          <w:sz w:val="20"/>
          <w:u w:val="single"/>
        </w:rPr>
        <w:t>First Supplemental Indenture</w:t>
      </w:r>
      <w:r>
        <w:rPr>
          <w:rFonts w:ascii="Times New Roman" w:hAnsi="Times New Roman"/>
          <w:sz w:val="20"/>
        </w:rPr>
        <w:t>, and the First Supplemental Indenture and the Base Indenture collectively are herein called the </w:t>
      </w:r>
      <w:r>
        <w:rPr>
          <w:rFonts w:ascii="Times New Roman" w:hAnsi="Times New Roman"/>
          <w:sz w:val="20"/>
          <w:u w:val="single"/>
        </w:rPr>
        <w:t>Indenture</w:t>
      </w:r>
      <w:r>
        <w:rPr>
          <w:rFonts w:ascii="Times New Roman" w:hAnsi="Times New Roman"/>
          <w:sz w:val="20"/>
        </w:rPr>
        <w:t xml:space="preserve">). In the event of any conflict between the Base Indenture and the First Supplemental Indenture, the First Supplemental Indenture shall govern and control. </w:t>
      </w:r>
    </w:p>
    <w:p>
      <w:pPr>
        <w:pStyle w:val="TextBody"/>
        <w:bidi w:val="0"/>
        <w:spacing w:before="240" w:after="0"/>
        <w:jc w:val="left"/>
        <w:rPr>
          <w:rFonts w:ascii="Times New Roman" w:hAnsi="Times New Roman"/>
          <w:sz w:val="20"/>
        </w:rPr>
      </w:pPr>
      <w:r>
        <w:rPr>
          <w:rFonts w:ascii="Times New Roman" w:hAnsi="Times New Roman"/>
          <w:sz w:val="20"/>
        </w:rPr>
        <w:t>This Security is one of the series designated on the face hereof, initially limited in aggregate principal amount to $___. Under a Board Resolution, Officers Certificate pursuant to Board Resolutions or an indenture supplement, the Company may from time to time, without the consent of the Holders of Securities, issue additional Securities of this series (in any such case </w:t>
      </w:r>
      <w:r>
        <w:rPr>
          <w:rFonts w:ascii="Times New Roman" w:hAnsi="Times New Roman"/>
          <w:sz w:val="20"/>
          <w:u w:val="single"/>
        </w:rPr>
        <w:t>Additional Securities</w:t>
      </w:r>
      <w:r>
        <w:rPr>
          <w:rFonts w:ascii="Times New Roman" w:hAnsi="Times New Roman"/>
          <w:sz w:val="20"/>
        </w:rPr>
        <w:t xml:space="preserve">) having the same ranking and the same interest rate, maturity, CUSIP number and other terms as the Securities, provided that, such Additional Securities must either (i) be issued in a qualified reopening for U.S. federal income tax purposes, with no more than a de minimis amount of original issue discount, or otherwise (ii) be part of the same issue as the Securities for U.S. federal income tax purposes.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of this series are subject to redemption prior to February 11, 2029 (one month prior to the maturity of the Notes) (the Par Call Date) in whole or in part at any time or from time to time, at the option of the Company,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(A) (1) the sum of the present values of the remaining scheduled payments of principal and interest thereon discounted to the Redemption Date (assuming the Securities matured on the Par Call Date) on a semi-annual basis (assuming a 360-day year consisting of twelve 30-day months) at the Treasury Rate plus 40 basis points less (2)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(B) 100% of the principal amount of the Securities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at any time on or after the Par Call Date, the Company may redeem some or all of the Securities, at any time and from time to time, at a Redemption Price equal to 100% of the principal amount of the Securities to be redeemed plus accrued and unpaid interest thereon to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Treasury Rate means, with respect to any Redemption Date of the Notes, the yield determined by the Company in accordance with the following two paragraphs.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12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Actions and determinations made by the Company with respect to determining the Redemption Price shall be conclusive and binding for all purposes, absent manifest error.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shall be mailed or electronically delivered (or otherwise transmitted in accordance with the depositarys procedures) at least 10 days but not more than 60 days before the Redemption Date, to each Holder of the Securities to be redeemed, at the Holders address appearing in the Security Register. All notices of redemption shall contain the information set forth in Section 11.04 of the Base Indenture. </w:t>
      </w:r>
    </w:p>
    <w:p>
      <w:pPr>
        <w:pStyle w:val="TextBody"/>
        <w:bidi w:val="0"/>
        <w:spacing w:before="240" w:after="0"/>
        <w:jc w:val="left"/>
        <w:rPr>
          <w:rFonts w:ascii="Times New Roman" w:hAnsi="Times New Roman"/>
          <w:sz w:val="20"/>
        </w:rPr>
      </w:pPr>
      <w:r>
        <w:rPr>
          <w:rFonts w:ascii="Times New Roman" w:hAnsi="Times New Roman"/>
          <w:sz w:val="20"/>
        </w:rPr>
        <w:t xml:space="preserve">Any exercise of the Companys option to redeem the Securities will be done in compliance with the Investment Company Act, to the extent applicable. </w:t>
      </w:r>
    </w:p>
    <w:p>
      <w:pPr>
        <w:pStyle w:val="TextBody"/>
        <w:bidi w:val="0"/>
        <w:spacing w:before="240" w:after="0"/>
        <w:jc w:val="left"/>
        <w:rPr>
          <w:rFonts w:ascii="Times New Roman" w:hAnsi="Times New Roman"/>
          <w:sz w:val="20"/>
        </w:rPr>
      </w:pPr>
      <w:r>
        <w:rPr>
          <w:rFonts w:ascii="Times New Roman" w:hAnsi="Times New Roman"/>
          <w:sz w:val="20"/>
        </w:rPr>
        <w:t xml:space="preserve">If the Company elects to redeem only a portion of the Securities, selection of the particular Securities for redemption shall be made pro rata, by lot or by such other method as the Trustee deems appropriate and fair with the prior written consent of the Company. No Securities of a principal amount of $2,000 or less will be redeemed in part. If any Security is to be redeemed in part only, the notice of redemption that relates to the Security will state the portion of the principal amount of the Security to be redeemed. A new security in a principal amount equal to the unredeemed portion of the Security will be issued in the name of the holder of the Security upon surrender for cancellation of the original Security. For so long as the Securities are held by DTC, Euroclear or Clearstream (or another depositary), the redemption of the Securities shall be done in accordance with the policies and procedures of the depositary.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Unless the Company defaults in payment of the Redemption Price, on and after the Redemption Date, interest will cease to accrue on the Securities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Holders will have the right to require the Company to repurchase their Securities upon the occurrence of a Change of Control Repurchase Event as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contains provisions for defeasance at any time of the entire indebtedness of this Security or certain restrictive covenants and Events of Default with respect to this Security, in each case upon compliance with certain conditions set forth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and Additional Interest on the Securities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 </w:t>
      </w:r>
    </w:p>
    <w:p>
      <w:pPr>
        <w:pStyle w:val="TextBody"/>
        <w:bidi w:val="0"/>
        <w:spacing w:before="240" w:after="0"/>
        <w:jc w:val="left"/>
        <w:rPr>
          <w:rFonts w:ascii="Times New Roman" w:hAnsi="Times New Roman"/>
          <w:sz w:val="20"/>
        </w:rPr>
      </w:pPr>
      <w:r>
        <w:rPr>
          <w:rFonts w:ascii="Times New Roman" w:hAnsi="Times New Roman"/>
          <w:sz w:val="20"/>
        </w:rPr>
        <w:t xml:space="preserve">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 </w:t>
      </w:r>
    </w:p>
    <w:p>
      <w:pPr>
        <w:pStyle w:val="TextBody"/>
        <w:bidi w:val="0"/>
        <w:spacing w:before="240" w:after="0"/>
        <w:jc w:val="left"/>
        <w:rPr>
          <w:rFonts w:ascii="Times New Roman" w:hAnsi="Times New Roman"/>
          <w:sz w:val="20"/>
        </w:rPr>
      </w:pPr>
      <w:r>
        <w:rPr>
          <w:rFonts w:ascii="Times New Roman" w:hAnsi="Times New Roman"/>
          <w:sz w:val="20"/>
        </w:rPr>
        <w:t xml:space="preserve">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 </w:t>
      </w:r>
    </w:p>
    <w:p>
      <w:pPr>
        <w:pStyle w:val="TextBody"/>
        <w:bidi w:val="0"/>
        <w:spacing w:before="240" w:after="0"/>
        <w:jc w:val="left"/>
        <w:rPr>
          <w:rFonts w:ascii="Times New Roman" w:hAnsi="Times New Roman"/>
          <w:sz w:val="20"/>
        </w:rPr>
      </w:pPr>
      <w:r>
        <w:rPr>
          <w:rFonts w:ascii="Times New Roman" w:hAnsi="Times New Roman"/>
          <w:sz w:val="20"/>
        </w:rPr>
        <w:t xml:space="preserve">No service charge shall be made for any such registration of transfer or exchange, but the Company or Trustee may require payment of a sum sufficient to cover any tax or other governmental charge payable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 </w:t>
      </w:r>
    </w:p>
    <w:p>
      <w:pPr>
        <w:pStyle w:val="TextBody"/>
        <w:bidi w:val="0"/>
        <w:spacing w:before="240" w:after="0"/>
        <w:jc w:val="left"/>
        <w:rPr>
          <w:rFonts w:ascii="Times New Roman" w:hAnsi="Times New Roman"/>
          <w:sz w:val="20"/>
        </w:rPr>
      </w:pPr>
      <w:r>
        <w:rPr>
          <w:rFonts w:ascii="Times New Roman" w:hAnsi="Times New Roman"/>
          <w:sz w:val="20"/>
        </w:rPr>
        <w:t xml:space="preserve">All terms used in this Security which are defined in the Indenture shall have the meanings assigned to them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To the extent any provision of this Security conflicts with the express provisions of the Indenture, the provisions of the Indenture shall govern and be controlling.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this Security shall be governed by and construed in accordance with the laws of the State of New York, without regard to principles of conflicts of laws.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this Note shall be entitled to the benefits of a Registration Rights Agreement, dated as of the Issue Date, among the Company and BofA Securities, Inc., as representative of the Initial Purchasers.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SCHEDULE OF EXCHANGES OF INTERESTS IN THE GLOBAL NOTE </w:t>
      </w:r>
    </w:p>
    <w:p>
      <w:pPr>
        <w:pStyle w:val="TextBody"/>
        <w:bidi w:val="0"/>
        <w:spacing w:before="240" w:after="0"/>
        <w:jc w:val="left"/>
        <w:rPr>
          <w:rFonts w:ascii="Times New Roman" w:hAnsi="Times New Roman"/>
          <w:sz w:val="20"/>
        </w:rPr>
      </w:pPr>
      <w:r>
        <w:rPr>
          <w:rFonts w:ascii="Times New Roman" w:hAnsi="Times New Roman"/>
          <w:sz w:val="20"/>
        </w:rPr>
        <w:t>The initial outstanding principal amount of this Global Note is $</w:t>
      </w:r>
      <w:r>
        <w:rPr>
          <w:rFonts w:ascii="Times New Roman" w:hAnsi="Times New Roman"/>
          <w:sz w:val="20"/>
          <w:u w:val="single"/>
        </w:rPr>
        <w:t xml:space="preserve"> </w:t>
      </w:r>
      <w:r>
        <w:rPr>
          <w:rFonts w:ascii="Times New Roman" w:hAnsi="Times New Roman"/>
          <w:sz w:val="20"/>
        </w:rPr>
        <w:t xml:space="preserve">. The following exchanges of a part of this Global Note for an interest in another Global Note or for a Definitive Note, or exchanges of a part of another Global Note or Definitive Note for an interest in this Global Note, have been made: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519"/>
        <w:gridCol w:w="581"/>
        <w:gridCol w:w="1340"/>
        <w:gridCol w:w="582"/>
        <w:gridCol w:w="1340"/>
        <w:gridCol w:w="581"/>
        <w:gridCol w:w="1445"/>
        <w:gridCol w:w="581"/>
        <w:gridCol w:w="1236"/>
      </w:tblGrid>
      <w:tr>
        <w:trPr/>
        <w:tc>
          <w:tcPr>
            <w:tcW w:w="2519"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582" w:type="dxa"/>
            <w:tcBorders/>
            <w:vAlign w:val="bottom"/>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581" w:type="dxa"/>
            <w:tcBorders/>
            <w:vAlign w:val="bottom"/>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2519"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Date of</w:t>
              <w:br/>
              <w:t>Exchange</w:t>
            </w:r>
          </w:p>
        </w:tc>
        <w:tc>
          <w:tcPr>
            <w:tcW w:w="581"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decrease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 this Global Note</w:t>
            </w:r>
          </w:p>
        </w:tc>
        <w:tc>
          <w:tcPr>
            <w:tcW w:w="582" w:type="dxa"/>
            <w:tcBorders/>
            <w:vAlign w:val="bottom"/>
          </w:tcPr>
          <w:p>
            <w:pPr>
              <w:pStyle w:val="TableContents"/>
              <w:bidi w:val="0"/>
              <w:spacing w:before="0" w:after="283"/>
              <w:jc w:val="left"/>
              <w:rPr/>
            </w:pPr>
            <w:r>
              <w:rPr/>
              <w:t>  </w:t>
            </w:r>
          </w:p>
        </w:tc>
        <w:tc>
          <w:tcPr>
            <w:tcW w:w="1340" w:type="dxa"/>
            <w:tcBorders/>
            <w:vAlign w:val="bottom"/>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0"/>
              <w:jc w:val="center"/>
              <w:rPr>
                <w:rFonts w:ascii="Times New Roman" w:hAnsi="Times New Roman"/>
                <w:sz w:val="16"/>
              </w:rPr>
            </w:pPr>
            <w:r>
              <w:rPr>
                <w:rFonts w:ascii="Times New Roman" w:hAnsi="Times New Roman"/>
                <w:sz w:val="16"/>
              </w:rPr>
              <w:t>increase in</w:t>
            </w:r>
          </w:p>
          <w:p>
            <w:pPr>
              <w:pStyle w:val="TableContents"/>
              <w:bidi w:val="0"/>
              <w:spacing w:before="0" w:after="0"/>
              <w:jc w:val="center"/>
              <w:rPr>
                <w:rFonts w:ascii="Times New Roman" w:hAnsi="Times New Roman"/>
                <w:sz w:val="16"/>
              </w:rPr>
            </w:pPr>
            <w:r>
              <w:rPr>
                <w:rFonts w:ascii="Times New Roman" w:hAnsi="Times New Roman"/>
                <w:sz w:val="16"/>
              </w:rPr>
              <w:t>Principal Amount</w:t>
            </w:r>
          </w:p>
          <w:p>
            <w:pPr>
              <w:pStyle w:val="TableContents"/>
              <w:pBdr>
                <w:bottom w:val="single" w:sz="8" w:space="1" w:color="000000"/>
              </w:pBdr>
              <w:bidi w:val="0"/>
              <w:spacing w:before="0" w:after="20"/>
              <w:jc w:val="center"/>
              <w:rPr>
                <w:rFonts w:ascii="Times New Roman" w:hAnsi="Times New Roman"/>
                <w:sz w:val="16"/>
              </w:rPr>
            </w:pPr>
            <w:r>
              <w:rPr>
                <w:rFonts w:ascii="Times New Roman" w:hAnsi="Times New Roman"/>
                <w:sz w:val="16"/>
              </w:rPr>
              <w:t>of this Global Note</w:t>
            </w:r>
          </w:p>
        </w:tc>
        <w:tc>
          <w:tcPr>
            <w:tcW w:w="581" w:type="dxa"/>
            <w:tcBorders/>
            <w:vAlign w:val="bottom"/>
          </w:tcPr>
          <w:p>
            <w:pPr>
              <w:pStyle w:val="TableContents"/>
              <w:bidi w:val="0"/>
              <w:spacing w:before="0" w:after="283"/>
              <w:jc w:val="left"/>
              <w:rPr/>
            </w:pPr>
            <w:r>
              <w:rPr/>
              <w:t>  </w:t>
            </w:r>
          </w:p>
        </w:tc>
        <w:tc>
          <w:tcPr>
            <w:tcW w:w="1445"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Principal Amount of</w:t>
              <w:br/>
              <w:t>this Global Note</w:t>
              <w:br/>
              <w:t>following such</w:t>
              <w:br/>
              <w:t>decrease (or</w:t>
              <w:br/>
              <w:t>increase)</w:t>
            </w:r>
          </w:p>
        </w:tc>
        <w:tc>
          <w:tcPr>
            <w:tcW w:w="581" w:type="dxa"/>
            <w:tcBorders/>
            <w:vAlign w:val="bottom"/>
          </w:tcPr>
          <w:p>
            <w:pPr>
              <w:pStyle w:val="TableContents"/>
              <w:bidi w:val="0"/>
              <w:spacing w:before="0" w:after="283"/>
              <w:jc w:val="left"/>
              <w:rPr/>
            </w:pPr>
            <w:r>
              <w:rPr/>
              <w:t>  </w:t>
            </w:r>
          </w:p>
        </w:tc>
        <w:tc>
          <w:tcPr>
            <w:tcW w:w="1236" w:type="dxa"/>
            <w:tcBorders/>
            <w:vAlign w:val="bottom"/>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Signature of</w:t>
              <w:br/>
              <w:t>authorized</w:t>
              <w:br/>
              <w:t>officer of Trustee</w:t>
              <w:br/>
              <w:t>or Note</w:t>
              <w:br/>
              <w:t>Custodian</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 Form of Certificate of Transfer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Ste 1500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Secretary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rFonts w:ascii="Times New Roman" w:hAnsi="Times New Roman"/>
          <w:sz w:val="20"/>
        </w:rPr>
      </w:pPr>
      <w:r>
        <w:rPr>
          <w:rFonts w:ascii="Times New Roman" w:hAnsi="Times New Roman"/>
          <w:sz w:val="20"/>
        </w:rPr>
        <w:t xml:space="preserve">100 Wall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10005 </w:t>
      </w:r>
    </w:p>
    <w:p>
      <w:pPr>
        <w:pStyle w:val="TextBody"/>
        <w:bidi w:val="0"/>
        <w:spacing w:before="0" w:after="0"/>
        <w:jc w:val="left"/>
        <w:rPr>
          <w:rFonts w:ascii="Times New Roman" w:hAnsi="Times New Roman"/>
          <w:sz w:val="20"/>
        </w:rPr>
      </w:pPr>
      <w:r>
        <w:rPr>
          <w:rFonts w:ascii="Times New Roman" w:hAnsi="Times New Roman"/>
          <w:sz w:val="20"/>
        </w:rPr>
        <w:t xml:space="preserve">Fax No.: (617) 603-6665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Services Re: 6.500% Notes due 2029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March 11, 2024, as supplemented by the First Supplemental Indenture, dated as of March 11, 2024 (together, the </w:t>
      </w:r>
      <w:r>
        <w:rPr>
          <w:rFonts w:ascii="Times New Roman" w:hAnsi="Times New Roman"/>
          <w:sz w:val="20"/>
          <w:u w:val="single"/>
        </w:rPr>
        <w:t>Indenture</w:t>
      </w:r>
      <w:r>
        <w:rPr>
          <w:rFonts w:ascii="Times New Roman" w:hAnsi="Times New Roman"/>
          <w:sz w:val="20"/>
        </w:rPr>
        <w:t>), between Sixth Street Lending Partners, as issuer (the </w:t>
      </w:r>
      <w:r>
        <w:rPr>
          <w:rFonts w:ascii="Times New Roman" w:hAnsi="Times New Roman"/>
          <w:sz w:val="20"/>
          <w:u w:val="single"/>
        </w:rPr>
        <w:t>Company</w:t>
      </w:r>
      <w:r>
        <w:rPr>
          <w:rFonts w:ascii="Times New Roman" w:hAnsi="Times New Roman"/>
          <w:sz w:val="20"/>
        </w:rPr>
        <w:t xml:space="preserve">), and U.S. Bank Trust Company, National Association, as trustee. Capitalized terms used but not defined herein shall have the meanings given to them in the Indenture. </w:t>
      </w:r>
    </w:p>
    <w:p>
      <w:pPr>
        <w:pStyle w:val="TextBody"/>
        <w:bidi w:val="0"/>
        <w:spacing w:before="240" w:after="0"/>
        <w:jc w:val="left"/>
        <w:rPr/>
      </w:pPr>
      <w:r>
        <w:rPr>
          <w:u w:val="single"/>
        </w:rPr>
        <w:t>       </w:t>
      </w:r>
      <w:r>
        <w:rPr>
          <w:rFonts w:ascii="Times New Roman" w:hAnsi="Times New Roman"/>
          <w:sz w:val="20"/>
        </w:rPr>
        <w:t>, (the </w:t>
      </w:r>
      <w:r>
        <w:rPr>
          <w:rFonts w:ascii="Times New Roman" w:hAnsi="Times New Roman"/>
          <w:sz w:val="20"/>
          <w:u w:val="single"/>
        </w:rPr>
        <w:t>Transferor</w:t>
      </w:r>
      <w:r>
        <w:rPr>
          <w:rFonts w:ascii="Times New Roman" w:hAnsi="Times New Roman"/>
          <w:sz w:val="20"/>
        </w:rPr>
        <w:t>) owns and proposes to transfer the Note[s] or interest in such Note[s] specified in Annex A hereto, in the principal amount of $</w:t>
      </w:r>
      <w:r>
        <w:rPr>
          <w:rFonts w:ascii="Times New Roman" w:hAnsi="Times New Roman"/>
          <w:sz w:val="20"/>
          <w:u w:val="single"/>
        </w:rPr>
        <w:t xml:space="preserve">    </w:t>
      </w:r>
      <w:r>
        <w:rPr>
          <w:rFonts w:ascii="Times New Roman" w:hAnsi="Times New Roman"/>
          <w:sz w:val="20"/>
        </w:rPr>
        <w:t xml:space="preserve">in such Note[s] or interests (the Transfer), to </w:t>
      </w:r>
      <w:r>
        <w:rPr>
          <w:rFonts w:ascii="Times New Roman" w:hAnsi="Times New Roman"/>
          <w:sz w:val="20"/>
          <w:u w:val="single"/>
        </w:rPr>
        <w:t>     </w:t>
      </w:r>
      <w:r>
        <w:rPr>
          <w:rFonts w:ascii="Times New Roman" w:hAnsi="Times New Roman"/>
          <w:sz w:val="20"/>
        </w:rPr>
        <w:t xml:space="preserve"> (the </w:t>
      </w:r>
      <w:r>
        <w:rPr>
          <w:rFonts w:ascii="Times New Roman" w:hAnsi="Times New Roman"/>
          <w:sz w:val="20"/>
          <w:u w:val="single"/>
        </w:rPr>
        <w:t>Transferee</w:t>
      </w:r>
      <w:r>
        <w:rPr>
          <w:rFonts w:ascii="Times New Roman" w:hAnsi="Times New Roman"/>
          <w:sz w:val="20"/>
        </w:rPr>
        <w:t xml:space="preserve">), as further specified in Annex A hereto. In connection with the Transfer, the Transferor hereby certifies that: </w:t>
      </w:r>
    </w:p>
    <w:p>
      <w:pPr>
        <w:pStyle w:val="TextBody"/>
        <w:bidi w:val="0"/>
        <w:spacing w:before="480" w:after="0"/>
        <w:jc w:val="center"/>
        <w:rPr>
          <w:rFonts w:ascii="Times New Roman" w:hAnsi="Times New Roman"/>
          <w:sz w:val="20"/>
        </w:rPr>
      </w:pPr>
      <w:r>
        <w:rPr>
          <w:rFonts w:ascii="Times New Roman" w:hAnsi="Times New Roman"/>
          <w:sz w:val="20"/>
        </w:rPr>
        <w:t xml:space="preserve">[CHECK ALL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90" w:type="dxa"/>
            <w:tcBorders/>
          </w:tcPr>
          <w:p>
            <w:pPr>
              <w:pStyle w:val="TableContents"/>
              <w:bidi w:val="0"/>
              <w:spacing w:before="0" w:after="0"/>
              <w:jc w:val="left"/>
              <w:rPr/>
            </w:pPr>
            <w:r>
              <w:rPr/>
              <w:t xml:space="preserve">☐ </w:t>
            </w:r>
            <w:r>
              <w:rPr>
                <w:rFonts w:ascii="Times New Roman" w:hAnsi="Times New Roman"/>
                <w:sz w:val="20"/>
              </w:rPr>
              <w:t>CHECK IF TRANSFEREE WILL TAKE DELIVERY OF A BENEFICIAL INTEREST IN THE 144A GLOBAL NOTE OR A DEFINITIVE NOTE PURSUANT TO RULE 144A. The Transfer is being effected pursuant to and in accordance with Rule 144A under the United States Securities Act of 1933, as amended (the </w:t>
            </w:r>
            <w:r>
              <w:rPr>
                <w:rFonts w:ascii="Times New Roman" w:hAnsi="Times New Roman"/>
                <w:sz w:val="20"/>
                <w:u w:val="single"/>
              </w:rPr>
              <w:t>Securities Act</w:t>
            </w:r>
            <w:r>
              <w:rPr>
                <w:rFonts w:ascii="Times New Roman" w:hAnsi="Times New Roman"/>
                <w:sz w:val="20"/>
              </w:rPr>
              <w:t xml:space="preserve">),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Restricted Notes Legend printed on the 144A Global Note and/or the Definitive Note and in the Indenture and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CHECK IF TRANSFEREE WILL TAKE DELIVERY OF A BENEFICIAL INTEREST IN THE REGULATION S GLOBAL NOTE OR DEFINITIVE NOTE PURSUANT TO REGULATION S.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and (iii) the transaction is not part of a plan or scheme to evade the registration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3"/>
        <w:gridCol w:w="9292"/>
      </w:tblGrid>
      <w:tr>
        <w:trPr/>
        <w:tc>
          <w:tcPr>
            <w:tcW w:w="913" w:type="dxa"/>
            <w:tcBorders/>
            <w:vAlign w:val="center"/>
          </w:tcPr>
          <w:p>
            <w:pPr>
              <w:pStyle w:val="TableContents"/>
              <w:bidi w:val="0"/>
              <w:spacing w:before="0" w:after="283"/>
              <w:jc w:val="left"/>
              <w:rPr/>
            </w:pPr>
            <w:r>
              <w:rPr/>
              <w:t> </w:t>
            </w:r>
          </w:p>
        </w:tc>
        <w:tc>
          <w:tcPr>
            <w:tcW w:w="9292" w:type="dxa"/>
            <w:tcBorders/>
          </w:tcPr>
          <w:p>
            <w:pPr>
              <w:pStyle w:val="TableContents"/>
              <w:bidi w:val="0"/>
              <w:spacing w:before="0" w:after="283"/>
              <w:jc w:val="left"/>
              <w:rPr/>
            </w:pPr>
            <w:r>
              <w:rPr/>
              <w:t xml:space="preserve">requirements of the Securities Act. Upon consummation of the proposed transfer in accordance with the terms of the Indenture, the transferred beneficial interest or Definitive Note will be subject to the restrictions on Transfer enumerated in the Restricted Notes Legend printed on the Regulation S Global Note and/or Definitive Note and in the Indenture and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CHECK AND COMPLETE IF TRANSFEREE WILL TAKE DELIVERY OF A BENEFICIAL INTEREST IN A GLOBAL NOTE OR A DEFINITIVE NOTE PURSUANT TO ANY PROVISION OF THE SECURITIES ACT OTHER THAN RULE 144A OR REGULATION S.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such Transfer is being effected to the Company or a subsidiary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4.</w:t>
            </w:r>
          </w:p>
        </w:tc>
        <w:tc>
          <w:tcPr>
            <w:tcW w:w="9292" w:type="dxa"/>
            <w:tcBorders/>
          </w:tcPr>
          <w:p>
            <w:pPr>
              <w:pStyle w:val="TableContents"/>
              <w:bidi w:val="0"/>
              <w:spacing w:before="0" w:after="0"/>
              <w:jc w:val="left"/>
              <w:rPr/>
            </w:pPr>
            <w:r>
              <w:rPr/>
              <w:t xml:space="preserve">☐ </w:t>
            </w:r>
            <w:r>
              <w:rPr>
                <w:rFonts w:ascii="Times New Roman" w:hAnsi="Times New Roman"/>
                <w:sz w:val="20"/>
              </w:rPr>
              <w:t xml:space="preserve">CHECK IF TRANSFEREE WILL TAKE DELIVERY OF A BENEFICIAL INTEREST IN AN UNRESTRICTED GLOBAL NOTE OR OF AN UNRESTRICTED DEFINITIVE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(a)</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CHECK IF TRANSFER IS PURSUANT TO RULE 144.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Restricted Global Notes, on Restricted Definitive Notes and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6"/>
        <w:gridCol w:w="8881"/>
      </w:tblGrid>
      <w:tr>
        <w:trPr/>
        <w:tc>
          <w:tcPr>
            <w:tcW w:w="918"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pPr>
            <w:r>
              <w:rPr/>
              <w:t>(b)</w:t>
            </w:r>
          </w:p>
        </w:tc>
        <w:tc>
          <w:tcPr>
            <w:tcW w:w="8881" w:type="dxa"/>
            <w:tcBorders/>
          </w:tcPr>
          <w:p>
            <w:pPr>
              <w:pStyle w:val="TableContents"/>
              <w:bidi w:val="0"/>
              <w:spacing w:before="0" w:after="0"/>
              <w:jc w:val="left"/>
              <w:rPr/>
            </w:pPr>
            <w:r>
              <w:rPr/>
              <w:t xml:space="preserve">☐ </w:t>
            </w:r>
            <w:r>
              <w:rPr>
                <w:rFonts w:ascii="Times New Roman" w:hAnsi="Times New Roman"/>
                <w:sz w:val="20"/>
              </w:rPr>
              <w:t xml:space="preserve">CHECK IF TRANSFER IS PURSUANT TO REGULATION S.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Restricted Notes Legend printed on the Restricted Global Notes, on Restricted Definitive Notes and in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(c)</w:t>
            </w:r>
          </w:p>
        </w:tc>
        <w:tc>
          <w:tcPr>
            <w:tcW w:w="8880" w:type="dxa"/>
            <w:tcBorders/>
          </w:tcPr>
          <w:p>
            <w:pPr>
              <w:pStyle w:val="TableContents"/>
              <w:bidi w:val="0"/>
              <w:spacing w:before="0" w:after="0"/>
              <w:jc w:val="left"/>
              <w:rPr/>
            </w:pPr>
            <w:r>
              <w:rPr/>
              <w:t xml:space="preserve">☐ </w:t>
            </w:r>
            <w:r>
              <w:rPr>
                <w:rFonts w:ascii="Times New Roman" w:hAnsi="Times New Roman"/>
                <w:sz w:val="20"/>
              </w:rPr>
              <w:t xml:space="preserve">CHECK IF TRANSFER IS PURSUANT TO OTHER EXEMPTION.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Restricted Notes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Restricted Notes Legend printed on the Restricted Global Notes or Restricted Definitive Notes and in the Indenture.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[Insert Name of Transferor]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Dated:</w:t>
      </w:r>
      <w:r>
        <w:rPr>
          <w:rFonts w:ascii="Times New Roman" w:hAnsi="Times New Roman"/>
          <w:sz w:val="20"/>
          <w:u w:val="single"/>
        </w:rPr>
        <w:t>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ANNEX A TO CERTIFICATE OF TRANSFER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Transferor owns and proposes to transfer the following: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pPr>
            <w:r>
              <w:rPr/>
              <w:t xml:space="preserve">☐ </w:t>
            </w:r>
            <w:r>
              <w:rPr>
                <w:rFonts w:ascii="Times New Roman" w:hAnsi="Times New Roman"/>
                <w:sz w:val="20"/>
              </w:rPr>
              <w:t>144A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pPr>
            <w:r>
              <w:rPr/>
              <w:t xml:space="preserve">☐ </w:t>
            </w:r>
            <w:r>
              <w:rPr>
                <w:rFonts w:ascii="Times New Roman" w:hAnsi="Times New Roman"/>
                <w:sz w:val="20"/>
              </w:rPr>
              <w:t>Regulation S Global Note (CUSIP</w:t>
            </w:r>
            <w:r>
              <w:rPr>
                <w:rFonts w:ascii="Times New Roman" w:hAnsi="Times New Roman"/>
                <w:sz w:val="20"/>
                <w:u w:val="single"/>
              </w:rPr>
              <w:t xml:space="preserve">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pPr>
            <w:r>
              <w:rPr/>
              <w:t xml:space="preserve">☐ </w:t>
            </w:r>
            <w:r>
              <w:rPr>
                <w:rFonts w:ascii="Times New Roman" w:hAnsi="Times New Roman"/>
                <w:sz w:val="20"/>
              </w:rPr>
              <w:t>Unrestricted Global Note (CUSIP</w:t>
            </w:r>
            <w:r>
              <w:rPr>
                <w:rFonts w:ascii="Times New Roman" w:hAnsi="Times New Roman"/>
                <w:sz w:val="20"/>
                <w:u w:val="single"/>
              </w:rPr>
              <w:t xml:space="preserve">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Transfer the Transferee will hold: </w:t>
            </w:r>
          </w:p>
        </w:tc>
      </w:tr>
    </w:tbl>
    <w:p>
      <w:pPr>
        <w:pStyle w:val="TextBody"/>
        <w:bidi w:val="0"/>
        <w:spacing w:before="480" w:after="0"/>
        <w:jc w:val="center"/>
        <w:rPr>
          <w:rFonts w:ascii="Times New Roman" w:hAnsi="Times New Roman"/>
          <w:sz w:val="20"/>
        </w:rPr>
      </w:pPr>
      <w:r>
        <w:rPr>
          <w:rFonts w:ascii="Times New Roman" w:hAnsi="Times New Roman"/>
          <w:sz w:val="20"/>
        </w:rPr>
        <w:t xml:space="preserve">[CHECK ONE]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 beneficial interest in the: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t xml:space="preserve">☐ </w:t>
            </w:r>
            <w:r>
              <w:rPr>
                <w:rFonts w:ascii="Times New Roman" w:hAnsi="Times New Roman"/>
                <w:sz w:val="20"/>
              </w:rPr>
              <w:t>144A Global Note (CUSIP</w:t>
            </w:r>
            <w:r>
              <w:rPr>
                <w:rFonts w:ascii="Times New Roman" w:hAnsi="Times New Roman"/>
                <w:sz w:val="20"/>
                <w:u w:val="single"/>
              </w:rPr>
              <w:t>   </w:t>
            </w:r>
            <w:r>
              <w:rPr>
                <w:rFonts w:ascii="Times New Roman" w:hAnsi="Times New Roman"/>
                <w:sz w:val="20"/>
              </w:rPr>
              <w:t xml:space="preserve"> ),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pPr>
            <w:r>
              <w:rPr/>
              <w:t xml:space="preserve">☐ </w:t>
            </w:r>
            <w:r>
              <w:rPr>
                <w:rFonts w:ascii="Times New Roman" w:hAnsi="Times New Roman"/>
                <w:sz w:val="20"/>
              </w:rPr>
              <w:t>Regulation S Global Note (CUSIP</w:t>
            </w:r>
            <w:r>
              <w:rPr>
                <w:rFonts w:ascii="Times New Roman" w:hAnsi="Times New Roman"/>
                <w:sz w:val="20"/>
                <w:u w:val="single"/>
              </w:rPr>
              <w:t>   </w:t>
            </w:r>
            <w:r>
              <w:rPr>
                <w:rFonts w:ascii="Times New Roman" w:hAnsi="Times New Roman"/>
                <w:sz w:val="20"/>
              </w:rPr>
              <w:t xml:space="preser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t xml:space="preserve">☐ </w:t>
            </w:r>
            <w:r>
              <w:rPr>
                <w:rFonts w:ascii="Times New Roman" w:hAnsi="Times New Roman"/>
                <w:sz w:val="20"/>
              </w:rPr>
              <w:t>Unrestricted Global Note (CUSIP</w:t>
            </w:r>
            <w:r>
              <w:rPr>
                <w:rFonts w:ascii="Times New Roman" w:hAnsi="Times New Roman"/>
                <w:sz w:val="20"/>
                <w:u w:val="single"/>
              </w:rPr>
              <w:t>   </w:t>
            </w:r>
            <w:r>
              <w:rPr>
                <w:rFonts w:ascii="Times New Roman" w:hAnsi="Times New Roman"/>
                <w:sz w:val="20"/>
              </w:rPr>
              <w:t xml:space="preserve"> ),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 Restricted Definitive Note;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(f)</w:t>
            </w:r>
          </w:p>
        </w:tc>
        <w:tc>
          <w:tcPr>
            <w:tcW w:w="9290" w:type="dxa"/>
            <w:tcBorders/>
          </w:tcPr>
          <w:p>
            <w:pPr>
              <w:pStyle w:val="TableContents"/>
              <w:bidi w:val="0"/>
              <w:spacing w:before="0" w:after="0"/>
              <w:jc w:val="left"/>
              <w:rPr/>
            </w:pPr>
            <w:r>
              <w:rPr/>
              <w:t xml:space="preserve">☐ </w:t>
            </w:r>
            <w:r>
              <w:rPr>
                <w:rFonts w:ascii="Times New Roman" w:hAnsi="Times New Roman"/>
                <w:sz w:val="20"/>
              </w:rPr>
              <w:t xml:space="preserve">an Unrestricted Definitive Note, in accordance with the terms of the Indenture.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 Form of Certificate of Exchange </w:t>
      </w:r>
    </w:p>
    <w:p>
      <w:pPr>
        <w:pStyle w:val="TextBody"/>
        <w:bidi w:val="0"/>
        <w:spacing w:before="24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Ste 1500 </w:t>
      </w:r>
    </w:p>
    <w:p>
      <w:pPr>
        <w:pStyle w:val="TextBody"/>
        <w:bidi w:val="0"/>
        <w:spacing w:before="0" w:after="0"/>
        <w:jc w:val="left"/>
        <w:rPr>
          <w:rFonts w:ascii="Times New Roman" w:hAnsi="Times New Roman"/>
          <w:sz w:val="20"/>
        </w:rPr>
      </w:pPr>
      <w:r>
        <w:rPr>
          <w:rFonts w:ascii="Times New Roman" w:hAnsi="Times New Roman"/>
          <w:sz w:val="20"/>
        </w:rPr>
        <w:t xml:space="preserve">Dallas, Texas 75201 </w:t>
      </w:r>
    </w:p>
    <w:p>
      <w:pPr>
        <w:pStyle w:val="TextBody"/>
        <w:bidi w:val="0"/>
        <w:spacing w:before="0" w:after="0"/>
        <w:jc w:val="left"/>
        <w:rPr>
          <w:rFonts w:ascii="Times New Roman" w:hAnsi="Times New Roman"/>
          <w:sz w:val="20"/>
        </w:rPr>
      </w:pPr>
      <w:r>
        <w:rPr>
          <w:rFonts w:ascii="Times New Roman" w:hAnsi="Times New Roman"/>
          <w:sz w:val="20"/>
        </w:rPr>
        <w:t xml:space="preserve">Attention: Secretary </w:t>
      </w:r>
    </w:p>
    <w:p>
      <w:pPr>
        <w:pStyle w:val="TextBody"/>
        <w:bidi w:val="0"/>
        <w:spacing w:before="240" w:after="0"/>
        <w:jc w:val="left"/>
        <w:rPr>
          <w:rFonts w:ascii="Times New Roman" w:hAnsi="Times New Roman"/>
          <w:sz w:val="20"/>
        </w:rPr>
      </w:pPr>
      <w:r>
        <w:rPr>
          <w:rFonts w:ascii="Times New Roman" w:hAnsi="Times New Roman"/>
          <w:sz w:val="20"/>
        </w:rPr>
        <w:t xml:space="preserve">U.S. Bank Trust Company, National Association, as Trustee </w:t>
      </w:r>
    </w:p>
    <w:p>
      <w:pPr>
        <w:pStyle w:val="TextBody"/>
        <w:bidi w:val="0"/>
        <w:spacing w:before="0" w:after="0"/>
        <w:jc w:val="left"/>
        <w:rPr>
          <w:rFonts w:ascii="Times New Roman" w:hAnsi="Times New Roman"/>
          <w:sz w:val="20"/>
        </w:rPr>
      </w:pPr>
      <w:r>
        <w:rPr>
          <w:rFonts w:ascii="Times New Roman" w:hAnsi="Times New Roman"/>
          <w:sz w:val="20"/>
        </w:rPr>
        <w:t xml:space="preserve">100 Wall Street </w:t>
      </w:r>
    </w:p>
    <w:p>
      <w:pPr>
        <w:pStyle w:val="TextBody"/>
        <w:bidi w:val="0"/>
        <w:spacing w:before="0" w:after="0"/>
        <w:jc w:val="left"/>
        <w:rPr>
          <w:rFonts w:ascii="Times New Roman" w:hAnsi="Times New Roman"/>
          <w:sz w:val="20"/>
        </w:rPr>
      </w:pPr>
      <w:r>
        <w:rPr>
          <w:rFonts w:ascii="Times New Roman" w:hAnsi="Times New Roman"/>
          <w:sz w:val="20"/>
        </w:rPr>
        <w:t xml:space="preserve">New York, NY 10005 </w:t>
      </w:r>
    </w:p>
    <w:p>
      <w:pPr>
        <w:pStyle w:val="TextBody"/>
        <w:bidi w:val="0"/>
        <w:spacing w:before="0" w:after="0"/>
        <w:jc w:val="left"/>
        <w:rPr>
          <w:rFonts w:ascii="Times New Roman" w:hAnsi="Times New Roman"/>
          <w:sz w:val="20"/>
        </w:rPr>
      </w:pPr>
      <w:r>
        <w:rPr>
          <w:rFonts w:ascii="Times New Roman" w:hAnsi="Times New Roman"/>
          <w:sz w:val="20"/>
        </w:rPr>
        <w:t xml:space="preserve">Telecopier No.: (617) 603-6665 </w:t>
      </w:r>
    </w:p>
    <w:p>
      <w:pPr>
        <w:pStyle w:val="TextBody"/>
        <w:bidi w:val="0"/>
        <w:spacing w:before="0" w:after="0"/>
        <w:jc w:val="left"/>
        <w:rPr>
          <w:rFonts w:ascii="Times New Roman" w:hAnsi="Times New Roman"/>
          <w:sz w:val="20"/>
        </w:rPr>
      </w:pPr>
      <w:r>
        <w:rPr>
          <w:rFonts w:ascii="Times New Roman" w:hAnsi="Times New Roman"/>
          <w:sz w:val="20"/>
        </w:rPr>
        <w:t xml:space="preserve">Attention: Corporate Trust Services </w:t>
      </w:r>
    </w:p>
    <w:p>
      <w:pPr>
        <w:pStyle w:val="TextBody"/>
        <w:bidi w:val="0"/>
        <w:spacing w:before="240" w:after="0"/>
        <w:jc w:val="left"/>
        <w:rPr>
          <w:rFonts w:ascii="Times New Roman" w:hAnsi="Times New Roman"/>
          <w:sz w:val="20"/>
        </w:rPr>
      </w:pPr>
      <w:r>
        <w:rPr>
          <w:rFonts w:ascii="Times New Roman" w:hAnsi="Times New Roman"/>
          <w:sz w:val="20"/>
        </w:rPr>
        <w:t xml:space="preserve">Re: 6.500% Notes due 2029 </w:t>
      </w:r>
    </w:p>
    <w:p>
      <w:pPr>
        <w:pStyle w:val="TextBody"/>
        <w:bidi w:val="0"/>
        <w:spacing w:before="240" w:after="0"/>
        <w:jc w:val="left"/>
        <w:rPr>
          <w:rFonts w:ascii="Times New Roman" w:hAnsi="Times New Roman"/>
          <w:sz w:val="20"/>
        </w:rPr>
      </w:pPr>
      <w:r>
        <w:rPr>
          <w:rFonts w:ascii="Times New Roman" w:hAnsi="Times New Roman"/>
          <w:sz w:val="20"/>
        </w:rPr>
        <w:t>Reference is hereby made to the Indenture, dated as of March 11, 2024, as supplemented by the First Supplemental Indenture, dated as of March 11, 2024 (together, the </w:t>
      </w:r>
      <w:r>
        <w:rPr>
          <w:rFonts w:ascii="Times New Roman" w:hAnsi="Times New Roman"/>
          <w:sz w:val="20"/>
          <w:u w:val="single"/>
        </w:rPr>
        <w:t>Indenture</w:t>
      </w:r>
      <w:r>
        <w:rPr>
          <w:rFonts w:ascii="Times New Roman" w:hAnsi="Times New Roman"/>
          <w:sz w:val="20"/>
        </w:rPr>
        <w:t>), between Sixth Street Lending Partners, as issuer (the </w:t>
      </w:r>
      <w:r>
        <w:rPr>
          <w:rFonts w:ascii="Times New Roman" w:hAnsi="Times New Roman"/>
          <w:sz w:val="20"/>
          <w:u w:val="single"/>
        </w:rPr>
        <w:t>Company</w:t>
      </w:r>
      <w:r>
        <w:rPr>
          <w:rFonts w:ascii="Times New Roman" w:hAnsi="Times New Roman"/>
          <w:sz w:val="20"/>
        </w:rPr>
        <w:t xml:space="preserve">), and U.S. Bank Trust Company, National Association, as trustee. Capitalized terms used but not defined herein shall have the meanings given to them in the Indenture. </w:t>
      </w:r>
    </w:p>
    <w:p>
      <w:pPr>
        <w:pStyle w:val="TextBody"/>
        <w:bidi w:val="0"/>
        <w:spacing w:before="240" w:after="0"/>
        <w:jc w:val="left"/>
        <w:rPr/>
      </w:pPr>
      <w:r>
        <w:rPr>
          <w:u w:val="single"/>
        </w:rPr>
        <w:t>    </w:t>
      </w:r>
      <w:r>
        <w:rPr>
          <w:rFonts w:ascii="Times New Roman" w:hAnsi="Times New Roman"/>
          <w:sz w:val="20"/>
        </w:rPr>
        <w:t>, (the Owner) owns and proposes to exchange the Note[s] or interest in such Note[s] specified herein, in the principal amount of $</w:t>
      </w:r>
      <w:r>
        <w:rPr>
          <w:rFonts w:ascii="Times New Roman" w:hAnsi="Times New Roman"/>
          <w:sz w:val="20"/>
          <w:u w:val="single"/>
        </w:rPr>
        <w:t xml:space="preserve">    </w:t>
      </w:r>
      <w:r>
        <w:rPr>
          <w:rFonts w:ascii="Times New Roman" w:hAnsi="Times New Roman"/>
          <w:sz w:val="20"/>
        </w:rPr>
        <w:t>in such Note[s] or interests (the </w:t>
      </w:r>
      <w:r>
        <w:rPr>
          <w:rFonts w:ascii="Times New Roman" w:hAnsi="Times New Roman"/>
          <w:sz w:val="20"/>
          <w:u w:val="single"/>
        </w:rPr>
        <w:t>Exchange</w:t>
      </w:r>
      <w:r>
        <w:rPr>
          <w:rFonts w:ascii="Times New Roman" w:hAnsi="Times New Roman"/>
          <w:sz w:val="20"/>
        </w:rPr>
        <w:t xml:space="preserve">). In connection with the Exchange, the Owner hereby certifies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1.</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OF RESTRICTED DEFINITIVE NOTES OR BENEFICIAL INTERESTS IN A RESTRICTED GLOBAL NOTE FOR UNRESTRICTED DEFINITIVE NOTES OR BENEFICIAL INTERESTS IN AN UNRESTRICTED GLOBAL NOTE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 CHECK IF EXCHANGE IS FROM BENEFICIAL INTEREST IN A RESTRICTED GLOBAL NOTE TO BENEFICIAL INTEREST IN AN UNRESTRICTED GLOBAL NOTE.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Securities Act), (iii) the restrictions on transfer contained in the Indenture and the Restricted Notes Legend are not required in order to maintain compliance with the Securities Act and (iv) the beneficial interest in an Unrestricted Global Note is being acquired in compliance with any applicable blue sky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(b) ☐ CHECK IF EXCHANGE IS FROM BENEFICIAL INTEREST IN A RESTRICTED GLOBAL NOTE TO UNRESTRICTED DEFINITIVE NOTE.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Restricted Notes Legend are not required in order to maintain compliance with the Securities Act and (iv) the Definitive Note is being acquired in compliance with any applicable blue sky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(c) ☐ CHECK IF EXCHANGE IS FROM RESTRICTED DEFINITIVE NOTE TO BENEFICIAL INTEREST IN AN UNRESTRICTED GLOBAL NOTE. In connection with the Owners Exchange of a Restricted Definitive Note for a beneficial interest in an Unrestricted Global Note, the Owner hereby certifies (i) the beneficial interest is being acquired for the Owners own account without transfer, (ii)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beneficial interest is being acquired in compliance with any applicable blue sky securities laws of any state of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(d) ☐ CHECK IF EXCHANGE IS FROM RESTRICTED DEFINITIVE NOTE TO UNRESTRICTED DEFINITIVE NOTE.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Restricted Notes Legend are not required in order to maintain compliance with the Securities Act and (iv) the Unrestricted Definitive Note is being acquired in compliance with any applicable blue sky securities laws of any state of the United States.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EXCHANGE OF RESTRICTED DEFINITIVE NOTES OR BENEFICIAL INTERESTS IN RESTRICTED GLOBAL NOTES FOR RESTRICTED DEFINITIVE NOTES OR BENEFICIAL INTERESTS IN RESTRICTED GLOBAL NOTES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 CHECK IF EXCHANGE IS FROM BENEFICIAL INTEREST IN A RESTRICTED GLOBAL NOTE TO RESTRICTED DEFINITIVE NOTE.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Restricted Notes Legend printed on the Restricted Definitive Note and in the Indenture and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(b) ☐ CHECK IF EXCHANGE IS FROM RESTRICTED DEFINITIVE NOTE TO BENEFICIAL INTEREST IN A RESTRICTED GLOBAL NOTE. In connection with the Exchange of the Owners Restricted Definitive Note for a beneficial interest in a Restricted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Restricted Notes Legend printed on the relevant Restricted Global Note and in the Indenture and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and the statements contained herein are made for your benefit and the benefit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[Insert Name of Transferor]</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 </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r>
    </w:tbl>
    <w:p>
      <w:pPr>
        <w:pStyle w:val="TextBody"/>
        <w:bidi w:val="0"/>
        <w:spacing w:before="240" w:after="0"/>
        <w:jc w:val="left"/>
        <w:rPr>
          <w:rFonts w:ascii="Times New Roman" w:hAnsi="Times New Roman"/>
          <w:sz w:val="20"/>
        </w:rPr>
      </w:pPr>
      <w:r>
        <w:rPr>
          <w:rFonts w:ascii="Times New Roman" w:hAnsi="Times New Roman"/>
          <w:sz w:val="20"/>
        </w:rPr>
        <w:t>Dated:</w:t>
      </w:r>
      <w:r>
        <w:rPr>
          <w:rFonts w:ascii="Times New Roman" w:hAnsi="Times New Roman"/>
          <w:sz w:val="20"/>
          <w:u w:val="single"/>
        </w:rPr>
        <w:t>    </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C-1 </w:t>
      </w:r>
    </w:p>
    <w:p>
      <w:pPr>
        <w:pStyle w:val="TextBody"/>
        <w:bidi w:val="0"/>
        <w:spacing w:before="0" w:after="0"/>
        <w:jc w:val="right"/>
        <w:rPr>
          <w:rFonts w:ascii="Times New Roman" w:hAnsi="Times New Roman"/>
          <w:b/>
          <w:i/>
          <w:sz w:val="20"/>
        </w:rPr>
      </w:pPr>
      <w:bookmarkStart w:id="6" w:name="d813134dex44.htm"/>
      <w:bookmarkStart w:id="7" w:name="ksd813134dex44"/>
      <w:bookmarkEnd w:id="6"/>
      <w:bookmarkEnd w:id="7"/>
      <w:r>
        <w:rPr>
          <w:rFonts w:ascii="Times New Roman" w:hAnsi="Times New Roman"/>
          <w:b/>
          <w:i/>
          <w:sz w:val="20"/>
        </w:rPr>
        <w:t xml:space="preserve">Exhibit 4.4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Lending Partners,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BofA Securities,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March 11, 2024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REGISTRATION RIGHTS AGREEMENT </w:t>
      </w:r>
    </w:p>
    <w:p>
      <w:pPr>
        <w:pStyle w:val="TextBody"/>
        <w:bidi w:val="0"/>
        <w:spacing w:before="240" w:after="0"/>
        <w:jc w:val="left"/>
        <w:rPr>
          <w:rFonts w:ascii="Times New Roman" w:hAnsi="Times New Roman"/>
          <w:sz w:val="20"/>
        </w:rPr>
      </w:pPr>
      <w:r>
        <w:rPr>
          <w:rFonts w:ascii="Times New Roman" w:hAnsi="Times New Roman"/>
          <w:sz w:val="20"/>
        </w:rPr>
        <w:t>This Registration Rights Agreement (this </w:t>
      </w:r>
      <w:r>
        <w:rPr>
          <w:rFonts w:ascii="Times New Roman" w:hAnsi="Times New Roman"/>
          <w:b/>
          <w:i/>
          <w:sz w:val="20"/>
        </w:rPr>
        <w:t>Agreement</w:t>
      </w:r>
      <w:r>
        <w:rPr>
          <w:rFonts w:ascii="Times New Roman" w:hAnsi="Times New Roman"/>
          <w:sz w:val="20"/>
        </w:rPr>
        <w:t>) is made and entered into as of March 4, 2024, by and among Sixth Street Lending Partners, a Delaware statutory trust (the </w:t>
      </w:r>
      <w:r>
        <w:rPr>
          <w:rFonts w:ascii="Times New Roman" w:hAnsi="Times New Roman"/>
          <w:b/>
          <w:i/>
          <w:sz w:val="20"/>
        </w:rPr>
        <w:t>Company</w:t>
      </w:r>
      <w:r>
        <w:rPr>
          <w:rFonts w:ascii="Times New Roman" w:hAnsi="Times New Roman"/>
          <w:sz w:val="20"/>
        </w:rPr>
        <w:t>), and BofA Securities, Inc., as the representative (the </w:t>
      </w:r>
      <w:r>
        <w:rPr>
          <w:rFonts w:ascii="Times New Roman" w:hAnsi="Times New Roman"/>
          <w:b/>
          <w:i/>
          <w:sz w:val="20"/>
        </w:rPr>
        <w:t>Representative</w:t>
      </w:r>
      <w:r>
        <w:rPr>
          <w:rFonts w:ascii="Times New Roman" w:hAnsi="Times New Roman"/>
          <w:sz w:val="20"/>
        </w:rPr>
        <w:t>) to the other several initial purchasers (collectively, the </w:t>
      </w:r>
      <w:r>
        <w:rPr>
          <w:rFonts w:ascii="Times New Roman" w:hAnsi="Times New Roman"/>
          <w:b/>
          <w:i/>
          <w:sz w:val="20"/>
        </w:rPr>
        <w:t>Initial Purchasers</w:t>
      </w:r>
      <w:r>
        <w:rPr>
          <w:rFonts w:ascii="Times New Roman" w:hAnsi="Times New Roman"/>
          <w:sz w:val="20"/>
        </w:rPr>
        <w:t>) of $600,000,000 aggregate principal amount of the Companys 6.500% Notes due 2029 (the </w:t>
      </w:r>
      <w:r>
        <w:rPr>
          <w:rFonts w:ascii="Times New Roman" w:hAnsi="Times New Roman"/>
          <w:b/>
          <w:i/>
          <w:sz w:val="20"/>
        </w:rPr>
        <w:t>Notes</w:t>
      </w:r>
      <w:r>
        <w:rPr>
          <w:rFonts w:ascii="Times New Roman" w:hAnsi="Times New Roman"/>
          <w:sz w:val="20"/>
        </w:rPr>
        <w:t xml:space="preserve">) listed on Schedule 1 to the Purchase Agreement (as defined below). </w:t>
      </w:r>
    </w:p>
    <w:p>
      <w:pPr>
        <w:pStyle w:val="TextBody"/>
        <w:bidi w:val="0"/>
        <w:spacing w:before="240" w:after="0"/>
        <w:jc w:val="left"/>
        <w:rPr>
          <w:rFonts w:ascii="Times New Roman" w:hAnsi="Times New Roman"/>
          <w:sz w:val="20"/>
        </w:rPr>
      </w:pPr>
      <w:r>
        <w:rPr>
          <w:rFonts w:ascii="Times New Roman" w:hAnsi="Times New Roman"/>
          <w:sz w:val="20"/>
        </w:rPr>
        <w:t>This Agreement is made pursuant to the Purchase Agreement, dated as of March 4, 2024 (the </w:t>
      </w:r>
      <w:r>
        <w:rPr>
          <w:rFonts w:ascii="Times New Roman" w:hAnsi="Times New Roman"/>
          <w:b/>
          <w:i/>
          <w:sz w:val="20"/>
        </w:rPr>
        <w:t>Purchase Agreement</w:t>
      </w:r>
      <w:r>
        <w:rPr>
          <w:rFonts w:ascii="Times New Roman" w:hAnsi="Times New Roman"/>
          <w:sz w:val="20"/>
        </w:rPr>
        <w:t xml:space="preserve">), among the Company and the Representative on behalf of the Initial Purchasers (i) for the benefit of the Initial Purchasers and (ii) for the benefit of the holders from time to time of the Registrable Notes, including the Initial Purchasers. In order to induce the Initial Purchasers to purchase the Notes, the Company has agreed to provide the registration rights set forth in this Agreement. The execution and delivery of this Agreement is a condition to the obligations of the Initial Purchasers as set forth in Section 7(l) of the Purchase Agreement.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Definitions</w:t>
      </w:r>
      <w:r>
        <w:rPr>
          <w:rFonts w:ascii="Times New Roman" w:hAnsi="Times New Roman"/>
          <w:sz w:val="20"/>
        </w:rPr>
        <w:t xml:space="preserve">. As used in this Agreement, the following capitalized terms shall have the following meanings: </w:t>
      </w:r>
    </w:p>
    <w:p>
      <w:pPr>
        <w:pStyle w:val="TextBody"/>
        <w:bidi w:val="0"/>
        <w:spacing w:before="120" w:after="0"/>
        <w:jc w:val="left"/>
        <w:rPr>
          <w:rFonts w:ascii="Times New Roman" w:hAnsi="Times New Roman"/>
          <w:sz w:val="20"/>
        </w:rPr>
      </w:pPr>
      <w:r>
        <w:rPr>
          <w:rFonts w:ascii="Times New Roman" w:hAnsi="Times New Roman"/>
          <w:b/>
          <w:i/>
          <w:sz w:val="20"/>
        </w:rPr>
        <w:t>Additional Interest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Advice</w:t>
      </w:r>
      <w:r>
        <w:rPr>
          <w:rFonts w:ascii="Times New Roman" w:hAnsi="Times New Roman"/>
          <w:i/>
          <w:sz w:val="20"/>
        </w:rPr>
        <w:t xml:space="preserve">: </w:t>
      </w:r>
      <w:r>
        <w:rPr>
          <w:rFonts w:ascii="Times New Roman" w:hAnsi="Times New Roman"/>
          <w:sz w:val="20"/>
        </w:rPr>
        <w:t xml:space="preserve">As defined in the last paragraph of Section 6 hereof. </w:t>
      </w:r>
    </w:p>
    <w:p>
      <w:pPr>
        <w:pStyle w:val="TextBody"/>
        <w:bidi w:val="0"/>
        <w:spacing w:before="240" w:after="0"/>
        <w:jc w:val="left"/>
        <w:rPr>
          <w:rFonts w:ascii="Times New Roman" w:hAnsi="Times New Roman"/>
          <w:sz w:val="20"/>
        </w:rPr>
      </w:pPr>
      <w:r>
        <w:rPr>
          <w:rFonts w:ascii="Times New Roman" w:hAnsi="Times New Roman"/>
          <w:b/>
          <w:i/>
          <w:sz w:val="20"/>
        </w:rPr>
        <w:t>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Broker-Dealer</w:t>
      </w:r>
      <w:r>
        <w:rPr>
          <w:rFonts w:ascii="Times New Roman" w:hAnsi="Times New Roman"/>
          <w:i/>
          <w:sz w:val="20"/>
        </w:rPr>
        <w:t xml:space="preserve">: </w:t>
      </w:r>
      <w:r>
        <w:rPr>
          <w:rFonts w:ascii="Times New Roman" w:hAnsi="Times New Roman"/>
          <w:sz w:val="20"/>
        </w:rPr>
        <w:t xml:space="preserve">Any broker or dealer registered under the Exchange Act. </w:t>
      </w:r>
    </w:p>
    <w:p>
      <w:pPr>
        <w:pStyle w:val="TextBody"/>
        <w:bidi w:val="0"/>
        <w:spacing w:before="240" w:after="0"/>
        <w:jc w:val="left"/>
        <w:rPr>
          <w:rFonts w:ascii="Times New Roman" w:hAnsi="Times New Roman"/>
          <w:sz w:val="20"/>
        </w:rPr>
      </w:pPr>
      <w:r>
        <w:rPr>
          <w:rFonts w:ascii="Times New Roman" w:hAnsi="Times New Roman"/>
          <w:b/>
          <w:i/>
          <w:sz w:val="20"/>
        </w:rPr>
        <w:t>Business Day</w:t>
      </w:r>
      <w:r>
        <w:rPr>
          <w:rFonts w:ascii="Times New Roman" w:hAnsi="Times New Roman"/>
          <w:i/>
          <w:sz w:val="20"/>
        </w:rPr>
        <w:t>:</w:t>
      </w:r>
      <w:r>
        <w:rPr>
          <w:rFonts w:ascii="Times New Roman" w:hAnsi="Times New Roman"/>
          <w:sz w:val="20"/>
        </w:rPr>
        <w:t xml:space="preserve"> Any day other than a Saturday, Sunday or U.S. federal holiday or a day on which banking institutions or trust companies located in New York, New York are authorized or obligated to be closed. </w:t>
      </w:r>
    </w:p>
    <w:p>
      <w:pPr>
        <w:pStyle w:val="TextBody"/>
        <w:bidi w:val="0"/>
        <w:spacing w:before="240" w:after="0"/>
        <w:jc w:val="left"/>
        <w:rPr>
          <w:rFonts w:ascii="Times New Roman" w:hAnsi="Times New Roman"/>
          <w:sz w:val="20"/>
        </w:rPr>
      </w:pPr>
      <w:r>
        <w:rPr>
          <w:rFonts w:ascii="Times New Roman" w:hAnsi="Times New Roman"/>
          <w:b/>
          <w:i/>
          <w:sz w:val="20"/>
        </w:rPr>
        <w:t>Commission</w:t>
      </w:r>
      <w:r>
        <w:rPr>
          <w:rFonts w:ascii="Times New Roman" w:hAnsi="Times New Roman"/>
          <w:i/>
          <w:sz w:val="20"/>
        </w:rPr>
        <w:t xml:space="preserve">: </w:t>
      </w:r>
      <w:r>
        <w:rPr>
          <w:rFonts w:ascii="Times New Roman" w:hAnsi="Times New Roman"/>
          <w:sz w:val="20"/>
        </w:rPr>
        <w:t xml:space="preserve">The U.S. Securities and Exchange Commission. </w:t>
      </w:r>
    </w:p>
    <w:p>
      <w:pPr>
        <w:pStyle w:val="TextBody"/>
        <w:bidi w:val="0"/>
        <w:spacing w:before="240" w:after="0"/>
        <w:jc w:val="left"/>
        <w:rPr>
          <w:rFonts w:ascii="Times New Roman" w:hAnsi="Times New Roman"/>
          <w:sz w:val="20"/>
        </w:rPr>
      </w:pPr>
      <w:r>
        <w:rPr>
          <w:rFonts w:ascii="Times New Roman" w:hAnsi="Times New Roman"/>
          <w:b/>
          <w:i/>
          <w:sz w:val="20"/>
        </w:rPr>
        <w:t>Company</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Consummate</w:t>
      </w:r>
      <w:r>
        <w:rPr>
          <w:rFonts w:ascii="Times New Roman" w:hAnsi="Times New Roman"/>
          <w:i/>
          <w:sz w:val="20"/>
        </w:rPr>
        <w:t xml:space="preserve">: </w:t>
      </w:r>
      <w:r>
        <w:rPr>
          <w:rFonts w:ascii="Times New Roman" w:hAnsi="Times New Roman"/>
          <w:sz w:val="20"/>
        </w:rPr>
        <w:t xml:space="preserve">A registered Exchange Offer shall be deemed Consummated for purposes of this Agreement upon the occurrence of (i) the filing with the Commission of the Exchange Offer Registration Statement relating to the Exchange Notes to be issued in the Exchange Offer and its becoming or being declared effective under the Securities Act, (ii) the maintenance of the continuous effectiveness of such Registration Statement, and the keeping of the Exchange Offer open, for a period not less than the minimum period required pursuant to Section 3(b) hereof, and (iii) the delivery by the Company to the Registrar under the Indenture of Exchange Notes in the same aggregate principal amount as the aggregate principal amount of Notes that were tendered by Holders thereof pursuant to the Exchange Offer. </w:t>
      </w:r>
    </w:p>
    <w:p>
      <w:pPr>
        <w:pStyle w:val="TextBody"/>
        <w:bidi w:val="0"/>
        <w:spacing w:before="240" w:after="0"/>
        <w:jc w:val="left"/>
        <w:rPr>
          <w:rFonts w:ascii="Times New Roman" w:hAnsi="Times New Roman"/>
          <w:sz w:val="20"/>
        </w:rPr>
      </w:pPr>
      <w:r>
        <w:rPr>
          <w:rFonts w:ascii="Times New Roman" w:hAnsi="Times New Roman"/>
          <w:b/>
          <w:i/>
          <w:sz w:val="20"/>
        </w:rPr>
        <w:t>Controlling Person</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Exchange Act</w:t>
      </w:r>
      <w:r>
        <w:rPr>
          <w:rFonts w:ascii="Times New Roman" w:hAnsi="Times New Roman"/>
          <w:i/>
          <w:sz w:val="20"/>
        </w:rPr>
        <w:t xml:space="preserve">: </w:t>
      </w:r>
      <w:r>
        <w:rPr>
          <w:rFonts w:ascii="Times New Roman" w:hAnsi="Times New Roman"/>
          <w:sz w:val="20"/>
        </w:rPr>
        <w:t xml:space="preserve">The Securities Exchange Act of 1934,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Exchange Offer</w:t>
      </w:r>
      <w:r>
        <w:rPr>
          <w:rFonts w:ascii="Times New Roman" w:hAnsi="Times New Roman"/>
          <w:i/>
          <w:sz w:val="20"/>
        </w:rPr>
        <w:t xml:space="preserve">: </w:t>
      </w:r>
      <w:r>
        <w:rPr>
          <w:rFonts w:ascii="Times New Roman" w:hAnsi="Times New Roman"/>
          <w:sz w:val="20"/>
        </w:rPr>
        <w:t xml:space="preserve">The registration by the Company under the Securities Act of the Exchange Notes pursuant to a Registration Statement pursuant to which the Company offers the Holders of all outstanding Registrable Notes the opportunity to exchange all such outstanding Registrable Notes held by such Holders for Exchange Notes in an aggregate principal amount equal to the aggregate principal amount of the Registrable Notes tendered in such exchange offer by such Holders. </w:t>
      </w:r>
    </w:p>
    <w:p>
      <w:pPr>
        <w:pStyle w:val="TextBody"/>
        <w:bidi w:val="0"/>
        <w:spacing w:before="240" w:after="0"/>
        <w:jc w:val="left"/>
        <w:rPr>
          <w:rFonts w:ascii="Times New Roman" w:hAnsi="Times New Roman"/>
          <w:sz w:val="20"/>
        </w:rPr>
      </w:pPr>
      <w:r>
        <w:rPr>
          <w:rFonts w:ascii="Times New Roman" w:hAnsi="Times New Roman"/>
          <w:b/>
          <w:i/>
          <w:sz w:val="20"/>
        </w:rPr>
        <w:t>Exchange Offer Registration Statement</w:t>
      </w:r>
      <w:r>
        <w:rPr>
          <w:rFonts w:ascii="Times New Roman" w:hAnsi="Times New Roman"/>
          <w:i/>
          <w:sz w:val="20"/>
        </w:rPr>
        <w:t xml:space="preserve">: </w:t>
      </w:r>
      <w:r>
        <w:rPr>
          <w:rFonts w:ascii="Times New Roman" w:hAnsi="Times New Roman"/>
          <w:sz w:val="20"/>
        </w:rPr>
        <w:t xml:space="preserve">The Registration Statement relating to the Exchange Offer, including the related Prospectus. </w:t>
      </w:r>
    </w:p>
    <w:p>
      <w:pPr>
        <w:pStyle w:val="TextBody"/>
        <w:bidi w:val="0"/>
        <w:spacing w:before="240" w:after="0"/>
        <w:jc w:val="left"/>
        <w:rPr>
          <w:rFonts w:ascii="Times New Roman" w:hAnsi="Times New Roman"/>
          <w:sz w:val="20"/>
        </w:rPr>
      </w:pPr>
      <w:r>
        <w:rPr>
          <w:rFonts w:ascii="Times New Roman" w:hAnsi="Times New Roman"/>
          <w:b/>
          <w:i/>
          <w:sz w:val="20"/>
        </w:rPr>
        <w:t>Exchange Notes</w:t>
      </w:r>
      <w:r>
        <w:rPr>
          <w:rFonts w:ascii="Times New Roman" w:hAnsi="Times New Roman"/>
          <w:i/>
          <w:sz w:val="20"/>
        </w:rPr>
        <w:t xml:space="preserve">: </w:t>
      </w:r>
      <w:r>
        <w:rPr>
          <w:rFonts w:ascii="Times New Roman" w:hAnsi="Times New Roman"/>
          <w:sz w:val="20"/>
        </w:rPr>
        <w:t xml:space="preserve">The 6.500% Notes due 2029 of the same series under the Indenture as the Notes, to be issued to Holders in exchange for Registrable Notes pursuant to this Agreement. </w:t>
      </w:r>
    </w:p>
    <w:p>
      <w:pPr>
        <w:pStyle w:val="TextBody"/>
        <w:bidi w:val="0"/>
        <w:spacing w:before="240" w:after="0"/>
        <w:jc w:val="left"/>
        <w:rPr>
          <w:rFonts w:ascii="Times New Roman" w:hAnsi="Times New Roman"/>
          <w:sz w:val="20"/>
        </w:rPr>
      </w:pPr>
      <w:r>
        <w:rPr>
          <w:rFonts w:ascii="Times New Roman" w:hAnsi="Times New Roman"/>
          <w:b/>
          <w:i/>
          <w:sz w:val="20"/>
        </w:rPr>
        <w:t>FINRA</w:t>
      </w:r>
      <w:r>
        <w:rPr>
          <w:rFonts w:ascii="Times New Roman" w:hAnsi="Times New Roman"/>
          <w:i/>
          <w:sz w:val="20"/>
        </w:rPr>
        <w:t>:</w:t>
      </w:r>
      <w:r>
        <w:rPr>
          <w:rFonts w:ascii="Times New Roman" w:hAnsi="Times New Roman"/>
          <w:sz w:val="20"/>
        </w:rPr>
        <w:t xml:space="preserve"> Financial Industry Regulatory Authority, Inc. </w:t>
      </w:r>
    </w:p>
    <w:p>
      <w:pPr>
        <w:pStyle w:val="TextBody"/>
        <w:bidi w:val="0"/>
        <w:spacing w:before="240" w:after="0"/>
        <w:jc w:val="left"/>
        <w:rPr>
          <w:rFonts w:ascii="Times New Roman" w:hAnsi="Times New Roman"/>
          <w:sz w:val="20"/>
        </w:rPr>
      </w:pPr>
      <w:r>
        <w:rPr>
          <w:rFonts w:ascii="Times New Roman" w:hAnsi="Times New Roman"/>
          <w:b/>
          <w:i/>
          <w:sz w:val="20"/>
        </w:rPr>
        <w:t>Holder</w:t>
      </w:r>
      <w:r>
        <w:rPr>
          <w:rFonts w:ascii="Times New Roman" w:hAnsi="Times New Roman"/>
          <w:i/>
          <w:sz w:val="20"/>
        </w:rPr>
        <w:t xml:space="preserve">: </w:t>
      </w:r>
      <w:r>
        <w:rPr>
          <w:rFonts w:ascii="Times New Roman" w:hAnsi="Times New Roman"/>
          <w:sz w:val="20"/>
        </w:rPr>
        <w:t xml:space="preserve">As defined in Section 2(b) hereof. </w:t>
      </w:r>
    </w:p>
    <w:p>
      <w:pPr>
        <w:pStyle w:val="TextBody"/>
        <w:bidi w:val="0"/>
        <w:spacing w:before="240" w:after="0"/>
        <w:jc w:val="left"/>
        <w:rPr>
          <w:rFonts w:ascii="Times New Roman" w:hAnsi="Times New Roman"/>
          <w:sz w:val="20"/>
        </w:rPr>
      </w:pPr>
      <w:r>
        <w:rPr>
          <w:rFonts w:ascii="Times New Roman" w:hAnsi="Times New Roman"/>
          <w:b/>
          <w:i/>
          <w:sz w:val="20"/>
        </w:rPr>
        <w:t>Indemnified Holder</w:t>
      </w:r>
      <w:r>
        <w:rPr>
          <w:rFonts w:ascii="Times New Roman" w:hAnsi="Times New Roman"/>
          <w:i/>
          <w:sz w:val="20"/>
        </w:rPr>
        <w:t xml:space="preserve">: </w:t>
      </w:r>
      <w:r>
        <w:rPr>
          <w:rFonts w:ascii="Times New Roman" w:hAnsi="Times New Roman"/>
          <w:sz w:val="20"/>
        </w:rPr>
        <w:t xml:space="preserve">As defined in Section 8(a) hereof. </w:t>
      </w:r>
    </w:p>
    <w:p>
      <w:pPr>
        <w:pStyle w:val="TextBody"/>
        <w:bidi w:val="0"/>
        <w:spacing w:before="240" w:after="0"/>
        <w:jc w:val="left"/>
        <w:rPr>
          <w:rFonts w:ascii="Times New Roman" w:hAnsi="Times New Roman"/>
          <w:sz w:val="20"/>
        </w:rPr>
      </w:pPr>
      <w:r>
        <w:rPr>
          <w:rFonts w:ascii="Times New Roman" w:hAnsi="Times New Roman"/>
          <w:b/>
          <w:i/>
          <w:sz w:val="20"/>
        </w:rPr>
        <w:t>Indenture</w:t>
      </w:r>
      <w:r>
        <w:rPr>
          <w:rFonts w:ascii="Times New Roman" w:hAnsi="Times New Roman"/>
          <w:i/>
          <w:sz w:val="20"/>
        </w:rPr>
        <w:t xml:space="preserve">: </w:t>
      </w:r>
      <w:r>
        <w:rPr>
          <w:rFonts w:ascii="Times New Roman" w:hAnsi="Times New Roman"/>
          <w:sz w:val="20"/>
        </w:rPr>
        <w:t xml:space="preserve">The Base Indenture, dated as of March 11, 2024, as supplemented by the First Supplemental Indenture, dated as of March 11, 2024, by and between the Company and the Trustee, pursuant to which the Notes are to be issued, as such Indenture may be amended or supplemented from time to time in accordance with the terms thereof. </w:t>
      </w:r>
    </w:p>
    <w:p>
      <w:pPr>
        <w:pStyle w:val="TextBody"/>
        <w:bidi w:val="0"/>
        <w:spacing w:before="240" w:after="0"/>
        <w:jc w:val="left"/>
        <w:rPr>
          <w:rFonts w:ascii="Times New Roman" w:hAnsi="Times New Roman"/>
          <w:sz w:val="20"/>
        </w:rPr>
      </w:pPr>
      <w:r>
        <w:rPr>
          <w:rFonts w:ascii="Times New Roman" w:hAnsi="Times New Roman"/>
          <w:b/>
          <w:i/>
          <w:sz w:val="20"/>
        </w:rPr>
        <w:t>Initial Placement</w:t>
      </w:r>
      <w:r>
        <w:rPr>
          <w:rFonts w:ascii="Times New Roman" w:hAnsi="Times New Roman"/>
          <w:i/>
          <w:sz w:val="20"/>
        </w:rPr>
        <w:t xml:space="preserve">: </w:t>
      </w:r>
      <w:r>
        <w:rPr>
          <w:rFonts w:ascii="Times New Roman" w:hAnsi="Times New Roman"/>
          <w:sz w:val="20"/>
        </w:rPr>
        <w:t xml:space="preserve">The issuance and sale by the Company of the Notes to the Initial Purchasers pursuant to the Purchase Agreement. </w:t>
      </w:r>
    </w:p>
    <w:p>
      <w:pPr>
        <w:pStyle w:val="TextBody"/>
        <w:bidi w:val="0"/>
        <w:spacing w:before="240" w:after="0"/>
        <w:jc w:val="left"/>
        <w:rPr>
          <w:rFonts w:ascii="Times New Roman" w:hAnsi="Times New Roman"/>
          <w:sz w:val="20"/>
        </w:rPr>
      </w:pPr>
      <w:r>
        <w:rPr>
          <w:rFonts w:ascii="Times New Roman" w:hAnsi="Times New Roman"/>
          <w:b/>
          <w:i/>
          <w:sz w:val="20"/>
        </w:rPr>
        <w:t>Initial Purchasers</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Interest Payment Date</w:t>
      </w:r>
      <w:r>
        <w:rPr>
          <w:rFonts w:ascii="Times New Roman" w:hAnsi="Times New Roman"/>
          <w:i/>
          <w:sz w:val="20"/>
        </w:rPr>
        <w:t xml:space="preserve">: </w:t>
      </w:r>
      <w:r>
        <w:rPr>
          <w:rFonts w:ascii="Times New Roman" w:hAnsi="Times New Roman"/>
          <w:sz w:val="20"/>
        </w:rPr>
        <w:t xml:space="preserve">As defined in the Indenture and the Notes. </w:t>
      </w:r>
    </w:p>
    <w:p>
      <w:pPr>
        <w:pStyle w:val="TextBody"/>
        <w:bidi w:val="0"/>
        <w:spacing w:before="240" w:after="0"/>
        <w:jc w:val="left"/>
        <w:rPr>
          <w:rFonts w:ascii="Times New Roman" w:hAnsi="Times New Roman"/>
          <w:sz w:val="20"/>
        </w:rPr>
      </w:pPr>
      <w:r>
        <w:rPr>
          <w:rFonts w:ascii="Times New Roman" w:hAnsi="Times New Roman"/>
          <w:b/>
          <w:i/>
          <w:sz w:val="20"/>
        </w:rPr>
        <w:t>Issue Date</w:t>
      </w:r>
      <w:r>
        <w:rPr>
          <w:rFonts w:ascii="Times New Roman" w:hAnsi="Times New Roman"/>
          <w:sz w:val="20"/>
        </w:rPr>
        <w:t xml:space="preserve">: The date of this Agreement, March 11, 2024. </w:t>
      </w:r>
    </w:p>
    <w:p>
      <w:pPr>
        <w:pStyle w:val="TextBody"/>
        <w:bidi w:val="0"/>
        <w:spacing w:before="240" w:after="0"/>
        <w:jc w:val="left"/>
        <w:rPr>
          <w:rFonts w:ascii="Times New Roman" w:hAnsi="Times New Roman"/>
          <w:sz w:val="20"/>
        </w:rPr>
      </w:pPr>
      <w:r>
        <w:rPr>
          <w:rFonts w:ascii="Times New Roman" w:hAnsi="Times New Roman"/>
          <w:b/>
          <w:i/>
          <w:sz w:val="20"/>
        </w:rPr>
        <w:t>Notes</w:t>
      </w:r>
      <w:r>
        <w:rPr>
          <w:rFonts w:ascii="Times New Roman" w:hAnsi="Times New Roman"/>
          <w:sz w:val="20"/>
        </w:rPr>
        <w:t xml:space="preserve">: 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Person</w:t>
      </w:r>
      <w:r>
        <w:rPr>
          <w:rFonts w:ascii="Times New Roman" w:hAnsi="Times New Roman"/>
          <w:i/>
          <w:sz w:val="20"/>
        </w:rPr>
        <w:t xml:space="preserve">: </w:t>
      </w:r>
      <w:r>
        <w:rPr>
          <w:rFonts w:ascii="Times New Roman" w:hAnsi="Times New Roman"/>
          <w:sz w:val="20"/>
        </w:rPr>
        <w:t xml:space="preserve">Any individual, corporation, limited liability company, partnership, joint venture, association, joint stock company, trust, unincorporated organization, government or any agency or political subdivision thereof or any other entity. </w:t>
      </w:r>
    </w:p>
    <w:p>
      <w:pPr>
        <w:pStyle w:val="TextBody"/>
        <w:bidi w:val="0"/>
        <w:spacing w:before="240" w:after="0"/>
        <w:jc w:val="left"/>
        <w:rPr>
          <w:rFonts w:ascii="Times New Roman" w:hAnsi="Times New Roman"/>
          <w:sz w:val="20"/>
        </w:rPr>
      </w:pPr>
      <w:r>
        <w:rPr>
          <w:rFonts w:ascii="Times New Roman" w:hAnsi="Times New Roman"/>
          <w:b/>
          <w:i/>
          <w:sz w:val="20"/>
        </w:rPr>
        <w:t>Prospectus</w:t>
      </w:r>
      <w:r>
        <w:rPr>
          <w:rFonts w:ascii="Times New Roman" w:hAnsi="Times New Roman"/>
          <w:i/>
          <w:sz w:val="20"/>
        </w:rPr>
        <w:t xml:space="preserve">: </w:t>
      </w:r>
      <w:r>
        <w:rPr>
          <w:rFonts w:ascii="Times New Roman" w:hAnsi="Times New Roman"/>
          <w:sz w:val="20"/>
        </w:rPr>
        <w:t xml:space="preserve">The prospectus included in a Registration Statement, as amended or supplemented by any prospectus supplement and by all other amendments thereto, including post-effective amendments, and all material incorporated by reference into such Prospectus. </w:t>
      </w:r>
    </w:p>
    <w:p>
      <w:pPr>
        <w:pStyle w:val="TextBody"/>
        <w:bidi w:val="0"/>
        <w:spacing w:before="240" w:after="0"/>
        <w:jc w:val="left"/>
        <w:rPr>
          <w:rFonts w:ascii="Times New Roman" w:hAnsi="Times New Roman"/>
          <w:sz w:val="20"/>
        </w:rPr>
      </w:pPr>
      <w:r>
        <w:rPr>
          <w:rFonts w:ascii="Times New Roman" w:hAnsi="Times New Roman"/>
          <w:b/>
          <w:i/>
          <w:sz w:val="20"/>
        </w:rPr>
        <w:t>Purchase Agreement</w:t>
      </w:r>
      <w:r>
        <w:rPr>
          <w:rFonts w:ascii="Times New Roman" w:hAnsi="Times New Roman"/>
          <w:i/>
          <w:sz w:val="20"/>
        </w:rPr>
        <w:t xml:space="preser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Registrable Notes</w:t>
      </w:r>
      <w:r>
        <w:rPr>
          <w:rFonts w:ascii="Times New Roman" w:hAnsi="Times New Roman"/>
          <w:i/>
          <w:sz w:val="20"/>
        </w:rPr>
        <w:t xml:space="preserve">: </w:t>
      </w:r>
      <w:r>
        <w:rPr>
          <w:rFonts w:ascii="Times New Roman" w:hAnsi="Times New Roman"/>
          <w:sz w:val="20"/>
        </w:rPr>
        <w:t xml:space="preserve">Each Note, until the earliest to occur of (a) the date on which such Note is exchanged in the Exchange Offer for an Exchange Note entitled to be resold to the public by the Holder thereof without complying with the prospectus delivery requirements of the Securities Act, (b) the date on which such Note has been effectively registered under the Securities Act and disposed of in accordance with a Shelf Registration Statement, (c) the date on which such Note is distributed by a Broker-Dealer pursuant to the Plan of Distribution contemplated by the Exchange Offer Registration Statement (including delivery of the Prospectus contained therein), (d) the date on which such Note does not bear a restricted CUSIP number and is sold pursuant to Rule 144 under the Securities Act under circumstances in which any legend borne by such Note relating to restrictions on transferability thereof, under the Securities Act or otherwise, is removed by the Company or pursuant to the Indenture and (e) the date on which such Note ceases to be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i/>
          <w:sz w:val="20"/>
        </w:rPr>
        <w:t>Registration Default</w:t>
      </w:r>
      <w:r>
        <w:rPr>
          <w:rFonts w:ascii="Times New Roman" w:hAnsi="Times New Roman"/>
          <w:i/>
          <w:sz w:val="20"/>
        </w:rPr>
        <w:t xml:space="preserve">: </w:t>
      </w:r>
      <w:r>
        <w:rPr>
          <w:rFonts w:ascii="Times New Roman" w:hAnsi="Times New Roman"/>
          <w:sz w:val="20"/>
        </w:rPr>
        <w:t xml:space="preserve">As defined in Section 5 hereof. </w:t>
      </w:r>
    </w:p>
    <w:p>
      <w:pPr>
        <w:pStyle w:val="TextBody"/>
        <w:bidi w:val="0"/>
        <w:spacing w:before="240" w:after="0"/>
        <w:jc w:val="left"/>
        <w:rPr>
          <w:rFonts w:ascii="Times New Roman" w:hAnsi="Times New Roman"/>
          <w:sz w:val="20"/>
        </w:rPr>
      </w:pPr>
      <w:r>
        <w:rPr>
          <w:rFonts w:ascii="Times New Roman" w:hAnsi="Times New Roman"/>
          <w:b/>
          <w:i/>
          <w:sz w:val="20"/>
        </w:rPr>
        <w:t>Registration Statement</w:t>
      </w:r>
      <w:r>
        <w:rPr>
          <w:rFonts w:ascii="Times New Roman" w:hAnsi="Times New Roman"/>
          <w:i/>
          <w:sz w:val="20"/>
        </w:rPr>
        <w:t xml:space="preserve">: </w:t>
      </w:r>
      <w:r>
        <w:rPr>
          <w:rFonts w:ascii="Times New Roman" w:hAnsi="Times New Roman"/>
          <w:sz w:val="20"/>
        </w:rPr>
        <w:t xml:space="preserve">Any registration statement of the Company relating to (a) an offering of Exchange Notes pursuant to an Exchange Offer or (b) the registration for resale of Registrable Notes pursuant to the Shelf Registration Statement, which is filed pursuant to the provisions of this Agreement, in each case, including the Prospectus included therein, all amendments and supplements thereto (including post-effective amendments) and all exhibits and material incorporated by reference therein. </w:t>
      </w:r>
    </w:p>
    <w:p>
      <w:pPr>
        <w:pStyle w:val="TextBody"/>
        <w:bidi w:val="0"/>
        <w:spacing w:before="240" w:after="0"/>
        <w:jc w:val="left"/>
        <w:rPr>
          <w:rFonts w:ascii="Times New Roman" w:hAnsi="Times New Roman"/>
          <w:sz w:val="20"/>
        </w:rPr>
      </w:pPr>
      <w:r>
        <w:rPr>
          <w:rFonts w:ascii="Times New Roman" w:hAnsi="Times New Roman"/>
          <w:b/>
          <w:i/>
          <w:sz w:val="20"/>
        </w:rPr>
        <w:t xml:space="preserve">Representative: </w:t>
      </w:r>
      <w:r>
        <w:rPr>
          <w:rFonts w:ascii="Times New Roman" w:hAnsi="Times New Roman"/>
          <w:sz w:val="20"/>
        </w:rPr>
        <w:t xml:space="preserve">As defined in the preamble hereto. </w:t>
      </w:r>
    </w:p>
    <w:p>
      <w:pPr>
        <w:pStyle w:val="TextBody"/>
        <w:bidi w:val="0"/>
        <w:spacing w:before="240" w:after="0"/>
        <w:jc w:val="left"/>
        <w:rPr>
          <w:rFonts w:ascii="Times New Roman" w:hAnsi="Times New Roman"/>
          <w:sz w:val="20"/>
        </w:rPr>
      </w:pPr>
      <w:r>
        <w:rPr>
          <w:rFonts w:ascii="Times New Roman" w:hAnsi="Times New Roman"/>
          <w:b/>
          <w:i/>
          <w:sz w:val="20"/>
        </w:rPr>
        <w:t>Securities Act</w:t>
      </w:r>
      <w:r>
        <w:rPr>
          <w:rFonts w:ascii="Times New Roman" w:hAnsi="Times New Roman"/>
          <w:i/>
          <w:sz w:val="20"/>
        </w:rPr>
        <w:t xml:space="preserve">: </w:t>
      </w:r>
      <w:r>
        <w:rPr>
          <w:rFonts w:ascii="Times New Roman" w:hAnsi="Times New Roman"/>
          <w:sz w:val="20"/>
        </w:rPr>
        <w:t xml:space="preserve">The Securities Act of 1933,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Shelf Filing Deadline</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Shelf Registration Statement</w:t>
      </w:r>
      <w:r>
        <w:rPr>
          <w:rFonts w:ascii="Times New Roman" w:hAnsi="Times New Roman"/>
          <w:i/>
          <w:sz w:val="20"/>
        </w:rPr>
        <w:t xml:space="preserve">: </w:t>
      </w:r>
      <w:r>
        <w:rPr>
          <w:rFonts w:ascii="Times New Roman" w:hAnsi="Times New Roman"/>
          <w:sz w:val="20"/>
        </w:rPr>
        <w:t xml:space="preserve">As defined in Section 4(a)(x) hereof. </w:t>
      </w:r>
    </w:p>
    <w:p>
      <w:pPr>
        <w:pStyle w:val="TextBody"/>
        <w:bidi w:val="0"/>
        <w:spacing w:before="240" w:after="0"/>
        <w:jc w:val="left"/>
        <w:rPr>
          <w:rFonts w:ascii="Times New Roman" w:hAnsi="Times New Roman"/>
          <w:sz w:val="20"/>
        </w:rPr>
      </w:pPr>
      <w:r>
        <w:rPr>
          <w:rFonts w:ascii="Times New Roman" w:hAnsi="Times New Roman"/>
          <w:b/>
          <w:i/>
          <w:sz w:val="20"/>
        </w:rPr>
        <w:t>Suspension Period</w:t>
      </w:r>
      <w:r>
        <w:rPr>
          <w:rFonts w:ascii="Times New Roman" w:hAnsi="Times New Roman"/>
          <w:sz w:val="20"/>
        </w:rPr>
        <w:t xml:space="preserve">: As defined in the final paragraph of Section 4(a) hereof. </w:t>
      </w:r>
    </w:p>
    <w:p>
      <w:pPr>
        <w:pStyle w:val="TextBody"/>
        <w:bidi w:val="0"/>
        <w:spacing w:before="240" w:after="0"/>
        <w:jc w:val="left"/>
        <w:rPr>
          <w:rFonts w:ascii="Times New Roman" w:hAnsi="Times New Roman"/>
          <w:sz w:val="20"/>
        </w:rPr>
      </w:pPr>
      <w:r>
        <w:rPr>
          <w:rFonts w:ascii="Times New Roman" w:hAnsi="Times New Roman"/>
          <w:b/>
          <w:i/>
          <w:sz w:val="20"/>
        </w:rPr>
        <w:t>Trustee</w:t>
      </w:r>
      <w:r>
        <w:rPr>
          <w:rFonts w:ascii="Times New Roman" w:hAnsi="Times New Roman"/>
          <w:sz w:val="20"/>
        </w:rPr>
        <w:t xml:space="preserve">: U.S. Bank Trust Company, National Association. </w:t>
      </w:r>
    </w:p>
    <w:p>
      <w:pPr>
        <w:pStyle w:val="TextBody"/>
        <w:bidi w:val="0"/>
        <w:spacing w:before="240" w:after="0"/>
        <w:jc w:val="left"/>
        <w:rPr>
          <w:rFonts w:ascii="Times New Roman" w:hAnsi="Times New Roman"/>
          <w:sz w:val="20"/>
        </w:rPr>
      </w:pPr>
      <w:r>
        <w:rPr>
          <w:rFonts w:ascii="Times New Roman" w:hAnsi="Times New Roman"/>
          <w:b/>
          <w:i/>
          <w:sz w:val="20"/>
        </w:rPr>
        <w:t>Trust Indenture Act</w:t>
      </w:r>
      <w:r>
        <w:rPr>
          <w:rFonts w:ascii="Times New Roman" w:hAnsi="Times New Roman"/>
          <w:i/>
          <w:sz w:val="20"/>
        </w:rPr>
        <w:t xml:space="preserve">: </w:t>
      </w:r>
      <w:r>
        <w:rPr>
          <w:rFonts w:ascii="Times New Roman" w:hAnsi="Times New Roman"/>
          <w:sz w:val="20"/>
        </w:rPr>
        <w:t xml:space="preserve">The Trust Indenture Act of 1939, as amended,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b/>
          <w:i/>
          <w:sz w:val="20"/>
        </w:rPr>
        <w:t>Underwritten Registration or Underwritten Offering</w:t>
      </w:r>
      <w:r>
        <w:rPr>
          <w:rFonts w:ascii="Times New Roman" w:hAnsi="Times New Roman"/>
          <w:i/>
          <w:sz w:val="20"/>
        </w:rPr>
        <w:t xml:space="preserve">: </w:t>
      </w:r>
      <w:r>
        <w:rPr>
          <w:rFonts w:ascii="Times New Roman" w:hAnsi="Times New Roman"/>
          <w:sz w:val="20"/>
        </w:rPr>
        <w:t xml:space="preserve">A registration in which securities of the Company are sold to an underwriter for reoffering to the public. </w:t>
      </w:r>
    </w:p>
    <w:p>
      <w:pPr>
        <w:pStyle w:val="TextBody"/>
        <w:bidi w:val="0"/>
        <w:spacing w:before="240" w:after="0"/>
        <w:jc w:val="left"/>
        <w:rPr>
          <w:rFonts w:ascii="Times New Roman" w:hAnsi="Times New Roman"/>
          <w:sz w:val="20"/>
        </w:rPr>
      </w:pPr>
      <w:r>
        <w:rPr>
          <w:rFonts w:ascii="Times New Roman" w:hAnsi="Times New Roman"/>
          <w:sz w:val="20"/>
        </w:rPr>
        <w:t xml:space="preserve">SECTION 2. </w:t>
      </w:r>
      <w:r>
        <w:rPr>
          <w:rFonts w:ascii="Times New Roman" w:hAnsi="Times New Roman"/>
          <w:i/>
          <w:sz w:val="20"/>
        </w:rPr>
        <w:t>Notes Subject to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Registrable Notes. </w:t>
      </w:r>
      <w:r>
        <w:rPr>
          <w:rFonts w:ascii="Times New Roman" w:hAnsi="Times New Roman"/>
          <w:sz w:val="20"/>
        </w:rPr>
        <w:t xml:space="preserve">The securities entitled to the benefits of this Agreement are the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Holders of Registrable Notes. </w:t>
      </w:r>
      <w:r>
        <w:rPr>
          <w:rFonts w:ascii="Times New Roman" w:hAnsi="Times New Roman"/>
          <w:sz w:val="20"/>
        </w:rPr>
        <w:t>A Person is deemed to be a holder of Registrable Notes (each, a </w:t>
      </w:r>
      <w:r>
        <w:rPr>
          <w:rFonts w:ascii="Times New Roman" w:hAnsi="Times New Roman"/>
          <w:b/>
          <w:i/>
          <w:sz w:val="20"/>
        </w:rPr>
        <w:t>Holder</w:t>
      </w:r>
      <w:r>
        <w:rPr>
          <w:rFonts w:ascii="Times New Roman" w:hAnsi="Times New Roman"/>
          <w:sz w:val="20"/>
        </w:rPr>
        <w:t xml:space="preserve">) whenever such Person owns Registrable Notes. </w:t>
      </w:r>
    </w:p>
    <w:p>
      <w:pPr>
        <w:pStyle w:val="TextBody"/>
        <w:bidi w:val="0"/>
        <w:spacing w:before="240" w:after="0"/>
        <w:jc w:val="left"/>
        <w:rPr>
          <w:rFonts w:ascii="Times New Roman" w:hAnsi="Times New Roman"/>
          <w:sz w:val="20"/>
        </w:rPr>
      </w:pPr>
      <w:r>
        <w:rPr>
          <w:rFonts w:ascii="Times New Roman" w:hAnsi="Times New Roman"/>
          <w:sz w:val="20"/>
        </w:rPr>
        <w:t xml:space="preserve">SECTION 3. </w:t>
      </w:r>
      <w:r>
        <w:rPr>
          <w:rFonts w:ascii="Times New Roman" w:hAnsi="Times New Roman"/>
          <w:i/>
          <w:sz w:val="20"/>
        </w:rPr>
        <w:t>Registered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the Exchange Offer shall not be permissible under applicable law or Commission policy, the Company shall (i) use its commercially reasonable efforts to cause the Exchange Offer to be Consummated on the earliest practicable date after the Exchange Offer Registration Statement has become or been declared effective, but in no event later than 365 days after the Issue Date (or if such 365th day is not a Business Day, the next succeeding Business Day) and (ii) in connection with the foregoing, (A) file all pre-effective amendments to such Registration Statement as may be necessary in order to cause such Registration Statement to become or be declared effective, (B) if applicable, file a post-effective amendment to such Registration Statement pursuant to Rule 430A under the Securities Act and (C) cause all necessary filings in connection with the registration and qualification of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Notes to be made under the state securities or blue sky laws of such jurisdictions as are necessary to permit Consummation of the Exchange Offer. The Exchange Offer Registration Statement shall be on the appropriate form permitting registration of the Exchange Notes to be offered in exchange for the Registrable Notes and to permit resales of Notes held by Broker-Dealers as contemplated by Section 3(c) hereof. The Company shall use its commercially reasonable efforts to cause all Exchange Notes to have the same CUSIP number.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use its commercially reasonable efforts to cause the Exchange Offer Registration Statement to be effective continuously and shall keep the Exchange Offer open for a period of not less than the minimum period required under applicable federal and state securities laws to Consummate the Exchange Offer; </w:t>
      </w:r>
      <w:r>
        <w:rPr>
          <w:rFonts w:ascii="Times New Roman" w:hAnsi="Times New Roman"/>
          <w:i/>
          <w:sz w:val="20"/>
        </w:rPr>
        <w:t>provided, however</w:t>
      </w:r>
      <w:r>
        <w:rPr>
          <w:rFonts w:ascii="Times New Roman" w:hAnsi="Times New Roman"/>
          <w:sz w:val="20"/>
        </w:rPr>
        <w:t xml:space="preserve">, that in no event shall such period be less than 20 Business Days after the commencement of the Exchange Offer. The Company shall cause the Exchange Offer to comply with all applicable federal and state securities laws. No securities other than the Exchange Notes shall be included in the Exchange Offer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(c) The Company shall indicate in a Plan of Distribution section contained in the Prospectus forming a part of the Exchange Offer Registration Statement that any Broker-Dealer who holds Notes that are Registrable Notes and that were acquired for its own account as a result of market-making activities or other trading activities (other than Registrable Notes acquired directly from the Company) may exchange such Notes pursuant to the Exchange Offer; however, such Broker-Dealer may be deemed to be an underwriter within the meaning of the Securities Act and must, therefore, deliver a prospectus meeting the requirements of the Securities Act in connection with any resales of the Exchange Notes received by such Broker-Dealer in the Exchange Offer, which prospectus delivery requirement may be satisfied by the delivery by such Broker-Dealer of the Prospectus contained in the Exchange Offer Registration Statement. Such Plan of Distribution section shall also contain all other information with respect to such resales by Broker-Dealers that the Commission may require in order to permit such resales pursuant thereto, but such Plan of Distribution shall not name any such Broker-Dealer or disclose the amount of Notes held by any such Broker-Dealer except to the extent required by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the Exchange Offer Registration Statement continuously effective, supplemented and amended as required by the provisions of Section 6(c) hereof to the extent necessary to ensure that it is available for resales of Notes acquired by Broker-Dealers for their own accounts as a result of market-making activities or other trading activities, and to ensure that it conforms with the requirements of this Agreement, the Securities Act and the policies, rules and regulations of the Commission as announced from time to time, for a period ending on the earlier of (i) 180 days from the date on which the Exchange Offer Registration Statement becomes or is declared effective and (ii) the date on which a Broker-Dealer is no longer required to deliver a prospectus in connection with market-making or other trading activities.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provide sufficient copies of the latest version of such Prospectus to Broker-Dealers promptly upon request at any time during such 180-day (or shorter as provided in the foregoing paragraph) period in order to facilitate such resales. </w:t>
      </w:r>
    </w:p>
    <w:p>
      <w:pPr>
        <w:pStyle w:val="TextBody"/>
        <w:bidi w:val="0"/>
        <w:spacing w:before="240" w:after="0"/>
        <w:jc w:val="left"/>
        <w:rPr>
          <w:rFonts w:ascii="Times New Roman" w:hAnsi="Times New Roman"/>
          <w:sz w:val="20"/>
        </w:rPr>
      </w:pPr>
      <w:r>
        <w:rPr>
          <w:rFonts w:ascii="Times New Roman" w:hAnsi="Times New Roman"/>
          <w:sz w:val="20"/>
        </w:rPr>
        <w:t xml:space="preserve">SECTION 4. </w:t>
      </w:r>
      <w:r>
        <w:rPr>
          <w:rFonts w:ascii="Times New Roman" w:hAnsi="Times New Roman"/>
          <w:i/>
          <w:sz w:val="20"/>
        </w:rPr>
        <w:t>Shelf Registration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Shelf Registration. </w:t>
      </w:r>
      <w:r>
        <w:rPr>
          <w:rFonts w:ascii="Times New Roman" w:hAnsi="Times New Roman"/>
          <w:sz w:val="20"/>
        </w:rPr>
        <w:t xml:space="preserve">If (i) the Company is not required to file an Exchange Offer Registration Statement or to consummate the Exchange Offer because the Exchange Offer is not permitted by applicable law or Commission policy, (ii) for any reason the Exchange Offer is not Consummated within 365 days after the Issue Date (or if such 365th day is not a Business Day, the next succeeding Business Day), or (iii) with respect to any Holder of Registrable Notes (A) such Holder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prohibited by applicable law or Commission policy from participating in the Exchange Offer, (B) such Holder may not resell the Exchange Notes acquired by it in the Exchange Offer to the public without delivering a prospectus and the Prospectus contained in the Exchange Offer Registration Statement is not appropriate or available for such resales by such Holder or (C) such Holder is a Broker-Dealer and holds Notes acquired directly from the Company or one of its affiliates, then, upon such Holders request, the Company shall: </w:t>
      </w:r>
    </w:p>
    <w:p>
      <w:pPr>
        <w:pStyle w:val="TextBody"/>
        <w:bidi w:val="0"/>
        <w:spacing w:before="120" w:after="0"/>
        <w:jc w:val="left"/>
        <w:rPr>
          <w:rFonts w:ascii="Times New Roman" w:hAnsi="Times New Roman"/>
          <w:sz w:val="20"/>
        </w:rPr>
      </w:pPr>
      <w:r>
        <w:rPr>
          <w:rFonts w:ascii="Times New Roman" w:hAnsi="Times New Roman"/>
          <w:sz w:val="20"/>
        </w:rPr>
        <w:t>(x) cause to be filed a shelf registration statement pursuant to Rule 415 under the Securities Act, which may be an amendment to the Exchange Offer Registration Statement (in either event, the </w:t>
      </w:r>
      <w:r>
        <w:rPr>
          <w:rFonts w:ascii="Times New Roman" w:hAnsi="Times New Roman"/>
          <w:b/>
          <w:i/>
          <w:sz w:val="20"/>
        </w:rPr>
        <w:t>Shelf Registration Statement</w:t>
      </w:r>
      <w:r>
        <w:rPr>
          <w:rFonts w:ascii="Times New Roman" w:hAnsi="Times New Roman"/>
          <w:sz w:val="20"/>
        </w:rPr>
        <w:t>), as soon as practicable, but in no event later than the earliest to occur of (1) the 60th day after the date on which the Company determines that it is not required to file the Exchange Offer Registration Statement, (2) the 60th day after the date on which the Company receives notice from a Holder of Registrable Notes as contemplated by clause (iii) above and (3) the 365th day after the Issue Date (or if such 365th day is not a Business Day, the next succeeding Business Day) (the </w:t>
      </w:r>
      <w:r>
        <w:rPr>
          <w:rFonts w:ascii="Times New Roman" w:hAnsi="Times New Roman"/>
          <w:b/>
          <w:i/>
          <w:sz w:val="20"/>
        </w:rPr>
        <w:t>Shelf Filing Deadline</w:t>
      </w:r>
      <w:r>
        <w:rPr>
          <w:rFonts w:ascii="Times New Roman" w:hAnsi="Times New Roman"/>
          <w:sz w:val="20"/>
        </w:rPr>
        <w:t xml:space="preserve">), which Shelf Registration Statement shall provide for resales of all Registrable Notes the Holders of which shall have provided the information required pursuant to Section 4(b) hereof; and </w:t>
      </w:r>
    </w:p>
    <w:p>
      <w:pPr>
        <w:pStyle w:val="TextBody"/>
        <w:bidi w:val="0"/>
        <w:spacing w:before="120" w:after="0"/>
        <w:jc w:val="left"/>
        <w:rPr>
          <w:rFonts w:ascii="Times New Roman" w:hAnsi="Times New Roman"/>
          <w:sz w:val="20"/>
        </w:rPr>
      </w:pPr>
      <w:r>
        <w:rPr>
          <w:rFonts w:ascii="Times New Roman" w:hAnsi="Times New Roman"/>
          <w:sz w:val="20"/>
        </w:rPr>
        <w:t xml:space="preserve">(y) use its commercially reasonable efforts to cause such Shelf Registration Statement to become or be declared effective by the Commission at the earliest possible time, but in no event later that the 120th day after the Shelf Filing Deadline (or if such 120th day is not a Business Day,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The Company shall use its commercially reasonable efforts to keep such Shelf Registration Statement continuously effective, supplemented and amended as required by the provisions of Sections 6(b) and (c) hereof to the extent necessary to ensure that it is available for resales of Registrable Notes entitled to the benefit of this Section 4(a), and to ensure that it conforms with the requirements of this Agreement, the Securities Act and the policies, rules and regulations of the Commission as announced from time to time, for a period of at least one year following the effective date of such Shelf Registration Statement (or shorter period that will terminate when all the Notes covered by such Shelf Registration Statement have been sold pursuant to such Shelf Registration Statement or are otherwise no longer Registrable Notes). </w:t>
      </w:r>
    </w:p>
    <w:p>
      <w:pPr>
        <w:pStyle w:val="TextBody"/>
        <w:bidi w:val="0"/>
        <w:spacing w:before="240" w:after="0"/>
        <w:jc w:val="left"/>
        <w:rPr>
          <w:rFonts w:ascii="Times New Roman" w:hAnsi="Times New Roman"/>
          <w:sz w:val="20"/>
        </w:rPr>
      </w:pPr>
      <w:r>
        <w:rPr>
          <w:rFonts w:ascii="Times New Roman" w:hAnsi="Times New Roman"/>
          <w:sz w:val="20"/>
        </w:rPr>
        <w:t>Notwithstanding the foregoing, the Company may suspend the offering and sale under the Shelf Registration Statement (the </w:t>
      </w:r>
      <w:r>
        <w:rPr>
          <w:rFonts w:ascii="Times New Roman" w:hAnsi="Times New Roman"/>
          <w:b/>
          <w:i/>
          <w:sz w:val="20"/>
        </w:rPr>
        <w:t>Suspension Period</w:t>
      </w:r>
      <w:r>
        <w:rPr>
          <w:rFonts w:ascii="Times New Roman" w:hAnsi="Times New Roman"/>
          <w:sz w:val="20"/>
        </w:rPr>
        <w:t xml:space="preserve">) for a period or periods if (i) the board of trustees reasonably determines that the continued use of such Shelf Registration Statement would (A) require the Company to make a public disclosure of material non-public information, which disclosure in the good faith judgment of the board of trustees of the Company (1) would be required to be made in such Shelf Registration Statement so that such Shelf Registration Statement would not be materially misleading and (2) would not be required to be made at such time but for the continued use of such Shelf Registration Statement or (B) would in the good faith and judgment of the board of trustees of the Company be expected to have a material adverse effect on the Company or its business or on the Companys ability to effect a planned or proposed acquisition, disposition, financing, reorganization, recapitalization or similar transaction and (ii) the Company notifies the underwriters, if any, and the Holders of Registrable Notes within five days after the board of trustees makes the relevant determination set forth in clause (i); </w:t>
      </w:r>
      <w:r>
        <w:rPr>
          <w:rFonts w:ascii="Times New Roman" w:hAnsi="Times New Roman"/>
          <w:i/>
          <w:sz w:val="20"/>
        </w:rPr>
        <w:t>provided</w:t>
      </w:r>
      <w:r>
        <w:rPr>
          <w:rFonts w:ascii="Times New Roman" w:hAnsi="Times New Roman"/>
          <w:sz w:val="20"/>
        </w:rPr>
        <w:t xml:space="preserve"> that the period or periods of suspension under clause (i) above shall not exceed, in the aggregate, 60 days in any twelve-month period during which the Shelf Registration Statement is required to be effective.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Provision by Holders of Certain Information in Connection with the Shelf Registration Statement. </w:t>
      </w:r>
      <w:r>
        <w:rPr>
          <w:rFonts w:ascii="Times New Roman" w:hAnsi="Times New Roman"/>
          <w:sz w:val="20"/>
        </w:rPr>
        <w:t xml:space="preserve">No Holder of Registrable Notes may include any of its Registrable Notes in any Shelf Registration Statement pursuant to this Agreement unless and until such Holder furnishes to the Company in writing, within 10 Business Days after receipt of a request therefor, such information as the Company may reasonably request for use in connection with any Shelf Registration Statement or Prospectus or preliminary Prospectus included therein or amendment or supplement thereto. Each Holder as to which any Shelf Registration Statement is being effected agrees to furnish promptly to the Company all information required to be disclosed in order to make the information previously furnished to the Company by such Holder not materially misleading. </w:t>
      </w:r>
    </w:p>
    <w:p>
      <w:pPr>
        <w:pStyle w:val="TextBody"/>
        <w:bidi w:val="0"/>
        <w:spacing w:before="240" w:after="0"/>
        <w:jc w:val="left"/>
        <w:rPr>
          <w:rFonts w:ascii="Times New Roman" w:hAnsi="Times New Roman"/>
          <w:sz w:val="20"/>
        </w:rPr>
      </w:pPr>
      <w:r>
        <w:rPr>
          <w:rFonts w:ascii="Times New Roman" w:hAnsi="Times New Roman"/>
          <w:sz w:val="20"/>
        </w:rPr>
        <w:t xml:space="preserve">SECTION 5. </w:t>
      </w:r>
      <w:r>
        <w:rPr>
          <w:rFonts w:ascii="Times New Roman" w:hAnsi="Times New Roman"/>
          <w:i/>
          <w:sz w:val="20"/>
        </w:rPr>
        <w:t xml:space="preserve">Additional Interest. </w:t>
      </w:r>
      <w:r>
        <w:rPr>
          <w:rFonts w:ascii="Times New Roman" w:hAnsi="Times New Roman"/>
          <w:sz w:val="20"/>
        </w:rPr>
        <w:t>If (i) unless the Exchange Offer shall not be permissible under applicable law or Commission policy, the Exchange Offer Registration Statement has not been Consummated on or prior to the 365th day after the Issue Date (or if such 365th day is not a Business Day, the next succeeding Business Day), (ii) in the event the Company is required to file a Shelf Registration Statement pursuant to Section 4(a) hereof, (A) the Shelf Registration Statement is not filed by the Shelf Filing Deadline or (B) the Shelf Registration Statement has not become or been declared effective by the Commission on or prior to the 120th day after the Shelf Filing Deadline (or if such 120th day is not a Business Day, the next succeeding Business Day) or (iii) any Registration Statement required by this Agreement is filed and declared effective but shall thereafter cease to be effective or fail to be usable for its intended purpose without being immediately succeeded by a post-effective amendment to such Registration Statement that cures such failure and that is itself immediately declared effective (each such event referred to in clauses (i) through (iii), a </w:t>
      </w:r>
      <w:r>
        <w:rPr>
          <w:rFonts w:ascii="Times New Roman" w:hAnsi="Times New Roman"/>
          <w:b/>
          <w:i/>
          <w:sz w:val="20"/>
        </w:rPr>
        <w:t>Registration Default</w:t>
      </w:r>
      <w:r>
        <w:rPr>
          <w:rFonts w:ascii="Times New Roman" w:hAnsi="Times New Roman"/>
          <w:sz w:val="20"/>
        </w:rPr>
        <w:t>) then, with respect to the first 90-day period immediately following the occurrence of such Registration Default, the interest rate on the Registrable Notes will be increased by 0.25% per annum and will increase by an additional 0.25% per annum on the principal amount of Notes with respect to each subsequent 90-day period, up to a maximum of additional interest of 0.50% per annum (</w:t>
      </w:r>
      <w:r>
        <w:rPr>
          <w:rFonts w:ascii="Times New Roman" w:hAnsi="Times New Roman"/>
          <w:b/>
          <w:i/>
          <w:sz w:val="20"/>
        </w:rPr>
        <w:t>Additional Interest</w:t>
      </w:r>
      <w:r>
        <w:rPr>
          <w:rFonts w:ascii="Times New Roman" w:hAnsi="Times New Roman"/>
          <w:sz w:val="20"/>
        </w:rPr>
        <w:t xml:space="preserve">). Any amounts of Additional Interest due pursuant to this Section 5 will be paid in cash on the relevant Interest Payment Date to Holders of record on the relevant regular record dates. Following the cure of all Registration Defaults relating to any particular Registrable Notes, the interest rate borne by the relevant Registrable Notes will be reduced to the original interest rate borne by such Registrable Notes;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after any such reduction in interest rate, a different Registration Default occurs, the interest rate borne by the relevant Registrable Notes shall again be increased pursuant to the foregoing provisions. </w:t>
      </w:r>
    </w:p>
    <w:p>
      <w:pPr>
        <w:pStyle w:val="TextBody"/>
        <w:bidi w:val="0"/>
        <w:spacing w:before="240" w:after="0"/>
        <w:jc w:val="left"/>
        <w:rPr>
          <w:rFonts w:ascii="Times New Roman" w:hAnsi="Times New Roman"/>
          <w:sz w:val="20"/>
        </w:rPr>
      </w:pPr>
      <w:r>
        <w:rPr>
          <w:rFonts w:ascii="Times New Roman" w:hAnsi="Times New Roman"/>
          <w:sz w:val="20"/>
        </w:rPr>
        <w:t xml:space="preserve">All obligations of the Company set forth in the preceding paragraph that are outstanding with respect to any Registrable Note at the time such security ceases to be a Registrable Note shall survive until such time as all such obligations with respect to such security shall have been satisfied in full.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 the amount of Additional Interest payable shall not increase because more than one Registration Default has occurred and is pending at any given time and (ii) a Holder of Registrable Notes that has not provided the information required pursuant to Section 4(b) hereof within the time period set forth therein shall not be entitled to Additional Interest with respect to a Registration Default that pertains to the relevant Shelf Registration Statement.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 </w:t>
      </w:r>
      <w:r>
        <w:rPr>
          <w:rFonts w:ascii="Times New Roman" w:hAnsi="Times New Roman"/>
          <w:i/>
          <w:sz w:val="20"/>
        </w:rPr>
        <w:t>Registration Procedures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Exchange Offer Registration Statement. </w:t>
      </w:r>
      <w:r>
        <w:rPr>
          <w:rFonts w:ascii="Times New Roman" w:hAnsi="Times New Roman"/>
          <w:sz w:val="20"/>
        </w:rPr>
        <w:t xml:space="preserve">In connection with the Exchange Offer, the Company shall comply with all of the applicable provisions of Section 6(c) hereof, shall use its commercially reasonable efforts to effect such exchange to permit the sale of Registrable Notes being sold in accordance with the intended method or methods of distribution thereof, and shall comply with all of the following provision: </w:t>
      </w:r>
    </w:p>
    <w:p>
      <w:pPr>
        <w:pStyle w:val="TextBody"/>
        <w:bidi w:val="0"/>
        <w:spacing w:before="120" w:after="0"/>
        <w:jc w:val="left"/>
        <w:rPr>
          <w:rFonts w:ascii="Times New Roman" w:hAnsi="Times New Roman"/>
          <w:sz w:val="20"/>
        </w:rPr>
      </w:pPr>
      <w:r>
        <w:rPr>
          <w:rFonts w:ascii="Times New Roman" w:hAnsi="Times New Roman"/>
          <w:sz w:val="20"/>
        </w:rPr>
        <w:t xml:space="preserve">(i) As a condition to its participation in the Exchange Offer pursuant to the terms of this Agreement, each Holder of Registrable Notes shall furnish, upon the request of the Company, prior to the Consummation thereof, a written representation to the Company (which may be contained in the letter of transmittal contemplated by the Exchange Offer Registration Statement) to the effect that (A) it is not an affiliate of the Company, (B) it is not engaged in, and does not intend to engage in, and has no arrangement or understanding with any Person to participate in, a distribution of the Exchange Notes to be issued in the Exchange Offer, (C) it is acquiring the Exchange Notes in its ordinary course of business, (D) if it is a Broker-Dealer that holds Notes that were acquired for its own account as a result of market-making activities or other trading activities (other than Notes acquired directly from the Company or any of its affiliates), it will deliver a prospectus meeting the requirements of the Securities Act in connection with any resales of the Exchange Notes received by it in the Exchange Offer, and (E) if it is a Broker-Dealer, that it did not purchase the Notes to be exchanged in the Exchange Offer from the Company or any of its affiliates. In addition, all such Holders of Registrable Notes shall otherwise cooperate in the Companys preparations for the Exchange Offer. Each Holder hereby acknowledges and agrees that any Broker-Dealer and any such Holder using the Exchange Offer to participate in a distribution of the securities to be acquired in the Exchange Offer (1) could not under Commission policy as in effect on the date of this Agreement rely on the position of the Commission enunciated in </w:t>
      </w:r>
      <w:r>
        <w:rPr>
          <w:rFonts w:ascii="Times New Roman" w:hAnsi="Times New Roman"/>
          <w:sz w:val="20"/>
          <w:u w:val="single"/>
        </w:rPr>
        <w:t>Morgan Stanley and Co., Inc.</w:t>
      </w:r>
      <w:r>
        <w:rPr>
          <w:rFonts w:ascii="Times New Roman" w:hAnsi="Times New Roman"/>
          <w:sz w:val="20"/>
        </w:rPr>
        <w:t xml:space="preserve"> (available June 5, 1991) and </w:t>
      </w:r>
      <w:r>
        <w:rPr>
          <w:rFonts w:ascii="Times New Roman" w:hAnsi="Times New Roman"/>
          <w:sz w:val="20"/>
          <w:u w:val="single"/>
        </w:rPr>
        <w:t>Exxon Capital Holdings Corporation</w:t>
      </w:r>
      <w:r>
        <w:rPr>
          <w:rFonts w:ascii="Times New Roman" w:hAnsi="Times New Roman"/>
          <w:sz w:val="20"/>
        </w:rPr>
        <w:t xml:space="preserve"> (available May 13, 1988), as interpreted in the Commissions letter to Shearman &amp; Sterling dated July 2, 1993, and similar no-action letters (which may include any no-action letter obtained pursuant to clause (i) above), and (2) must comply with the registration and prospectus delivery requirements of the Securities Act in connection with a secondary resale transaction and that such a secondary resale transaction should be covered by an effective registration statement containing the selling security holder information required by Item 507 or 508, as applicable, of Regulation S-K if the resales are of Exchange Notes obtained by such Holder in exchange for Notes acquired by such Holder directly from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Shelf Registration Statement. </w:t>
      </w:r>
      <w:r>
        <w:rPr>
          <w:rFonts w:ascii="Times New Roman" w:hAnsi="Times New Roman"/>
          <w:sz w:val="20"/>
        </w:rPr>
        <w:t xml:space="preserve">In connection with the Shelf Registration Statement, the Company shall comply with all the provisions of Section 6(c) hereof and shall use its commercially reasonable efforts to effect such registration to permit the sale of the Registrable Notes being sold in accordance with the intended method or methods of distribution thereof, and pursuant thereto the Company will as expeditiously as is commercially reasonable prepare and file with the Commission a Shelf Registration Statement relating to the registration on any appropriate form under the Securities Act, which form shall be available for the sale of the Registrable Notes in accordance with the intended method or methods of distribution thereof.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General Provisions. </w:t>
      </w:r>
      <w:r>
        <w:rPr>
          <w:rFonts w:ascii="Times New Roman" w:hAnsi="Times New Roman"/>
          <w:sz w:val="20"/>
        </w:rPr>
        <w:t xml:space="preserve">In connection with any Registration Statement and any Prospectus required by this Agreement to permit the sale or resale of Registrable Notes (including, without limitation, any Registration Statement and the related Prospectus required to permit resales of Notes by Broker-Dealers),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(i) use its commercially reasonable efforts to keep such Registration Statement continuously effective during the period required by this Agreement and provide all requisite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(ii) upon the occurrence of any event that would cause any such Registration Statement or the Prospectus contained therein (A) to contain a material misstatement or omission or (B) not to be effective and usable for resale of Registrable Notes during the period required by this Agreement, the Company shall file promptly an appropriate amendment to such Registration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 in the case of clause (A), correcting any such misstatement or omission, and, in the case of either clause (A) or (B), use its commercially reasonable efforts to cause such amendment to become or be declared effective and such Registration Statement and the related Prospectus to become usable for their intended purpose(s) as soon as practicable thereafter; </w:t>
      </w:r>
    </w:p>
    <w:p>
      <w:pPr>
        <w:pStyle w:val="TextBody"/>
        <w:bidi w:val="0"/>
        <w:spacing w:before="120" w:after="0"/>
        <w:jc w:val="left"/>
        <w:rPr>
          <w:rFonts w:ascii="Times New Roman" w:hAnsi="Times New Roman"/>
          <w:sz w:val="20"/>
        </w:rPr>
      </w:pPr>
      <w:r>
        <w:rPr>
          <w:rFonts w:ascii="Times New Roman" w:hAnsi="Times New Roman"/>
          <w:sz w:val="20"/>
        </w:rPr>
        <w:t xml:space="preserve">(iii) prepare and file with the Commission such amendments and post-effective amendments to the applicable Registration Statement as may be necessary to keep the Registration Statement effective for the applicable period set forth in Section 3 or 4 hereof, as applicable, or such shorter period as will terminate when all Registrable Notes covered by such Registration Statement have been sold; cause the Prospectus to be supplemented by any required Prospectus supplement, and as so supplemented to be filed pursuant to Rules 424 or 497 under the Securities Act, and to comply fully with the applicable provisions of Rules 424, 430A and 497 under the Securities Act in a timely manner; and comply with the provisions of the Securities Act with respect to the disposition of all securities covered by such Registration Statement during the applicable period in accordance with the intended method or methods of distribution by the sellers thereof set forth in such Registration Statement or supplement to the Prospectus; </w:t>
      </w:r>
    </w:p>
    <w:p>
      <w:pPr>
        <w:pStyle w:val="TextBody"/>
        <w:bidi w:val="0"/>
        <w:spacing w:before="120" w:after="0"/>
        <w:jc w:val="left"/>
        <w:rPr>
          <w:rFonts w:ascii="Times New Roman" w:hAnsi="Times New Roman"/>
          <w:sz w:val="20"/>
        </w:rPr>
      </w:pPr>
      <w:r>
        <w:rPr>
          <w:rFonts w:ascii="Times New Roman" w:hAnsi="Times New Roman"/>
          <w:sz w:val="20"/>
        </w:rPr>
        <w:t xml:space="preserve">(iv) advise the underwriter(s), if any, and selling Holders promptly and, if requested by such Persons, to confirm such advice in writing, (A) when the Prospectus or any Prospectus supplement or post-effective amendment has been filed, and, with respect to any Registration Statement or any post-effective amendment thereto, when the same has become or been declared effective, (B) of any request by the Commission for amendments to the Registration Statement or amendments or supplements to the Prospectus or for additional information relating thereto, (C) of the issuance by the Commission of any stop order suspending the effectiveness of the Registration Statement under the Securities Act or of the suspension by any state securities commission of the qualification of the Registrable Notes for offering or sale in any jurisdiction, or the initiation of any proceeding for any of the preceding purposes, (D) of the existence of any fact or the happening of any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If at any time the Commission shall issue any stop order suspending the effectiveness of the Registration Statement, or any state securities commission or other regulatory authority shall issue an order suspending the qualification or exemption from qualification of the Registrable Notes under state securities or blue sky laws, the Company shall use its commercially reasonable efforts to obtain the withdrawal or lifting of such order at the earliest possible time; </w:t>
      </w:r>
    </w:p>
    <w:p>
      <w:pPr>
        <w:pStyle w:val="TextBody"/>
        <w:bidi w:val="0"/>
        <w:spacing w:before="120" w:after="0"/>
        <w:jc w:val="left"/>
        <w:rPr>
          <w:rFonts w:ascii="Times New Roman" w:hAnsi="Times New Roman"/>
          <w:sz w:val="20"/>
        </w:rPr>
      </w:pPr>
      <w:r>
        <w:rPr>
          <w:rFonts w:ascii="Times New Roman" w:hAnsi="Times New Roman"/>
          <w:sz w:val="20"/>
        </w:rPr>
        <w:t xml:space="preserve">(v) furnish without charge to the Initial Purchasers, each selling Holder named in any Registration Statement that has requested such copies, if any, and each of the underwriter(s), if any, before filing with the Commission, copies of any Registration Statement or any Prospectus included therein or any amendments or supplements to any such Registration Statement or Prospectus (other than any documents that will be incorporated by reference in such Registration Statement or Prospectus), which documents will be subject to the review and comment of such requesting Holders and underwriter(s) in connection with such sale, if any, for a period of at least five Business Days, and the Company will not file any such Registration Statement or Prospectus or any amendment or supplement to any such Registration Statement or Prospectus to which the Initial Purchasers of Registrable Notes covered by such Registration Statement or the underwriter(s), if any, shall reasonably object in writing within five Business Days after the receipt thereof (such objection to be deemed timely made upon confirmation of facsimile transmission within such period). The objection of the Initial Purchasers or underwriter, if any, shall be deemed to be reasonable if such Registration Statement, amendment, Prospectus or supplement, as applicable, as proposed to be filed, contains a material misstatement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make the Companys representatives reasonably available to the Initial Purchasers for customary due diligence matters; </w:t>
      </w:r>
    </w:p>
    <w:p>
      <w:pPr>
        <w:pStyle w:val="TextBody"/>
        <w:bidi w:val="0"/>
        <w:spacing w:before="120" w:after="0"/>
        <w:jc w:val="left"/>
        <w:rPr>
          <w:rFonts w:ascii="Times New Roman" w:hAnsi="Times New Roman"/>
          <w:sz w:val="20"/>
        </w:rPr>
      </w:pPr>
      <w:r>
        <w:rPr>
          <w:rFonts w:ascii="Times New Roman" w:hAnsi="Times New Roman"/>
          <w:sz w:val="20"/>
        </w:rPr>
        <w:t xml:space="preserve">(vii) make available at reasonable times for inspection by the Initial Purchasers, any Holder, the managing underwriter(s), if any, participating in any disposition pursuant to such Registration Statement and any attorney or accountant retained by the Initial Purchasers, Holder or any of the underwriter(s), in each case subject to confidentiality agreements in form and substance customarily entered into by the Initial Purchasers or underwriters, all financial and other records, pertinent corporate documents and properties of the Company and cause the Companys officers, trustees and employees to supply all information reasonably requested by any such Holder, underwriter, attorney or accountant in connection with such Registration Statement or any post-effective amendment thereto subsequent to the filing thereof and prior to its effectiveness and to participate in meetings with investors to the extent reasonably requested by the managing underwriter(s), if any; </w:t>
      </w:r>
    </w:p>
    <w:p>
      <w:pPr>
        <w:pStyle w:val="TextBody"/>
        <w:bidi w:val="0"/>
        <w:spacing w:before="120" w:after="0"/>
        <w:jc w:val="left"/>
        <w:rPr>
          <w:rFonts w:ascii="Times New Roman" w:hAnsi="Times New Roman"/>
          <w:sz w:val="20"/>
        </w:rPr>
      </w:pPr>
      <w:r>
        <w:rPr>
          <w:rFonts w:ascii="Times New Roman" w:hAnsi="Times New Roman"/>
          <w:sz w:val="20"/>
        </w:rPr>
        <w:t xml:space="preserve">(viii) if requested by any selling Holders listed as selling securityholders in any Registration Statement or the underwriter(s), if any, promptly incorporate in any Registration Statement or Prospectus, pursuant to a supplement or post-effective amendment if necessary, such information as such selling Holders and underwriter(s), if any, may reasonably request to have included therein, including, without limitation, information relating to the Plan of Distribution of the Registrable Notes, information with respect to the principal amount of Registrable Notes being sold to such underwriter(s), the purchase price being paid therefor and any other terms of the offering of the Registrable Notes to be sold in such offering; and make all required filings of such Prospectus supplement or post-effective amendment as soon as practicable after the Company is notified of the matters to be incorporated in such Prospectus supplement or post-effective amendment; </w:t>
      </w:r>
    </w:p>
    <w:p>
      <w:pPr>
        <w:pStyle w:val="TextBody"/>
        <w:bidi w:val="0"/>
        <w:spacing w:before="120" w:after="0"/>
        <w:jc w:val="left"/>
        <w:rPr>
          <w:rFonts w:ascii="Times New Roman" w:hAnsi="Times New Roman"/>
          <w:sz w:val="20"/>
        </w:rPr>
      </w:pPr>
      <w:r>
        <w:rPr>
          <w:rFonts w:ascii="Times New Roman" w:hAnsi="Times New Roman"/>
          <w:sz w:val="20"/>
        </w:rPr>
        <w:t xml:space="preserve">(ix) furnish to the Initial Purchasers, each selling Holder and each of the underwriter(s), if any, without charge, at least one copy of the Registration Statement, as first filed with the Commission, and of each amendment thereto, including financial statements and schedules, if requested, all documents incorporated by reference therein and all exhibits (including exhibits incorporated therein by reference), unless, in each case, publicly available; </w:t>
      </w:r>
    </w:p>
    <w:p>
      <w:pPr>
        <w:pStyle w:val="TextBody"/>
        <w:bidi w:val="0"/>
        <w:spacing w:before="120" w:after="0"/>
        <w:jc w:val="left"/>
        <w:rPr>
          <w:rFonts w:ascii="Times New Roman" w:hAnsi="Times New Roman"/>
          <w:sz w:val="20"/>
        </w:rPr>
      </w:pPr>
      <w:r>
        <w:rPr>
          <w:rFonts w:ascii="Times New Roman" w:hAnsi="Times New Roman"/>
          <w:sz w:val="20"/>
        </w:rPr>
        <w:t xml:space="preserve">(x) deliver to each selling Holder and each of the underwriter(s), if any, without charge, as many copies of the Prospectus (including each preliminary prospectus) and any amendment or supplement thereto as such Persons reasonably may request; the Company hereby consent to the use of the Prospectus and any amendment or supplement thereto by each of the selling Holders and each of the underwriter(s), if any, in connection with the offering and the sale of the Registrable Notes covered by the Prospectus or any amendment or supplement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 in connection with an underwritten offering pursuant to a Shelf Registration Statement, enter into such agreements (including an underwriting agreement), and make such representations and warranties, and take all such other commercially reasonable actions in connection therewith in order to expedite or facilitate the disposition of the Registrable Notes. In furtherance of the foregoing,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furnish to the Initial Purchasers, each selling Holder and each underwriter in such substance and scope as they may reasonably request and as are customarily made by issuers to underwriters in primary underwritten offerings, upon the date of the effectiveness of the Shelf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(1) a certificate, dated the effectiveness of the Shelf Registration Statement, signed by (y) the Chief Executive Officer, the President or any Vice President and (z) a principal financial or accounting officer of the Company, confirming customary matters; </w:t>
      </w:r>
    </w:p>
    <w:p>
      <w:pPr>
        <w:pStyle w:val="TextBody"/>
        <w:bidi w:val="0"/>
        <w:spacing w:before="120" w:after="0"/>
        <w:jc w:val="left"/>
        <w:rPr>
          <w:rFonts w:ascii="Times New Roman" w:hAnsi="Times New Roman"/>
          <w:sz w:val="20"/>
        </w:rPr>
      </w:pPr>
      <w:r>
        <w:rPr>
          <w:rFonts w:ascii="Times New Roman" w:hAnsi="Times New Roman"/>
          <w:sz w:val="20"/>
        </w:rPr>
        <w:t xml:space="preserve">(2) if requested by a majority of selling Holders, an opinion, dated the date of effectiveness of the Shelf Registration Statement, of counsel for the Company, covering the matters customarily covered in opinions requested in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(3) a customary comfort letter, dated the date of effectiveness of the Shelf Registration Statement, from the Companys independent accountants, in the customary form and covering matters of the type customarily requested to be covered in comfort letters by underwriters in connection with primary 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(B) set forth in full or incorporate by reference in the underwriting agreement, if any, the indemnification provisions and procedures of Section 8 hereof with respect to all parties to be indemnified pursuant to said Section; and </w:t>
      </w:r>
    </w:p>
    <w:p>
      <w:pPr>
        <w:pStyle w:val="TextBody"/>
        <w:bidi w:val="0"/>
        <w:spacing w:before="120" w:after="0"/>
        <w:jc w:val="left"/>
        <w:rPr>
          <w:rFonts w:ascii="Times New Roman" w:hAnsi="Times New Roman"/>
          <w:sz w:val="20"/>
        </w:rPr>
      </w:pPr>
      <w:r>
        <w:rPr>
          <w:rFonts w:ascii="Times New Roman" w:hAnsi="Times New Roman"/>
          <w:sz w:val="20"/>
        </w:rPr>
        <w:t xml:space="preserve">(C) deliver such other documents and certificates as may be reasonably requested by such parties to evidence compliance with Section 6(c)(xi)(A) hereof and with any customary conditions contained in the underwriting agreement or other agreement entered into by the Company pursuant to this Section 6(c)(xi), if any. </w:t>
      </w:r>
    </w:p>
    <w:p>
      <w:pPr>
        <w:pStyle w:val="TextBody"/>
        <w:bidi w:val="0"/>
        <w:spacing w:before="120" w:after="0"/>
        <w:jc w:val="left"/>
        <w:rPr>
          <w:rFonts w:ascii="Times New Roman" w:hAnsi="Times New Roman"/>
          <w:sz w:val="20"/>
        </w:rPr>
      </w:pPr>
      <w:r>
        <w:rPr>
          <w:rFonts w:ascii="Times New Roman" w:hAnsi="Times New Roman"/>
          <w:sz w:val="20"/>
        </w:rPr>
        <w:t xml:space="preserve">If at any time the representations and warranties of the Company contemplated in Section 6(c)(xi)(A)(1) hereof cease to be true and correct, the Company shall so advise the Initial Purchasers and the underwriter(s), if any, and each selling Holder promptly and, if requested by such Persons, shall confirm such advice in writing; </w:t>
      </w:r>
    </w:p>
    <w:p>
      <w:pPr>
        <w:pStyle w:val="TextBody"/>
        <w:bidi w:val="0"/>
        <w:spacing w:before="120" w:after="0"/>
        <w:jc w:val="left"/>
        <w:rPr>
          <w:rFonts w:ascii="Times New Roman" w:hAnsi="Times New Roman"/>
          <w:sz w:val="20"/>
        </w:rPr>
      </w:pPr>
      <w:r>
        <w:rPr>
          <w:rFonts w:ascii="Times New Roman" w:hAnsi="Times New Roman"/>
          <w:sz w:val="20"/>
        </w:rPr>
        <w:t xml:space="preserve">(xii) prior to any public offering of Registrable Notes, cooperate with the selling Holders, the underwriter(s), if any, and their respective counsel in connection with the registration and qualification of the Registrable Notes under the state securities or blue sky laws of such jurisdictions as the selling Holders or underwriter(s), if any, may request and do any and all other acts or things necessary or advisable to enable the disposition in such jurisdictions of the Registrable Notes covered by the Shelf Registration Statement; </w:t>
      </w:r>
      <w:r>
        <w:rPr>
          <w:rFonts w:ascii="Times New Roman" w:hAnsi="Times New Roman"/>
          <w:i/>
          <w:sz w:val="20"/>
        </w:rPr>
        <w:t>provided, however</w:t>
      </w:r>
      <w:r>
        <w:rPr>
          <w:rFonts w:ascii="Times New Roman" w:hAnsi="Times New Roman"/>
          <w:sz w:val="20"/>
        </w:rPr>
        <w:t xml:space="preserve">, that the Company shall not be required to register or qualify as a foreign corporation where it is not then so qualified or to take any action that would subject it to the service of process in suits or to taxation, other than as to matters and transactions relating to the Registration Statement, in any jurisdiction where it is not then so subject; </w:t>
      </w:r>
    </w:p>
    <w:p>
      <w:pPr>
        <w:pStyle w:val="TextBody"/>
        <w:bidi w:val="0"/>
        <w:spacing w:before="120" w:after="0"/>
        <w:jc w:val="left"/>
        <w:rPr>
          <w:rFonts w:ascii="Times New Roman" w:hAnsi="Times New Roman"/>
          <w:sz w:val="20"/>
        </w:rPr>
      </w:pPr>
      <w:r>
        <w:rPr>
          <w:rFonts w:ascii="Times New Roman" w:hAnsi="Times New Roman"/>
          <w:sz w:val="20"/>
        </w:rPr>
        <w:t xml:space="preserve">(xiii) in the case of a Shelf Registration Statement, shall issue, upon the request of any Holder of Notes covered by the Shelf Registration Statement and only in connection with any valid sale of Notes by such Holder pursuant to such registration statement (and provided that such Holder delivers such certificates or opinions reasonably requested by the Company in connection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such sale), Exchange Notes having an aggregate principal amount equal to the aggregate principal amount of Notes surrendered to the Company by such Holder in exchange therefor or being sold by such Holder; such Exchange Notes to be registered in the name of such Holder or in the name of the purchaser(s) of such Exchange Notes, as the case may be; in return, the Notes held by such Holder shall be surrendered to the Company for cancellation; </w:t>
      </w:r>
    </w:p>
    <w:p>
      <w:pPr>
        <w:pStyle w:val="TextBody"/>
        <w:bidi w:val="0"/>
        <w:spacing w:before="120" w:after="0"/>
        <w:jc w:val="left"/>
        <w:rPr>
          <w:rFonts w:ascii="Times New Roman" w:hAnsi="Times New Roman"/>
          <w:sz w:val="20"/>
        </w:rPr>
      </w:pPr>
      <w:r>
        <w:rPr>
          <w:rFonts w:ascii="Times New Roman" w:hAnsi="Times New Roman"/>
          <w:sz w:val="20"/>
        </w:rPr>
        <w:t xml:space="preserve">(xiv) in the case of a Shelf Registration Statement, and subject to the forms of the Indenture, cooperate with the selling Holders and the underwriter(s), if any, to facilitate the timely preparation and delivery of certificates or book-entry receipts, as applicable, representing Registrable Notes to be sold and not bearing any restrictive legends; and enable such Registrable Notes or such book-entry receipts, as applicable, to be in such denominations and registered in such names as the Holders or the underwriter(s), if any, may request at least two Business Days prior to any sale of Registrable Notes made by such Holders or underwriter(s); </w:t>
      </w:r>
    </w:p>
    <w:p>
      <w:pPr>
        <w:pStyle w:val="TextBody"/>
        <w:bidi w:val="0"/>
        <w:spacing w:before="120" w:after="0"/>
        <w:jc w:val="left"/>
        <w:rPr>
          <w:rFonts w:ascii="Times New Roman" w:hAnsi="Times New Roman"/>
          <w:sz w:val="20"/>
        </w:rPr>
      </w:pPr>
      <w:r>
        <w:rPr>
          <w:rFonts w:ascii="Times New Roman" w:hAnsi="Times New Roman"/>
          <w:sz w:val="20"/>
        </w:rPr>
        <w:t xml:space="preserve">(xv) use its commercially reasonable efforts to cause the Registrable Notes covered by the Registration Statement to be registered with or approved by such other governmental agencies or authorities as may be necessary to enable the seller or sellers thereof or the underwriter(s), if any, to consummate the disposition of such Registrable Notes, subject to the proviso contained in Section 6(c)(xii) hereof; </w:t>
      </w:r>
    </w:p>
    <w:p>
      <w:pPr>
        <w:pStyle w:val="TextBody"/>
        <w:bidi w:val="0"/>
        <w:spacing w:before="120" w:after="0"/>
        <w:jc w:val="left"/>
        <w:rPr>
          <w:rFonts w:ascii="Times New Roman" w:hAnsi="Times New Roman"/>
          <w:sz w:val="20"/>
        </w:rPr>
      </w:pPr>
      <w:r>
        <w:rPr>
          <w:rFonts w:ascii="Times New Roman" w:hAnsi="Times New Roman"/>
          <w:sz w:val="20"/>
        </w:rPr>
        <w:t xml:space="preserve">(xvi) if any fact or event contemplated by Section 6(c)(iv)(D) hereof shall exist or have occurred, prepare a supplement or post-effective amendment to the Registration Statement or related Prospectus or any document incorporated therein by reference or file any other required document so that, as thereafter delivered to the purchasers of Registrable Notes, the Prospectus will not contain an untrue statement of a material fact or omit to state any material fact necessary in order to make the statements therein not misleading; </w:t>
      </w:r>
    </w:p>
    <w:p>
      <w:pPr>
        <w:pStyle w:val="TextBody"/>
        <w:bidi w:val="0"/>
        <w:spacing w:before="120" w:after="0"/>
        <w:jc w:val="left"/>
        <w:rPr>
          <w:rFonts w:ascii="Times New Roman" w:hAnsi="Times New Roman"/>
          <w:sz w:val="20"/>
        </w:rPr>
      </w:pPr>
      <w:r>
        <w:rPr>
          <w:rFonts w:ascii="Times New Roman" w:hAnsi="Times New Roman"/>
          <w:sz w:val="20"/>
        </w:rPr>
        <w:t xml:space="preserve">(xvii) not later than the effective date of the Registration Statement covering such Exchange Notes, provide that the CUSIP and ISIN numbers for all Exchange Notes shall be the same unrestricted CUSIP and ISIN numbers as borne by the Existing Notes and provide the Trustee under the Indenture with printed certificates for such Exchange Notes which are in a form eligible for deposit with the Depository Trust Company and take all other action necessary to ensure that all such Exchange Notes are eligible for deposit with the Depository Trust Company; </w:t>
      </w:r>
    </w:p>
    <w:p>
      <w:pPr>
        <w:pStyle w:val="TextBody"/>
        <w:bidi w:val="0"/>
        <w:spacing w:before="120" w:after="0"/>
        <w:jc w:val="left"/>
        <w:rPr>
          <w:rFonts w:ascii="Times New Roman" w:hAnsi="Times New Roman"/>
          <w:sz w:val="20"/>
        </w:rPr>
      </w:pPr>
      <w:r>
        <w:rPr>
          <w:rFonts w:ascii="Times New Roman" w:hAnsi="Times New Roman"/>
          <w:sz w:val="20"/>
        </w:rPr>
        <w:t xml:space="preserve">(xviii) cooperate and assist in any filings required to be made with the FINRA and in the performance of any due diligence investigation by any underwriter (including any qualified independent underwriter) that is required to be retained in accordance with the rules and regulations of the FINRA; </w:t>
      </w:r>
    </w:p>
    <w:p>
      <w:pPr>
        <w:pStyle w:val="TextBody"/>
        <w:bidi w:val="0"/>
        <w:spacing w:before="120" w:after="0"/>
        <w:jc w:val="left"/>
        <w:rPr>
          <w:rFonts w:ascii="Times New Roman" w:hAnsi="Times New Roman"/>
          <w:sz w:val="20"/>
        </w:rPr>
      </w:pPr>
      <w:r>
        <w:rPr>
          <w:rFonts w:ascii="Times New Roman" w:hAnsi="Times New Roman"/>
          <w:sz w:val="20"/>
        </w:rPr>
        <w:t xml:space="preserve">(xix) otherwise use its commercially reasonable efforts to comply with all applicable rules and regulations of the Commission, and make generally available to its security holders, as soon as practicable, a consolidated earnings statement meeting the requirements of Rule 158 under the Securities Act (which need not be audited) for the twelve-month period (A) commencing at the end of any fiscal quarter in which Registrable Notes are sold to underwriters in a firm commitment or commercially reasonable efforts Underwritten Offering or (B) if not sold to underwriters in such an offering, beginning with the first month of the Companys first fiscal quarter commencing after the effective date of the Registration Statement;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(xx) cause the Indenture to continue to be qualified under the Trust Indenture Act as of, and not later than the effective date of the first Registration Statement required by this Agreement, and, in connection therewith, cooperate with the Trustee and the Holders of Exchange Notes to effect such changes to the Indenture as may be required for such Indenture to remain so qualified in accordance with the terms of the Trust Indenture Act; and to execute and use its commercially reasonable efforts to cause the Trustee to execute, all documents that may be required to effect such changes and all other forms and documents required to be filed with the Commission to enable such Indenture to be so qualified in a timely manner. </w:t>
      </w:r>
    </w:p>
    <w:p>
      <w:pPr>
        <w:pStyle w:val="TextBody"/>
        <w:bidi w:val="0"/>
        <w:spacing w:before="240" w:after="0"/>
        <w:jc w:val="left"/>
        <w:rPr>
          <w:rFonts w:ascii="Times New Roman" w:hAnsi="Times New Roman"/>
          <w:sz w:val="20"/>
        </w:rPr>
      </w:pPr>
      <w:r>
        <w:rPr>
          <w:rFonts w:ascii="Times New Roman" w:hAnsi="Times New Roman"/>
          <w:sz w:val="20"/>
        </w:rPr>
        <w:t>Each Holder agrees by acquisition of a Registrable Note that, upon receipt of any notice from the Company of the existence of any fact of the kind described in Section 6(c)(iv)(D) hereof or any Suspension Period, such Holder will forthwith discontinue disposition of Registrable Notes pursuant to the applicable Registration Statement until such Holders receipt of the copies of the supplemented or amended Prospectus contemplated by Section 6(c)(xvi) hereof, or until it is advised in writing (the </w:t>
      </w:r>
      <w:r>
        <w:rPr>
          <w:rFonts w:ascii="Times New Roman" w:hAnsi="Times New Roman"/>
          <w:b/>
          <w:i/>
          <w:sz w:val="20"/>
        </w:rPr>
        <w:t>Advice</w:t>
      </w:r>
      <w:r>
        <w:rPr>
          <w:rFonts w:ascii="Times New Roman" w:hAnsi="Times New Roman"/>
          <w:sz w:val="20"/>
        </w:rPr>
        <w:t xml:space="preserve">) by the Company that the use of the Prospectus may be resumed, and has received copies of any additional or supplemental filings that are incorporated by reference in the Prospectus. If so directed by the Company, each Holder will deliver to the Company (at the Companys expense) all copies, other than permanent file copies then in such Holders possession, of the Prospectus covering such Registrable Notes that was current at the time of receipt of such notice. In the event the Company shall give any such notice, the time period regarding the effectiveness of such Registration Statement set forth in Section 3 or 4 hereof, as applicable, shall be extended by the number of days during the period from and including the date of the giving of such notice pursuant to Section 6(c)(iv)(D) hereof or notice of any Suspension Period to and including the date when each selling Holder covered by such Registration Statement shall have received the copies of the supplemented or amended Prospectus contemplated by Section 6(c)(xvi) hereof or shall have received the Advice; </w:t>
      </w:r>
      <w:r>
        <w:rPr>
          <w:rFonts w:ascii="Times New Roman" w:hAnsi="Times New Roman"/>
          <w:i/>
          <w:sz w:val="20"/>
        </w:rPr>
        <w:t>provided, however,</w:t>
      </w:r>
      <w:r>
        <w:rPr>
          <w:rFonts w:ascii="Times New Roman" w:hAnsi="Times New Roman"/>
          <w:sz w:val="20"/>
        </w:rPr>
        <w:t xml:space="preserve"> that no such extension shall be taken into account in determining whether Additional Interest is due pursuant to Section 5 hereof or the amount of such Additional Interest, it being agreed that the Companys option to suspend use of a Registration Statement pursuant to this paragraph shall be treated as a Registration Default for purposes of Section 5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7. </w:t>
      </w:r>
      <w:r>
        <w:rPr>
          <w:rFonts w:ascii="Times New Roman" w:hAnsi="Times New Roman"/>
          <w:i/>
          <w:sz w:val="20"/>
        </w:rPr>
        <w:t>Registration Expenses</w:t>
      </w:r>
      <w:r>
        <w:rPr>
          <w:rFonts w:ascii="Times New Roman" w:hAnsi="Times New Roman"/>
          <w:sz w:val="20"/>
        </w:rPr>
        <w:t xml:space="preserve">. All expenses incident to the Companys performance of or compliance with this Agreement will be borne by the Company regardless of whether a Registration Statement becomes or is declared effective, including, without limitation: (i) all registration and filing fees and expenses (including filings made by the Initial Purchasers or Holder with the FINRA (and, if applicable, the fees and expenses of any qualified independent underwriter and its counsel that may be required by the rules and regulations of the FINRA)); (ii) all fees and expenses of compliance with federal securities and state securities or blue sky laws; (iii) all expenses of printing (including printing certificates for the Exchange Notes to be issued in the Exchange Offer and printing of Prospectuses), messenger and delivery services and telephone; (iv) all fees and disbursements of counsel for the Company; (v) application and filing fees in connection with listing the Notes on a securities exchange or automated quotation system pursuant to the requirements thereof; and (vi) all fees and disbursements of independent certified public accountants of the Company (including the expenses of any special audit and comfort letters required by or incident to such performance).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in any event, bear its internal expenses (including, without limitation, all salaries and expenses of its officers and employees performing legal or accounting duties), the expenses of any annual audit and the fees and expenses of any Person, including special experts, retained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 </w:t>
      </w:r>
      <w:r>
        <w:rPr>
          <w:rFonts w:ascii="Times New Roman" w:hAnsi="Times New Roman"/>
          <w:i/>
          <w:sz w:val="20"/>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agrees to indemnify and hold harmless (i) each Holder and (ii) each Person, if any, who controls (within the meaning of Section 15 of the Securities Act or Section 20 of the Exchange Act) any Holder (any of the Persons referred to in this clause (ii) being hereinafter referred to as a </w:t>
      </w:r>
      <w:r>
        <w:rPr>
          <w:rFonts w:ascii="Times New Roman" w:hAnsi="Times New Roman"/>
          <w:b/>
          <w:i/>
          <w:sz w:val="20"/>
        </w:rPr>
        <w:t>Controlling Person</w:t>
      </w:r>
      <w:r>
        <w:rPr>
          <w:rFonts w:ascii="Times New Roman" w:hAnsi="Times New Roman"/>
          <w:sz w:val="20"/>
        </w:rPr>
        <w:t>) and (iii) the respective officers, trustees, partners, employees, representatives and agents of any Holder or any Controlling Person (any Person referred to in clause (i), (ii) or (iii) may hereinafter be referred to as an </w:t>
      </w:r>
      <w:r>
        <w:rPr>
          <w:rFonts w:ascii="Times New Roman" w:hAnsi="Times New Roman"/>
          <w:b/>
          <w:i/>
          <w:sz w:val="20"/>
        </w:rPr>
        <w:t>Indemnified Holder</w:t>
      </w:r>
      <w:r>
        <w:rPr>
          <w:rFonts w:ascii="Times New Roman" w:hAnsi="Times New Roman"/>
          <w:sz w:val="20"/>
        </w:rPr>
        <w:t xml:space="preserve">), to the fullest extent lawful, from and against any and all losses, claims, damages, liabilities, judgments, actions and expenses (including, without limitation, and as incurred, reimbursement of all reasonable costs of investigating, preparing, pursuing, settling, compromising, paying or defending any claim or action, or any investigation or proceeding by any governmental agency or body, commenced or threatened, including the reasonable and documented fees and expenses of counsel to any Indemnified Holder), joint or several, directly or indirectly caused by, related to, based upon, arising out of or in connection with any untrue statement or alleged untrue statement of a material fact contained in any Registration Statement or Prospectus (or any amendment or supplement thereto), or any omission or alleged omission to state therein a material fact required to be stated therein or necessary to make the statements therein (in the case of any Prospectus, in the light of the circumstances under which they were made), not misleading, except insofar as such losses, claims, damages, liabilities or expenses are caused by an untrue statement or omission or alleged untrue statement or omission that is made in reliance upon and in conformity with information relating to any of the Holders furnished in writing to the Company by or on behalf of any of the Holders expressly for use therein. This indemnity agreement shall be in addition to any liability which the Company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In case any action or proceeding (including any governmental or regulatory investigation or proceeding) shall be brought or asserted against any of the Indemnified Holders with respect to which indemnity may be sought against the Company, such Indemnified Holder (or the Indemnified Holder controlled by such Controlling Person) shall promptly notify the Company in writing; </w:t>
      </w:r>
      <w:r>
        <w:rPr>
          <w:rFonts w:ascii="Times New Roman" w:hAnsi="Times New Roman"/>
          <w:i/>
          <w:sz w:val="20"/>
        </w:rPr>
        <w:t>provided, however,</w:t>
      </w:r>
      <w:r>
        <w:rPr>
          <w:rFonts w:ascii="Times New Roman" w:hAnsi="Times New Roman"/>
          <w:sz w:val="20"/>
        </w:rPr>
        <w:t xml:space="preserve"> that the failure to give such notice shall not relieve any of the Company of its obligations pursuant to this Agreement unless and to the extent the Company did not otherwise learn of such action and such failure results in the forfeiture by the Company of substantial rights and defenses. Such Indemnified Holder shall have the right to employ its own counsel in any such action and the reasonable and documented fees and expenses of such counsel shall be paid, as incurred, by the Company (regardless of whether it is ultimately determined that an Indemnified Holder is not entitled to indemnification hereunder). The Company shall not, in connection with any one such action or proceeding or separate but substantially similar or related actions or proceedings in the same jurisdiction arising out of the same general allegations or circumstances, be liable for the reasonable and documented fees and expenses of more than one separate firm of attorneys (in addition to one local counsel for all indemnified parties taken as a whole in each jurisdiction reasonably required and, in the event of an actual conflict, one additional counsel in each relevant jurisdiction for the affected indemnified parties similarly situated taken as a whole) at any time for such Indemnified Holders, which firm shall be designated by the Holders. The Company shall be liable for any settlement of any such action or proceeding effected with the Companys prior written consent, which consent shall not be unreasonably withheld or delayed, and the Company agrees to indemnify and hold harmless any Indemnified Holder from and against any loss, claim, damage, liability or expense by reason of any settlement of any action effected with the written consent of the Company. The Company shall not, without the prior written consent of each Indemnified Holder, settle or compromise or consent to the entry of judgment in or otherwise seek to terminate any pending or threatened action, claim, litigation or proceeding in respect of which indemnification or contribution may be sought hereunder (whether or not any Indemnified Holder is a party thereto), unless such settlement, compromise, consent or termination (i) includes a complete and unconditional release of each Indemnified Holder from all liability arising out of such action, claim, litigation or proceeding and (ii) does not include a statement as to or an admission of fault, culpability or a failure to act, by or on behalf of any Indemnified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Each Holder of Registrable Notes agrees, severally and not jointly, to indemnify and hold harmless the Company and its trustees and officers who sign a Registration Statement, and any Person controlling (within the meaning of Section 15 of the Securities Act or Section 20 of the Exchange Act) the Company and its officers, trustees, partners, employees, representatives and agents, to the same extent as the foregoing indemnity from the Company to each of the Indemnified Holders, but only with respect to claims and actions based on information relating to such Holder furnished in writing by or on behalf of such Holder expressly for use in any Registration Statement. In case any action or proceeding shall be brought against the Company or its trustees or officers or any such Controlling Person in respect of which indemnity may be sought against a Holder of Registrable Notes, such Holder shall have the rights and duties given to the Company, and the Company and its trustees and officers and such Controlling Person shall have the rights and duties given to each Holder by the preceding paragraph. This indemnity agreement shall be in addition to any liability which Holders may otherwise have. </w:t>
      </w:r>
    </w:p>
    <w:p>
      <w:pPr>
        <w:pStyle w:val="TextBody"/>
        <w:bidi w:val="0"/>
        <w:spacing w:before="240" w:after="0"/>
        <w:jc w:val="left"/>
        <w:rPr>
          <w:rFonts w:ascii="Times New Roman" w:hAnsi="Times New Roman"/>
          <w:sz w:val="20"/>
        </w:rPr>
      </w:pPr>
      <w:r>
        <w:rPr>
          <w:rFonts w:ascii="Times New Roman" w:hAnsi="Times New Roman"/>
          <w:sz w:val="20"/>
        </w:rPr>
        <w:t xml:space="preserve">(c) If the indemnification provided for in this Section 8 is unavailable to an indemnified party under Section 8(a) or (b) hereof (other than by reason of exceptions provided in those Sections) in respect of any losses, claims, damages, liabilities, judgments, actions or expenses referred to therein, then each applicable indemnifying party, in lieu of indemnifying such indemnified party, shall contribute to the amount paid or payable by such indemnified party as a result of such losses, claims, damages, liabilities, judgments, actions or expenses in such proportion as is appropriate to reflect the relative benefits received by the Company, on the one hand, and the Holders, on the other hand, from the Initial Placement (which in the case of the Company shall be deemed to be equal to the total gross proceeds to the Company from the Initial Placement), the amount of Additional Interest which did not become payable as a result of the filing of the Registration Statement resulting in such losses, claims, damages, liabilities, judgments, actions or expenses, and such Registration Statement, or if such allocation is not permitted by applicable law, the relative fault of the Company, on the one hand, and the Holders, on the other hand, in connection with the statements or omissions which resulted in such losses, claims, damages, liabilities or expenses, as well as any other relevant equitable considerations. The relative fault of the Company, on the one hand, and of the Indemnified Holder, on the other hand, shall be determined by reference to, among other things, whether the untrue or alleged untrue statement of a material fact or the omission or alleged omission to state a material fact relates to information supplied by the Company, on the one hand, or the Indemnified Holders, on the other hand,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the second paragraph of Section 8(a) hereof, any legal or other fees or expenses reasonably incurred by such party in connection with investigating or defending any action or claim. </w:t>
      </w:r>
    </w:p>
    <w:p>
      <w:pPr>
        <w:pStyle w:val="TextBody"/>
        <w:bidi w:val="0"/>
        <w:spacing w:before="240" w:after="0"/>
        <w:jc w:val="left"/>
        <w:rPr>
          <w:rFonts w:ascii="Times New Roman" w:hAnsi="Times New Roman"/>
          <w:sz w:val="20"/>
        </w:rPr>
      </w:pPr>
      <w:r>
        <w:rPr>
          <w:rFonts w:ascii="Times New Roman" w:hAnsi="Times New Roman"/>
          <w:sz w:val="20"/>
        </w:rPr>
        <w:t xml:space="preserve">The Company and each Holder of Registrable Notes agrees that it would not be just and equitable if contribution pursuant to this Section 8(c) were determined by pro rata allocation (even if the Holders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liabilities or expenses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Section 8, none of the Holders (and its related Indemnified Holders) shall be required to contribute,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aggregate, any amount in excess of the amount by which the total discount received by such Holder with respect to the Notes exceeds the amount of any damages which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Holders obligations to contribute pursuant to this Section 8(c) are several in proportion to the respective principal amount of Notes held by each of the Holders hereunder and not joint. </w:t>
      </w:r>
    </w:p>
    <w:p>
      <w:pPr>
        <w:pStyle w:val="TextBody"/>
        <w:bidi w:val="0"/>
        <w:spacing w:before="240" w:after="0"/>
        <w:jc w:val="left"/>
        <w:rPr>
          <w:rFonts w:ascii="Times New Roman" w:hAnsi="Times New Roman"/>
          <w:sz w:val="20"/>
        </w:rPr>
      </w:pPr>
      <w:r>
        <w:rPr>
          <w:rFonts w:ascii="Times New Roman" w:hAnsi="Times New Roman"/>
          <w:sz w:val="20"/>
        </w:rPr>
        <w:t xml:space="preserve">SECTION 9. </w:t>
      </w:r>
      <w:r>
        <w:rPr>
          <w:rFonts w:ascii="Times New Roman" w:hAnsi="Times New Roman"/>
          <w:i/>
          <w:sz w:val="20"/>
        </w:rPr>
        <w:t xml:space="preserve">Rule 144A. </w:t>
      </w:r>
      <w:r>
        <w:rPr>
          <w:rFonts w:ascii="Times New Roman" w:hAnsi="Times New Roman"/>
          <w:sz w:val="20"/>
        </w:rPr>
        <w:t xml:space="preserve">The Company hereby agrees with each Holder, for so long as any Registrable Notes remain outstanding, to make available to any Holder or beneficial owner of Registrable Notes in connection with any sale thereof and any prospective purchaser of such Registrable Notes from such Holder or beneficial owner, the information required by Rule 144A(d)(4) under the Securities Act in order to permit resales of such Registrable Notes pursuant to Rule 144A under the Securities Act, unless the Company is then subject to Section 13 or 15(d) of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SECTION 10. </w:t>
      </w:r>
      <w:r>
        <w:rPr>
          <w:rFonts w:ascii="Times New Roman" w:hAnsi="Times New Roman"/>
          <w:i/>
          <w:sz w:val="20"/>
        </w:rPr>
        <w:t xml:space="preserve">Participation in Underwritten Registrations. </w:t>
      </w:r>
      <w:r>
        <w:rPr>
          <w:rFonts w:ascii="Times New Roman" w:hAnsi="Times New Roman"/>
          <w:sz w:val="20"/>
        </w:rPr>
        <w:t xml:space="preserve">No Holder may participate in any Underwritten Registration hereunder unless such Holder (a) agrees to sell such Holders Registrable Notes on the basis provided in any underwriting arrangements approved by the Persons entitled hereunder to approve such arrangements and (b) completes and executes all reasonable questionnaires, powers of attorney, indemnities, underwriting agreements, lock-up letters and other documents required under the terms of such underwriting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i/>
          <w:sz w:val="20"/>
        </w:rPr>
        <w:t xml:space="preserve">Selection of Underwriters. </w:t>
      </w:r>
      <w:r>
        <w:rPr>
          <w:rFonts w:ascii="Times New Roman" w:hAnsi="Times New Roman"/>
          <w:sz w:val="20"/>
        </w:rPr>
        <w:t xml:space="preserve">If requested by the Holders of a majority in aggregate principal amount of the Registrable Notes covered by the Shelf Registration Statement, the Holders of Registrable Notes covered by the Shelf Registration Statement who desire to do so may sell such Registrable Notes in an Underwritten Offering. In such Underwritten Offering, the investment banker(s) and managing underwriter(s) that will administer such offering will be selected by the Holders of a majority in aggregate principal amount of the Registrable Notes included in such offering; </w:t>
      </w:r>
      <w:r>
        <w:rPr>
          <w:rFonts w:ascii="Times New Roman" w:hAnsi="Times New Roman"/>
          <w:i/>
          <w:sz w:val="20"/>
        </w:rPr>
        <w:t>provided, however</w:t>
      </w:r>
      <w:r>
        <w:rPr>
          <w:rFonts w:ascii="Times New Roman" w:hAnsi="Times New Roman"/>
          <w:sz w:val="20"/>
        </w:rPr>
        <w:t xml:space="preserve">, that such investment banker(s) and managing underwriter(s) must be reasonably satisfactory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12. </w:t>
      </w:r>
      <w:r>
        <w:rPr>
          <w:rFonts w:ascii="Times New Roman" w:hAnsi="Times New Roman"/>
          <w:i/>
          <w:sz w:val="20"/>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Remedies. </w:t>
      </w:r>
      <w:r>
        <w:rPr>
          <w:rFonts w:ascii="Times New Roman" w:hAnsi="Times New Roman"/>
          <w:sz w:val="20"/>
        </w:rPr>
        <w:t xml:space="preserve">The Company hereby agrees that monetary damages would not be adequate compensation for any loss incurred by reason of a breach by it of the provisions of this Agreement and hereby agrees to waive the defense in any action for specific performance that a remedy at law would be adequate.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Inconsistent Agreements. </w:t>
      </w:r>
      <w:r>
        <w:rPr>
          <w:rFonts w:ascii="Times New Roman" w:hAnsi="Times New Roman"/>
          <w:sz w:val="20"/>
        </w:rPr>
        <w:t xml:space="preserve">The Company will not on or after the date of this Agreement enter into any agreement with respect to its securities that is inconsistent with the rights granted to the Holders in this Agreement or otherwise conflicts with the provisions hereof. The rights granted to the Holders hereunder do not in any way conflict with and are not inconsistent with the rights granted to the holders of the Companys securities under any agreement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Adjustments Affecting the Notes. </w:t>
      </w:r>
      <w:r>
        <w:rPr>
          <w:rFonts w:ascii="Times New Roman" w:hAnsi="Times New Roman"/>
          <w:sz w:val="20"/>
        </w:rPr>
        <w:t xml:space="preserve">The Company will not take any action, or permit any change to occur, with respect to the Registrable Notes that would materially and adversely affect the ability of the Holders to Consummate any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Amendments and Waivers. </w:t>
      </w:r>
      <w:r>
        <w:rPr>
          <w:rFonts w:ascii="Times New Roman" w:hAnsi="Times New Roman"/>
          <w:sz w:val="20"/>
        </w:rPr>
        <w:t xml:space="preserve">The provisions of this Agreement may not be amended, modified or supplemented, and waivers or consents to or departures from the provisions hereof may not be given unless the Company have (i) in the case of Section 5 hereof and this Section 12(d)(i), obtained the written consent of Holders of all outstanding Registrable Notes and (ii) in the case of all other provisions hereof, obtained the written consent of Holders of a majority of the outstanding principal amount of Registrable Notes (excluding any Registrable Notes held by the Company or its Affiliates). Notwithstanding the foregoing, a waiver or consent to departure from the provisions hereof that relates exclusively to the rights of Holders whose securities are being tendered pursuant to the Exchange Offer and that does not affect directly or indirectly the rights of other Holders whose securities are not being tendered pursuant to such Exchange Offer may be given by the Holders of a majority of the outstanding principal amount of Registrable Notes being tendered or registered; </w:t>
      </w:r>
      <w:r>
        <w:rPr>
          <w:rFonts w:ascii="Times New Roman" w:hAnsi="Times New Roman"/>
          <w:i/>
          <w:sz w:val="20"/>
        </w:rPr>
        <w:t>provided, however,</w:t>
      </w:r>
      <w:r>
        <w:rPr>
          <w:rFonts w:ascii="Times New Roman" w:hAnsi="Times New Roman"/>
          <w:sz w:val="20"/>
        </w:rPr>
        <w:t xml:space="preserve"> that, with respect to any matter that directly or indirectly affects the rights of the Initial Purchasers hereunder, the Company shall obtain the written consent of the Initial Purchasers with respect to which such amendment, qualification, supplement, waiver, consent or departure is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Notices. </w:t>
      </w:r>
      <w:r>
        <w:rPr>
          <w:rFonts w:ascii="Times New Roman" w:hAnsi="Times New Roman"/>
          <w:sz w:val="20"/>
        </w:rPr>
        <w:t xml:space="preserve">All notices and other communications provided for or permitted hereunder shall be made in writing by hand-delivery, first-class mail (registered or certified, return receipt requested), or air courier guaranteeing overnight delivery: </w:t>
      </w:r>
    </w:p>
    <w:p>
      <w:pPr>
        <w:pStyle w:val="TextBody"/>
        <w:bidi w:val="0"/>
        <w:spacing w:before="120" w:after="0"/>
        <w:jc w:val="left"/>
        <w:rPr>
          <w:rFonts w:ascii="Times New Roman" w:hAnsi="Times New Roman"/>
          <w:sz w:val="20"/>
        </w:rPr>
      </w:pPr>
      <w:r>
        <w:rPr>
          <w:rFonts w:ascii="Times New Roman" w:hAnsi="Times New Roman"/>
          <w:sz w:val="20"/>
        </w:rPr>
        <w:t xml:space="preserve">(i) if to a Holder, at the address set forth on the records of the Registrar under the Indenture, with a copy to the Registrar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(ii) if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Sixth Street Lending Partners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rFonts w:ascii="Times New Roman" w:hAnsi="Times New Roman"/>
          <w:sz w:val="20"/>
        </w:rPr>
      </w:pPr>
      <w:r>
        <w:rPr>
          <w:rFonts w:ascii="Times New Roman" w:hAnsi="Times New Roman"/>
          <w:sz w:val="20"/>
        </w:rPr>
        <w:t xml:space="preserve">Attention: Ian Simmonds </w:t>
      </w:r>
    </w:p>
    <w:p>
      <w:pPr>
        <w:pStyle w:val="TextBody"/>
        <w:bidi w:val="0"/>
        <w:spacing w:before="120" w:after="0"/>
        <w:jc w:val="left"/>
        <w:rPr>
          <w:rFonts w:ascii="Times New Roman" w:hAnsi="Times New Roman"/>
          <w:sz w:val="20"/>
        </w:rPr>
      </w:pPr>
      <w:r>
        <w:rPr>
          <w:rFonts w:ascii="Times New Roman" w:hAnsi="Times New Roman"/>
          <w:sz w:val="20"/>
        </w:rPr>
        <w:t xml:space="preserve">With a copy to: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900 G Street, NW </w:t>
      </w:r>
    </w:p>
    <w:p>
      <w:pPr>
        <w:pStyle w:val="TextBody"/>
        <w:bidi w:val="0"/>
        <w:spacing w:before="0" w:after="0"/>
        <w:jc w:val="left"/>
        <w:rPr>
          <w:rFonts w:ascii="Times New Roman" w:hAnsi="Times New Roman"/>
          <w:sz w:val="20"/>
        </w:rPr>
      </w:pPr>
      <w:r>
        <w:rPr>
          <w:rFonts w:ascii="Times New Roman" w:hAnsi="Times New Roman"/>
          <w:sz w:val="20"/>
        </w:rPr>
        <w:t xml:space="preserve">Washington, D.C. 20001 </w:t>
      </w:r>
    </w:p>
    <w:p>
      <w:pPr>
        <w:pStyle w:val="TextBody"/>
        <w:bidi w:val="0"/>
        <w:spacing w:before="0" w:after="0"/>
        <w:jc w:val="left"/>
        <w:rPr>
          <w:rFonts w:ascii="Times New Roman" w:hAnsi="Times New Roman"/>
          <w:sz w:val="20"/>
        </w:rPr>
      </w:pPr>
      <w:r>
        <w:rPr>
          <w:rFonts w:ascii="Times New Roman" w:hAnsi="Times New Roman"/>
          <w:sz w:val="20"/>
        </w:rPr>
        <w:t xml:space="preserve">Attention: Steven Grigoriou </w:t>
      </w:r>
    </w:p>
    <w:p>
      <w:pPr>
        <w:pStyle w:val="TextBody"/>
        <w:bidi w:val="0"/>
        <w:spacing w:before="240" w:after="0"/>
        <w:jc w:val="left"/>
        <w:rPr>
          <w:rFonts w:ascii="Times New Roman" w:hAnsi="Times New Roman"/>
          <w:sz w:val="20"/>
        </w:rPr>
      </w:pPr>
      <w:r>
        <w:rPr>
          <w:rFonts w:ascii="Times New Roman" w:hAnsi="Times New Roman"/>
          <w:sz w:val="20"/>
        </w:rPr>
        <w:t xml:space="preserve">All such notices and communications shall be deemed to have been duly given: at the time delivered by hand, if personally delivered; five Business Days after being deposited in the mail, postage prepaid, if mailed; and on the next Business Day, if timely delivered to an air courier guaranteeing overnight delivery. </w:t>
      </w:r>
    </w:p>
    <w:p>
      <w:pPr>
        <w:pStyle w:val="TextBody"/>
        <w:bidi w:val="0"/>
        <w:spacing w:before="240" w:after="0"/>
        <w:jc w:val="left"/>
        <w:rPr>
          <w:rFonts w:ascii="Times New Roman" w:hAnsi="Times New Roman"/>
          <w:sz w:val="20"/>
        </w:rPr>
      </w:pPr>
      <w:r>
        <w:rPr>
          <w:rFonts w:ascii="Times New Roman" w:hAnsi="Times New Roman"/>
          <w:sz w:val="20"/>
        </w:rPr>
        <w:t xml:space="preserve">Copies of all such notices, demands or other communications shall be concurrently delivered by the Person giving the same to the Trustee at the address specified in the Indenture.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Successors and Assigns. </w:t>
      </w:r>
      <w:r>
        <w:rPr>
          <w:rFonts w:ascii="Times New Roman" w:hAnsi="Times New Roman"/>
          <w:sz w:val="20"/>
        </w:rPr>
        <w:t xml:space="preserve">This Agreement shall inure to the benefit of and be binding upon the successors and assigns of each of the parties, including, without limitation, and without the need for an express assignment, subsequent Holders of Registrable Notes; </w:t>
      </w:r>
      <w:r>
        <w:rPr>
          <w:rFonts w:ascii="Times New Roman" w:hAnsi="Times New Roman"/>
          <w:i/>
          <w:sz w:val="20"/>
        </w:rPr>
        <w:t>provided, however</w:t>
      </w:r>
      <w:r>
        <w:rPr>
          <w:rFonts w:ascii="Times New Roman" w:hAnsi="Times New Roman"/>
          <w:sz w:val="20"/>
        </w:rPr>
        <w:t xml:space="preserve">, that this Agreement shall not inure to the benefit of or be binding upon a successor or assign of a Holder unless and to the extent such successor or assign acquired Registrable Notes from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Counterparts. </w:t>
      </w:r>
      <w:r>
        <w:rPr>
          <w:rFonts w:ascii="Times New Roman" w:hAnsi="Times New Roman"/>
          <w:sz w:val="20"/>
        </w:rPr>
        <w:t xml:space="preserve">This Agreement may be executed in any number of counterparts (including by facsimile or other method of electronic transmission) and by the parties hereto in separate counterparts, each of which when so executed shall be deemed to be an original and all of which taken together shall constitute one and the same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Headings. </w:t>
      </w:r>
      <w:r>
        <w:rPr>
          <w:rFonts w:ascii="Times New Roman" w:hAnsi="Times New Roman"/>
          <w:sz w:val="20"/>
        </w:rPr>
        <w:t xml:space="preserve">The headings in this Agreement are for convenience of reference only and shall not limit or otherwise affect the meaning hereof.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Governing Law. </w:t>
      </w:r>
      <w:r>
        <w:rPr>
          <w:rFonts w:ascii="Times New Roman" w:hAnsi="Times New Roman"/>
          <w:sz w:val="20"/>
        </w:rPr>
        <w:t xml:space="preserve">THIS AGREEMENT SHALL BE GOVERNED BY AND CONSTRUED IN ACCORDANCE WITH THE LAWS OF THE STATE OF NEW YORK, WITHOUT REGARD TO THE CONFLICTS OF LAW RULES THEREOF.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Severability. </w:t>
      </w:r>
      <w:r>
        <w:rPr>
          <w:rFonts w:ascii="Times New Roman" w:hAnsi="Times New Roman"/>
          <w:sz w:val="20"/>
        </w:rPr>
        <w:t xml:space="preserve">In the event that any one or more of the provisions contained herein, or the application thereof in any circumstance, is held invalid, illegal or unenforceable, the validity, legality and enforceability of any such provision in every other respect and of the remaining provisions contained herein shall not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Entire Agreement. </w:t>
      </w:r>
      <w:r>
        <w:rPr>
          <w:rFonts w:ascii="Times New Roman" w:hAnsi="Times New Roman"/>
          <w:sz w:val="20"/>
        </w:rPr>
        <w:t xml:space="preserve">This Agreement is intended by the parties as a final expression of their agreement and intended to be a complete and exclusive statement of the agreement and understanding of the parties hereto in respect of the subject matter contained herein. There are no restrictions, promises, warranties or undertakings, other than those set forth or referred to herein with respect to the registration rights granted by the Company with respect to the Registrable Notes. This Agreement supersedes all prior agreements and understandings between the parties with respect to such subject matter.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i/>
          <w:sz w:val="20"/>
        </w:rPr>
        <w:t>Third Party Beneficiaries.</w:t>
      </w:r>
      <w:r>
        <w:rPr>
          <w:rFonts w:ascii="Times New Roman" w:hAnsi="Times New Roman"/>
          <w:sz w:val="20"/>
        </w:rPr>
        <w:t xml:space="preserve"> Each Holder shall be a third party beneficiary to the agreements made hereunder between the Company, on the one hand, and the Initial Purchasers, on the other hand, and shall have the right to enforce such agreements directly to the extent it deems such enforcement necessary or advisable to protect its rights or the rights of other Holders hereunder.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8"/>
        <w:gridCol w:w="60"/>
        <w:gridCol w:w="3664"/>
      </w:tblGrid>
      <w:tr>
        <w:trPr/>
        <w:tc>
          <w:tcPr>
            <w:tcW w:w="3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SIXTH STREET LENDING PARTNERS</w:t>
            </w:r>
          </w:p>
        </w:tc>
      </w:tr>
      <w:tr>
        <w:trPr>
          <w:trHeight w:val="240" w:hRule="atLeast"/>
        </w:trPr>
        <w:tc>
          <w:tcPr>
            <w:tcW w:w="358" w:type="dxa"/>
            <w:tcBorders/>
            <w:vAlign w:val="center"/>
          </w:tcPr>
          <w:p>
            <w:pPr>
              <w:pStyle w:val="TableContents"/>
              <w:bidi w:val="0"/>
              <w:spacing w:before="0" w:after="283"/>
              <w:jc w:val="left"/>
              <w:rPr>
                <w:sz w:val="4"/>
                <w:szCs w:val="4"/>
              </w:rPr>
            </w:pPr>
            <w:r>
              <w:rPr>
                <w:sz w:val="4"/>
                <w:szCs w:val="4"/>
              </w:rPr>
            </w:r>
          </w:p>
        </w:tc>
        <w:tc>
          <w:tcPr>
            <w:tcW w:w="3724" w:type="dxa"/>
            <w:gridSpan w:val="2"/>
            <w:tcBorders/>
            <w:vAlign w:val="center"/>
          </w:tcPr>
          <w:p>
            <w:pPr>
              <w:pStyle w:val="TableContents"/>
              <w:bidi w:val="0"/>
              <w:spacing w:before="0" w:after="283"/>
              <w:jc w:val="left"/>
              <w:rPr>
                <w:sz w:val="4"/>
                <w:szCs w:val="4"/>
              </w:rPr>
            </w:pPr>
            <w:r>
              <w:rPr>
                <w:sz w:val="4"/>
                <w:szCs w:val="4"/>
              </w:rPr>
            </w:r>
          </w:p>
        </w:tc>
      </w:tr>
      <w:tr>
        <w:trPr/>
        <w:tc>
          <w:tcPr>
            <w:tcW w:w="358"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64" w:type="dxa"/>
            <w:tcBorders>
              <w:bottom w:val="single" w:sz="2" w:space="0" w:color="000000"/>
            </w:tcBorders>
            <w:tcMar>
              <w:bottom w:w="28" w:type="dxa"/>
            </w:tcMar>
          </w:tcPr>
          <w:p>
            <w:pPr>
              <w:pStyle w:val="TableContents"/>
              <w:bidi w:val="0"/>
              <w:spacing w:before="0" w:after="283"/>
              <w:jc w:val="left"/>
              <w:rPr/>
            </w:pPr>
            <w:r>
              <w:rPr/>
              <w:t>/s/ Ian Simmonds</w:t>
            </w:r>
          </w:p>
        </w:tc>
      </w:tr>
      <w:tr>
        <w:trPr/>
        <w:tc>
          <w:tcPr>
            <w:tcW w:w="358"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Name: Ian Simmonds</w:t>
            </w:r>
          </w:p>
        </w:tc>
      </w:tr>
      <w:tr>
        <w:trPr/>
        <w:tc>
          <w:tcPr>
            <w:tcW w:w="35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4" w:type="dxa"/>
            <w:tcBorders/>
            <w:vAlign w:val="bottom"/>
          </w:tcPr>
          <w:p>
            <w:pPr>
              <w:pStyle w:val="TableContents"/>
              <w:bidi w:val="0"/>
              <w:spacing w:before="0" w:after="283"/>
              <w:jc w:val="left"/>
              <w:rPr/>
            </w:pPr>
            <w:r>
              <w:rPr/>
              <w:t>Title: Chief Financial Officer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Registration Rights Agreement is hereby confirmed and accepted as of the date first above written: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46"/>
        <w:gridCol w:w="60"/>
        <w:gridCol w:w="3676"/>
      </w:tblGrid>
      <w:tr>
        <w:trPr/>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BOFA SECURITIES, INC.</w:t>
            </w:r>
          </w:p>
        </w:tc>
      </w:tr>
      <w:tr>
        <w:trPr>
          <w:trHeight w:val="240" w:hRule="atLeast"/>
        </w:trPr>
        <w:tc>
          <w:tcPr>
            <w:tcW w:w="346" w:type="dxa"/>
            <w:tcBorders/>
            <w:vAlign w:val="center"/>
          </w:tcPr>
          <w:p>
            <w:pPr>
              <w:pStyle w:val="TableContents"/>
              <w:bidi w:val="0"/>
              <w:spacing w:before="0" w:after="283"/>
              <w:jc w:val="left"/>
              <w:rPr>
                <w:sz w:val="4"/>
                <w:szCs w:val="4"/>
              </w:rPr>
            </w:pPr>
            <w:r>
              <w:rPr>
                <w:sz w:val="4"/>
                <w:szCs w:val="4"/>
              </w:rPr>
            </w:r>
          </w:p>
        </w:tc>
        <w:tc>
          <w:tcPr>
            <w:tcW w:w="3736" w:type="dxa"/>
            <w:gridSpan w:val="2"/>
            <w:tcBorders/>
            <w:vAlign w:val="center"/>
          </w:tcPr>
          <w:p>
            <w:pPr>
              <w:pStyle w:val="TableContents"/>
              <w:bidi w:val="0"/>
              <w:spacing w:before="0" w:after="283"/>
              <w:jc w:val="left"/>
              <w:rPr>
                <w:sz w:val="4"/>
                <w:szCs w:val="4"/>
              </w:rPr>
            </w:pPr>
            <w:r>
              <w:rPr>
                <w:sz w:val="4"/>
                <w:szCs w:val="4"/>
              </w:rPr>
            </w:r>
          </w:p>
        </w:tc>
      </w:tr>
      <w:tr>
        <w:trPr/>
        <w:tc>
          <w:tcPr>
            <w:tcW w:w="34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76" w:type="dxa"/>
            <w:tcBorders>
              <w:bottom w:val="single" w:sz="2" w:space="0" w:color="000000"/>
            </w:tcBorders>
            <w:tcMar>
              <w:bottom w:w="28" w:type="dxa"/>
            </w:tcMar>
          </w:tcPr>
          <w:p>
            <w:pPr>
              <w:pStyle w:val="TableContents"/>
              <w:bidi w:val="0"/>
              <w:spacing w:before="0" w:after="283"/>
              <w:jc w:val="left"/>
              <w:rPr/>
            </w:pPr>
            <w:r>
              <w:rPr/>
              <w:t>/s/ Randolph Randolph</w:t>
            </w:r>
          </w:p>
        </w:tc>
      </w:tr>
      <w:tr>
        <w:trPr/>
        <w:tc>
          <w:tcPr>
            <w:tcW w:w="34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Name: Randolph Randolph</w:t>
            </w:r>
          </w:p>
        </w:tc>
      </w:tr>
      <w:tr>
        <w:trPr/>
        <w:tc>
          <w:tcPr>
            <w:tcW w:w="34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6" w:type="dxa"/>
            <w:tcBorders/>
            <w:vAlign w:val="bottom"/>
          </w:tcPr>
          <w:p>
            <w:pPr>
              <w:pStyle w:val="TableContents"/>
              <w:bidi w:val="0"/>
              <w:spacing w:before="0" w:after="283"/>
              <w:jc w:val="left"/>
              <w:rPr/>
            </w:pPr>
            <w:r>
              <w:rPr/>
              <w:t>Title: Managing Director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154</Pages>
  <Words>78010</Words>
  <Characters>397201</Characters>
  <CharactersWithSpaces>474762</CharactersWithSpaces>
  <Paragraphs>2928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EX-4.4</dc:title>
</cp:coreProperties>
</file>