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(Amendment No. 1) </w:t>
      </w:r>
      <w:r>
        <w:rPr>
          <w:rFonts w:ascii="Arial" w:cs="Arial" w:eastAsia="Arial" w:hAnsi="Arial"/>
          <w:sz w:val="35"/>
          <w:szCs w:val="35"/>
          <w:color w:val="auto"/>
          <w:vertAlign w:val="superscript"/>
        </w:rPr>
        <w:t>*</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SIXTH STREET LENDING PARTNERS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Common shares of beneficial interest, par value $0.001 per share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2022</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this Statement)</w:t>
      </w: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23" w:lineRule="exact"/>
        <w:rPr>
          <w:sz w:val="24"/>
          <w:szCs w:val="24"/>
          <w:color w:val="auto"/>
        </w:rPr>
      </w:pPr>
    </w:p>
    <w:p>
      <w:pPr>
        <w:jc w:val="both"/>
        <w:ind w:left="220" w:right="9840" w:hanging="5"/>
        <w:spacing w:after="0" w:line="323" w:lineRule="auto"/>
        <w:tabs>
          <w:tab w:leader="none" w:pos="3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13d-1(c) o Rule 13d-1(d)</w:t>
      </w:r>
    </w:p>
    <w:p>
      <w:pPr>
        <w:spacing w:after="0" w:line="358" w:lineRule="exact"/>
        <w:rPr>
          <w:rFonts w:ascii="Arial" w:cs="Arial" w:eastAsia="Arial" w:hAnsi="Arial"/>
          <w:sz w:val="16"/>
          <w:szCs w:val="16"/>
          <w:color w:val="auto"/>
        </w:rPr>
      </w:pPr>
    </w:p>
    <w:p>
      <w:pPr>
        <w:spacing w:after="0" w:line="214" w:lineRule="auto"/>
        <w:rPr>
          <w:rFonts w:ascii="Arial" w:cs="Arial" w:eastAsia="Arial" w:hAnsi="Arial"/>
          <w:sz w:val="16"/>
          <w:szCs w:val="16"/>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line="205" w:lineRule="exact"/>
              <w:rPr>
                <w:sz w:val="20"/>
                <w:szCs w:val="20"/>
                <w:color w:val="auto"/>
              </w:rPr>
            </w:pPr>
            <w:r>
              <w:rPr>
                <w:rFonts w:ascii="Arial" w:cs="Arial" w:eastAsia="Arial" w:hAnsi="Arial"/>
                <w:sz w:val="18"/>
                <w:szCs w:val="18"/>
                <w:color w:val="auto"/>
              </w:rPr>
              <w:t>CUSIP</w:t>
            </w:r>
          </w:p>
        </w:tc>
        <w:tc>
          <w:tcPr>
            <w:tcW w:w="2040" w:type="dxa"/>
            <w:vAlign w:val="bottom"/>
            <w:tcBorders>
              <w:top w:val="single" w:sz="8" w:color="auto"/>
              <w:left w:val="single" w:sz="8" w:color="auto"/>
              <w:right w:val="single" w:sz="8" w:color="auto"/>
            </w:tcBorders>
          </w:tcPr>
          <w:p>
            <w:pPr>
              <w:ind w:left="860"/>
              <w:spacing w:after="0" w:line="20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8"/>
        </w:trPr>
        <w:tc>
          <w:tcPr>
            <w:tcW w:w="80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86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86380"/>
                    </a:xfrm>
                    <a:prstGeom prst="rect">
                      <a:avLst/>
                    </a:prstGeom>
                    <a:noFill/>
                  </pic:spPr>
                </pic:pic>
              </a:graphicData>
            </a:graphic>
          </wp:anchor>
        </w:drawing>
      </w:r>
    </w:p>
    <w:p>
      <w:pPr>
        <w:spacing w:after="0" w:line="205" w:lineRule="exact"/>
        <w:rPr>
          <w:sz w:val="20"/>
          <w:szCs w:val="20"/>
          <w:color w:val="auto"/>
        </w:rPr>
      </w:pPr>
    </w:p>
    <w:p>
      <w:pPr>
        <w:ind w:left="920" w:right="7680" w:hanging="701"/>
        <w:spacing w:after="0" w:line="182" w:lineRule="auto"/>
        <w:tabs>
          <w:tab w:leader="none" w:pos="920" w:val="left"/>
        </w:tabs>
        <w:numPr>
          <w:ilvl w:val="0"/>
          <w:numId w:val="2"/>
        </w:numPr>
        <w:rPr>
          <w:rFonts w:ascii="Arial" w:cs="Arial" w:eastAsia="Arial" w:hAnsi="Arial"/>
          <w:sz w:val="34"/>
          <w:szCs w:val="34"/>
          <w:b w:val="1"/>
          <w:bCs w:val="1"/>
          <w:color w:val="auto"/>
          <w:vertAlign w:val="subscript"/>
        </w:rPr>
      </w:pPr>
      <w:r>
        <w:rPr>
          <w:rFonts w:ascii="Arial" w:cs="Arial" w:eastAsia="Arial" w:hAnsi="Arial"/>
          <w:sz w:val="14"/>
          <w:szCs w:val="14"/>
          <w:color w:val="auto"/>
        </w:rPr>
        <w:t>NAMES OF REPORTING PERSONS Qatar Investment Authority</w:t>
      </w:r>
    </w:p>
    <w:p>
      <w:pPr>
        <w:spacing w:after="0" w:line="35" w:lineRule="exact"/>
        <w:rPr>
          <w:sz w:val="20"/>
          <w:szCs w:val="20"/>
          <w:color w:val="auto"/>
        </w:rPr>
      </w:pPr>
    </w:p>
    <w:p>
      <w:pPr>
        <w:ind w:left="920" w:hanging="701"/>
        <w:spacing w:after="0"/>
        <w:tabs>
          <w:tab w:leader="none" w:pos="92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CHECK THE APPROPRIATE BOX IF A MEMBER OF A GROUP (SEE INSTRUCTIONS)</w:t>
      </w:r>
    </w:p>
    <w:p>
      <w:pPr>
        <w:spacing w:after="0" w:line="229" w:lineRule="exact"/>
        <w:rPr>
          <w:rFonts w:ascii="Arial" w:cs="Arial" w:eastAsia="Arial" w:hAnsi="Arial"/>
          <w:sz w:val="58"/>
          <w:szCs w:val="58"/>
          <w:b w:val="1"/>
          <w:bCs w:val="1"/>
          <w:color w:val="auto"/>
          <w:vertAlign w:val="subscript"/>
        </w:rPr>
      </w:pPr>
    </w:p>
    <w:p>
      <w:pPr>
        <w:ind w:left="1280" w:hanging="355"/>
        <w:spacing w:after="0"/>
        <w:tabs>
          <w:tab w:leader="none" w:pos="12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w:t>
      </w:r>
    </w:p>
    <w:p>
      <w:pPr>
        <w:spacing w:after="0" w:line="47" w:lineRule="exact"/>
        <w:rPr>
          <w:rFonts w:ascii="Arial" w:cs="Arial" w:eastAsia="Arial" w:hAnsi="Arial"/>
          <w:sz w:val="17"/>
          <w:szCs w:val="17"/>
          <w:color w:val="auto"/>
        </w:rPr>
      </w:pPr>
    </w:p>
    <w:p>
      <w:pPr>
        <w:ind w:left="1300" w:hanging="375"/>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þ</w:t>
      </w:r>
    </w:p>
    <w:p>
      <w:pPr>
        <w:spacing w:after="0" w:line="285" w:lineRule="exact"/>
        <w:rPr>
          <w:sz w:val="20"/>
          <w:szCs w:val="20"/>
          <w:color w:val="auto"/>
        </w:rPr>
      </w:pPr>
    </w:p>
    <w:p>
      <w:pPr>
        <w:ind w:left="920" w:hanging="701"/>
        <w:spacing w:after="0"/>
        <w:tabs>
          <w:tab w:leader="none" w:pos="920" w:val="left"/>
        </w:tabs>
        <w:numPr>
          <w:ilvl w:val="0"/>
          <w:numId w:val="4"/>
        </w:numPr>
        <w:rPr>
          <w:rFonts w:ascii="Arial" w:cs="Arial" w:eastAsia="Arial" w:hAnsi="Arial"/>
          <w:sz w:val="31"/>
          <w:szCs w:val="31"/>
          <w:b w:val="1"/>
          <w:bCs w:val="1"/>
          <w:color w:val="auto"/>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0" w:right="6840" w:hanging="701"/>
        <w:spacing w:after="0" w:line="199" w:lineRule="auto"/>
        <w:tabs>
          <w:tab w:leader="none" w:pos="920" w:val="left"/>
        </w:tabs>
        <w:numPr>
          <w:ilvl w:val="0"/>
          <w:numId w:val="5"/>
        </w:numPr>
        <w:rPr>
          <w:rFonts w:ascii="Arial" w:cs="Arial" w:eastAsia="Arial" w:hAnsi="Arial"/>
          <w:sz w:val="31"/>
          <w:szCs w:val="31"/>
          <w:b w:val="1"/>
          <w:bCs w:val="1"/>
          <w:color w:val="auto"/>
        </w:rPr>
      </w:pPr>
      <w:r>
        <w:rPr>
          <w:rFonts w:ascii="Arial" w:cs="Arial" w:eastAsia="Arial" w:hAnsi="Arial"/>
          <w:sz w:val="17"/>
          <w:szCs w:val="17"/>
          <w:color w:val="auto"/>
        </w:rPr>
        <w:t>CITIZENSHIP OR PLACE OF ORGANIZATION Qatar</w:t>
      </w:r>
    </w:p>
    <w:p>
      <w:pPr>
        <w:spacing w:after="0" w:line="266" w:lineRule="exact"/>
        <w:rPr>
          <w:sz w:val="20"/>
          <w:szCs w:val="20"/>
          <w:color w:val="auto"/>
        </w:rPr>
      </w:pPr>
    </w:p>
    <w:p>
      <w:pPr>
        <w:ind w:left="2040" w:hanging="397"/>
        <w:spacing w:after="0"/>
        <w:tabs>
          <w:tab w:leader="none" w:pos="2040" w:val="left"/>
        </w:tabs>
        <w:numPr>
          <w:ilvl w:val="0"/>
          <w:numId w:val="6"/>
        </w:numPr>
        <w:rPr>
          <w:rFonts w:ascii="Arial" w:cs="Arial" w:eastAsia="Arial" w:hAnsi="Arial"/>
          <w:sz w:val="31"/>
          <w:szCs w:val="31"/>
          <w:b w:val="1"/>
          <w:bCs w:val="1"/>
          <w:color w:val="auto"/>
        </w:rPr>
      </w:pPr>
      <w:r>
        <w:rPr>
          <w:rFonts w:ascii="Arial" w:cs="Arial" w:eastAsia="Arial" w:hAnsi="Arial"/>
          <w:sz w:val="17"/>
          <w:szCs w:val="17"/>
          <w:color w:val="auto"/>
        </w:rPr>
        <w:t>SOLE VOTING POWER</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7"/>
                <w:szCs w:val="17"/>
                <w:color w:val="auto"/>
              </w:rPr>
              <w:t>NUMBER OF</w:t>
            </w:r>
          </w:p>
        </w:tc>
        <w:tc>
          <w:tcPr>
            <w:tcW w:w="1120" w:type="dxa"/>
            <w:vAlign w:val="bottom"/>
          </w:tcPr>
          <w:p>
            <w:pPr>
              <w:jc w:val="right"/>
              <w:spacing w:after="0"/>
              <w:rPr>
                <w:sz w:val="20"/>
                <w:szCs w:val="20"/>
                <w:color w:val="auto"/>
              </w:rPr>
            </w:pPr>
            <w:r>
              <w:rPr>
                <w:rFonts w:ascii="Arial" w:cs="Arial" w:eastAsia="Arial" w:hAnsi="Arial"/>
                <w:sz w:val="18"/>
                <w:szCs w:val="18"/>
                <w:color w:val="auto"/>
              </w:rPr>
              <w:t>1,972,641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0</wp:posOffset>
            </wp:positionV>
            <wp:extent cx="619760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140"/>
        <w:spacing w:after="0" w:line="311" w:lineRule="auto"/>
        <w:rPr>
          <w:sz w:val="20"/>
          <w:szCs w:val="20"/>
          <w:color w:val="auto"/>
        </w:rPr>
      </w:pPr>
      <w:r>
        <w:rPr>
          <w:rFonts w:ascii="Arial" w:cs="Arial" w:eastAsia="Arial" w:hAnsi="Arial"/>
          <w:sz w:val="17"/>
          <w:szCs w:val="17"/>
          <w:color w:val="auto"/>
        </w:rPr>
        <w:t>SHARES BENEFICIALLY OWNED BY</w:t>
      </w:r>
    </w:p>
    <w:p>
      <w:pPr>
        <w:spacing w:after="0" w:line="347"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EACH</w:t>
      </w:r>
    </w:p>
    <w:p>
      <w:pPr>
        <w:spacing w:after="0" w:line="48"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REPORTING</w:t>
      </w:r>
    </w:p>
    <w:p>
      <w:pPr>
        <w:spacing w:after="0" w:line="48"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PERSON</w:t>
      </w:r>
    </w:p>
    <w:p>
      <w:pPr>
        <w:spacing w:after="0" w:line="200" w:lineRule="exact"/>
        <w:rPr>
          <w:sz w:val="20"/>
          <w:szCs w:val="20"/>
          <w:color w:val="auto"/>
        </w:rPr>
      </w:pPr>
    </w:p>
    <w:p>
      <w:pPr>
        <w:spacing w:after="0" w:line="2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WITH:</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397" w:right="7180" w:hanging="397"/>
        <w:spacing w:after="0" w:line="404" w:lineRule="auto"/>
        <w:tabs>
          <w:tab w:leader="none" w:pos="397" w:val="left"/>
        </w:tabs>
        <w:numPr>
          <w:ilvl w:val="0"/>
          <w:numId w:val="7"/>
        </w:numPr>
        <w:rPr>
          <w:rFonts w:ascii="Arial" w:cs="Arial" w:eastAsia="Arial" w:hAnsi="Arial"/>
          <w:sz w:val="31"/>
          <w:szCs w:val="31"/>
          <w:b w:val="1"/>
          <w:bCs w:val="1"/>
          <w:color w:val="auto"/>
        </w:rPr>
      </w:pPr>
      <w:r>
        <w:rPr>
          <w:rFonts w:ascii="Arial" w:cs="Arial" w:eastAsia="Arial" w:hAnsi="Arial"/>
          <w:sz w:val="17"/>
          <w:szCs w:val="17"/>
          <w:color w:val="auto"/>
        </w:rPr>
        <w:t>SHARED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-140970</wp:posOffset>
            </wp:positionV>
            <wp:extent cx="619760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pacing w:after="0" w:line="158" w:lineRule="exact"/>
        <w:rPr>
          <w:sz w:val="20"/>
          <w:szCs w:val="20"/>
          <w:color w:val="auto"/>
        </w:rPr>
      </w:pPr>
    </w:p>
    <w:p>
      <w:pPr>
        <w:ind w:left="397" w:right="7040" w:hanging="397"/>
        <w:spacing w:after="0" w:line="404" w:lineRule="auto"/>
        <w:tabs>
          <w:tab w:leader="none" w:pos="397" w:val="left"/>
        </w:tabs>
        <w:numPr>
          <w:ilvl w:val="0"/>
          <w:numId w:val="8"/>
        </w:numPr>
        <w:rPr>
          <w:rFonts w:ascii="Arial" w:cs="Arial" w:eastAsia="Arial" w:hAnsi="Arial"/>
          <w:sz w:val="31"/>
          <w:szCs w:val="31"/>
          <w:b w:val="1"/>
          <w:bCs w:val="1"/>
          <w:color w:val="auto"/>
        </w:rPr>
      </w:pPr>
      <w:r>
        <w:rPr>
          <w:rFonts w:ascii="Arial" w:cs="Arial" w:eastAsia="Arial" w:hAnsi="Arial"/>
          <w:sz w:val="17"/>
          <w:szCs w:val="17"/>
          <w:color w:val="auto"/>
        </w:rPr>
        <w:t>SOLE DISPOSITIVE POWER 1,972,641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-140970</wp:posOffset>
            </wp:positionV>
            <wp:extent cx="619760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pacing w:after="0" w:line="41" w:lineRule="exact"/>
        <w:rPr>
          <w:sz w:val="20"/>
          <w:szCs w:val="20"/>
          <w:color w:val="auto"/>
        </w:rPr>
      </w:pPr>
    </w:p>
    <w:p>
      <w:pPr>
        <w:ind w:left="397" w:hanging="397"/>
        <w:spacing w:after="0"/>
        <w:tabs>
          <w:tab w:leader="none" w:pos="397" w:val="left"/>
        </w:tabs>
        <w:numPr>
          <w:ilvl w:val="0"/>
          <w:numId w:val="9"/>
        </w:numPr>
        <w:rPr>
          <w:rFonts w:ascii="Arial" w:cs="Arial" w:eastAsia="Arial" w:hAnsi="Arial"/>
          <w:sz w:val="29"/>
          <w:szCs w:val="29"/>
          <w:b w:val="1"/>
          <w:bCs w:val="1"/>
          <w:color w:val="auto"/>
        </w:rPr>
      </w:pPr>
      <w:r>
        <w:rPr>
          <w:rFonts w:ascii="Arial" w:cs="Arial" w:eastAsia="Arial" w:hAnsi="Arial"/>
          <w:sz w:val="16"/>
          <w:szCs w:val="16"/>
          <w:color w:val="auto"/>
        </w:rPr>
        <w:t>SHARED DISPOSITIVE POWER</w:t>
      </w:r>
    </w:p>
    <w:p>
      <w:pPr>
        <w:spacing w:after="0" w:line="200" w:lineRule="exact"/>
        <w:rPr>
          <w:sz w:val="20"/>
          <w:szCs w:val="20"/>
          <w:color w:val="auto"/>
        </w:rPr>
      </w:pPr>
    </w:p>
    <w:p>
      <w:pPr>
        <w:sectPr>
          <w:pgSz w:w="11900" w:h="16838" w:orient="portrait"/>
          <w:cols w:equalWidth="0" w:num="2">
            <w:col w:w="1360" w:space="283"/>
            <w:col w:w="9597"/>
          </w:cols>
          <w:pgMar w:left="320" w:top="953" w:right="339" w:bottom="1440" w:gutter="0" w:footer="0" w:header="0"/>
          <w:type w:val="continuous"/>
        </w:sectPr>
      </w:pPr>
    </w:p>
    <w:p>
      <w:pPr>
        <w:spacing w:after="0" w:line="6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194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20" w:right="4100" w:hanging="701"/>
        <w:spacing w:after="0" w:line="201" w:lineRule="auto"/>
        <w:tabs>
          <w:tab w:leader="none" w:pos="920" w:val="left"/>
        </w:tabs>
        <w:numPr>
          <w:ilvl w:val="0"/>
          <w:numId w:val="10"/>
        </w:numPr>
        <w:rPr>
          <w:rFonts w:ascii="Arial" w:cs="Arial" w:eastAsia="Arial" w:hAnsi="Arial"/>
          <w:sz w:val="31"/>
          <w:szCs w:val="31"/>
          <w:b w:val="1"/>
          <w:bCs w:val="1"/>
          <w:color w:val="auto"/>
        </w:rPr>
      </w:pPr>
      <w:r>
        <w:rPr>
          <w:rFonts w:ascii="Arial" w:cs="Arial" w:eastAsia="Arial" w:hAnsi="Arial"/>
          <w:sz w:val="17"/>
          <w:szCs w:val="17"/>
          <w:color w:val="auto"/>
        </w:rPr>
        <w:t>AGGREGATE AMOUNT BENEFICIALLY OWNED BY EACH REPORTING PERSON 1,972,641 (see Item 4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11"/>
        </w:trPr>
        <w:tc>
          <w:tcPr>
            <w:tcW w:w="680" w:type="dxa"/>
            <w:vAlign w:val="bottom"/>
          </w:tcPr>
          <w:p>
            <w:pPr>
              <w:jc w:val="center"/>
              <w:spacing w:after="0"/>
              <w:rPr>
                <w:sz w:val="20"/>
                <w:szCs w:val="20"/>
                <w:color w:val="auto"/>
              </w:rPr>
            </w:pPr>
            <w:r>
              <w:rPr>
                <w:rFonts w:ascii="Arial" w:cs="Arial" w:eastAsia="Arial" w:hAnsi="Arial"/>
                <w:sz w:val="31"/>
                <w:szCs w:val="31"/>
                <w:b w:val="1"/>
                <w:bCs w:val="1"/>
                <w:color w:val="auto"/>
                <w:w w:val="92"/>
              </w:rPr>
              <w:t>10</w:t>
            </w:r>
          </w:p>
        </w:tc>
        <w:tc>
          <w:tcPr>
            <w:tcW w:w="10560" w:type="dxa"/>
            <w:vAlign w:val="bottom"/>
          </w:tcPr>
          <w:p>
            <w:pPr>
              <w:ind w:left="240"/>
              <w:spacing w:after="0"/>
              <w:rPr>
                <w:sz w:val="20"/>
                <w:szCs w:val="20"/>
                <w:color w:val="auto"/>
              </w:rPr>
            </w:pPr>
            <w:r>
              <w:rPr>
                <w:rFonts w:ascii="Arial" w:cs="Arial" w:eastAsia="Arial" w:hAnsi="Arial"/>
                <w:sz w:val="17"/>
                <w:szCs w:val="17"/>
                <w:color w:val="auto"/>
              </w:rPr>
              <w:t>CHECK IF THE AGGREGATE AMOUNT IN ROW (9) EXCLUDES CERTAIN SHARES (SEE INSTRUCTIONS)</w:t>
            </w:r>
          </w:p>
        </w:tc>
      </w:tr>
      <w:tr>
        <w:trPr>
          <w:trHeight w:val="228"/>
        </w:trPr>
        <w:tc>
          <w:tcPr>
            <w:tcW w:w="680" w:type="dxa"/>
            <w:vAlign w:val="bottom"/>
            <w:tcBorders>
              <w:bottom w:val="single" w:sz="8" w:color="auto"/>
            </w:tcBorders>
          </w:tcPr>
          <w:p>
            <w:pPr>
              <w:spacing w:after="0"/>
              <w:rPr>
                <w:sz w:val="19"/>
                <w:szCs w:val="19"/>
                <w:color w:val="auto"/>
              </w:rPr>
            </w:pPr>
          </w:p>
        </w:tc>
        <w:tc>
          <w:tcPr>
            <w:tcW w:w="10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w:t>
            </w:r>
          </w:p>
        </w:tc>
      </w:tr>
      <w:tr>
        <w:trPr>
          <w:trHeight w:val="616"/>
        </w:trPr>
        <w:tc>
          <w:tcPr>
            <w:tcW w:w="680" w:type="dxa"/>
            <w:vAlign w:val="bottom"/>
          </w:tcPr>
          <w:p>
            <w:pPr>
              <w:jc w:val="center"/>
              <w:spacing w:after="0"/>
              <w:rPr>
                <w:sz w:val="20"/>
                <w:szCs w:val="20"/>
                <w:color w:val="auto"/>
              </w:rPr>
            </w:pPr>
            <w:r>
              <w:rPr>
                <w:rFonts w:ascii="Arial" w:cs="Arial" w:eastAsia="Arial" w:hAnsi="Arial"/>
                <w:sz w:val="31"/>
                <w:szCs w:val="31"/>
                <w:b w:val="1"/>
                <w:bCs w:val="1"/>
                <w:color w:val="auto"/>
                <w:w w:val="86"/>
              </w:rPr>
              <w:t>11</w:t>
            </w:r>
          </w:p>
        </w:tc>
        <w:tc>
          <w:tcPr>
            <w:tcW w:w="10560" w:type="dxa"/>
            <w:vAlign w:val="bottom"/>
          </w:tcPr>
          <w:p>
            <w:pPr>
              <w:ind w:left="240"/>
              <w:spacing w:after="0"/>
              <w:rPr>
                <w:sz w:val="20"/>
                <w:szCs w:val="20"/>
                <w:color w:val="auto"/>
              </w:rPr>
            </w:pPr>
            <w:r>
              <w:rPr>
                <w:rFonts w:ascii="Arial" w:cs="Arial" w:eastAsia="Arial" w:hAnsi="Arial"/>
                <w:sz w:val="17"/>
                <w:szCs w:val="17"/>
                <w:color w:val="auto"/>
              </w:rPr>
              <w:t>PERCENT OF CLASS REPRESENTED BY AMOUNT IN ROW (9)</w:t>
            </w:r>
          </w:p>
        </w:tc>
      </w:tr>
      <w:tr>
        <w:trPr>
          <w:trHeight w:val="230"/>
        </w:trPr>
        <w:tc>
          <w:tcPr>
            <w:tcW w:w="680" w:type="dxa"/>
            <w:vAlign w:val="bottom"/>
            <w:tcBorders>
              <w:bottom w:val="single" w:sz="8" w:color="auto"/>
            </w:tcBorders>
          </w:tcPr>
          <w:p>
            <w:pPr>
              <w:spacing w:after="0"/>
              <w:rPr>
                <w:sz w:val="20"/>
                <w:szCs w:val="20"/>
                <w:color w:val="auto"/>
              </w:rPr>
            </w:pPr>
          </w:p>
        </w:tc>
        <w:tc>
          <w:tcPr>
            <w:tcW w:w="10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9.01% (1)</w:t>
            </w:r>
          </w:p>
        </w:tc>
      </w:tr>
      <w:tr>
        <w:trPr>
          <w:trHeight w:val="614"/>
        </w:trPr>
        <w:tc>
          <w:tcPr>
            <w:tcW w:w="680" w:type="dxa"/>
            <w:vAlign w:val="bottom"/>
          </w:tcPr>
          <w:p>
            <w:pPr>
              <w:jc w:val="center"/>
              <w:spacing w:after="0"/>
              <w:rPr>
                <w:sz w:val="20"/>
                <w:szCs w:val="20"/>
                <w:color w:val="auto"/>
              </w:rPr>
            </w:pPr>
            <w:r>
              <w:rPr>
                <w:rFonts w:ascii="Arial" w:cs="Arial" w:eastAsia="Arial" w:hAnsi="Arial"/>
                <w:sz w:val="31"/>
                <w:szCs w:val="31"/>
                <w:b w:val="1"/>
                <w:bCs w:val="1"/>
                <w:color w:val="auto"/>
                <w:w w:val="92"/>
              </w:rPr>
              <w:t>12</w:t>
            </w:r>
          </w:p>
        </w:tc>
        <w:tc>
          <w:tcPr>
            <w:tcW w:w="10560" w:type="dxa"/>
            <w:vAlign w:val="bottom"/>
          </w:tcPr>
          <w:p>
            <w:pPr>
              <w:ind w:left="240"/>
              <w:spacing w:after="0"/>
              <w:rPr>
                <w:sz w:val="20"/>
                <w:szCs w:val="20"/>
                <w:color w:val="auto"/>
              </w:rPr>
            </w:pPr>
            <w:r>
              <w:rPr>
                <w:rFonts w:ascii="Arial" w:cs="Arial" w:eastAsia="Arial" w:hAnsi="Arial"/>
                <w:sz w:val="17"/>
                <w:szCs w:val="17"/>
                <w:color w:val="auto"/>
              </w:rPr>
              <w:t>TYPE OF REPORTING PERSON (SEE INSTRUCTIONS)</w:t>
            </w:r>
          </w:p>
        </w:tc>
      </w:tr>
      <w:tr>
        <w:trPr>
          <w:trHeight w:val="226"/>
        </w:trPr>
        <w:tc>
          <w:tcPr>
            <w:tcW w:w="6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7"/>
                <w:szCs w:val="17"/>
                <w:color w:val="auto"/>
              </w:rPr>
              <w:t>OO</w:t>
            </w:r>
          </w:p>
        </w:tc>
      </w:tr>
    </w:tbl>
    <w:p>
      <w:pPr>
        <w:ind w:left="660" w:right="18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21,882,028 Common shares of beneficial interest, par value $0.001 per share (“Common shares”) of Sixth Street Lending Partners (“Issuer”): based on 14,886,052 Common shares of Issuer outstanding as of November 10, 2022, as reported in in the Issuer’s Form 10-Q, filed with the Securities and Exchange Commission (“SEC”) on November 10, 2022; and 3,998,385 Common shares additionally issued as reported in in the Issuer’s Form 8-K, filed with SEC on December 19, 2022; and 2,997,591 Common shares additionally issued as reported in in the Issuer’s Form 8-K, filed with SEC on January 04,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Name of Issuer:</w:t>
            </w:r>
          </w:p>
        </w:tc>
      </w:tr>
      <w:tr>
        <w:trPr>
          <w:trHeight w:val="445"/>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Sixth Street Lending Partners (the “Issuer”)</w:t>
            </w:r>
          </w:p>
        </w:tc>
      </w:tr>
      <w:tr>
        <w:trPr>
          <w:trHeight w:val="20"/>
        </w:trPr>
        <w:tc>
          <w:tcPr>
            <w:tcW w:w="10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72"/>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2100 McKinney Avenue,</w:t>
            </w:r>
          </w:p>
        </w:tc>
      </w:tr>
      <w:tr>
        <w:trPr>
          <w:trHeight w:val="216"/>
        </w:trPr>
        <w:tc>
          <w:tcPr>
            <w:tcW w:w="1000" w:type="dxa"/>
            <w:vAlign w:val="bottom"/>
          </w:tcPr>
          <w:p>
            <w:pPr>
              <w:spacing w:after="0"/>
              <w:rPr>
                <w:sz w:val="18"/>
                <w:szCs w:val="18"/>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Suite 1500,</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Dallas, TX 75201</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Name of Person Filing:</w:t>
            </w:r>
          </w:p>
        </w:tc>
      </w:tr>
      <w:tr>
        <w:trPr>
          <w:trHeight w:val="445"/>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Qatar Investment Authority (the “Reporting Person”)</w:t>
            </w:r>
          </w:p>
        </w:tc>
      </w:tr>
      <w:tr>
        <w:trPr>
          <w:trHeight w:val="20"/>
        </w:trPr>
        <w:tc>
          <w:tcPr>
            <w:tcW w:w="10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507"/>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86"/>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Ooredoo Tower (Building 14), Al Dafna Street (Street 801), Al Dafna (Zone 61), P.O. Box 23224, Qatar.</w:t>
            </w:r>
          </w:p>
        </w:tc>
      </w:tr>
      <w:tr>
        <w:trPr>
          <w:trHeight w:val="48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w w:val="92"/>
              </w:rPr>
              <w:t>Citizenship:</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Qatar</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Title of Class of Securities:</w:t>
            </w:r>
          </w:p>
        </w:tc>
      </w:tr>
      <w:tr>
        <w:trPr>
          <w:trHeight w:val="486"/>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Common shares of beneficial interest, par value $0.001 per share.</w:t>
            </w:r>
          </w:p>
        </w:tc>
      </w:tr>
      <w:tr>
        <w:trPr>
          <w:trHeight w:val="48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rPr>
              <w:t>CUSIP Number:</w:t>
            </w:r>
          </w:p>
        </w:tc>
      </w:tr>
      <w:tr>
        <w:trPr>
          <w:trHeight w:val="486"/>
        </w:trPr>
        <w:tc>
          <w:tcPr>
            <w:tcW w:w="10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20" w:type="dxa"/>
            <w:vAlign w:val="bottom"/>
            <w:gridSpan w:val="7"/>
          </w:tcPr>
          <w:p>
            <w:pPr>
              <w:ind w:left="380"/>
              <w:spacing w:after="0"/>
              <w:rPr>
                <w:sz w:val="20"/>
                <w:szCs w:val="20"/>
                <w:color w:val="auto"/>
              </w:rPr>
            </w:pPr>
            <w:r>
              <w:rPr>
                <w:rFonts w:ascii="Arial" w:cs="Arial" w:eastAsia="Arial" w:hAnsi="Arial"/>
                <w:sz w:val="18"/>
                <w:szCs w:val="18"/>
                <w:b w:val="1"/>
                <w:bCs w:val="1"/>
                <w:color w:val="auto"/>
                <w:w w:val="98"/>
              </w:rPr>
              <w:t>If this statement is filed pursuant to §§ 240.13d—1(b) or 240.13d—2(b) or (c), check whether the person filing is a:</w:t>
            </w:r>
          </w:p>
        </w:tc>
      </w:tr>
      <w:tr>
        <w:trPr>
          <w:trHeight w:val="486"/>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rPr>
              <w:t>Not applicable.</w:t>
            </w:r>
          </w:p>
        </w:tc>
      </w:tr>
      <w:tr>
        <w:trPr>
          <w:trHeight w:val="48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w w:val="95"/>
              </w:rPr>
              <w:t>Ownership.</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72"/>
        </w:trPr>
        <w:tc>
          <w:tcPr>
            <w:tcW w:w="1000" w:type="dxa"/>
            <w:vAlign w:val="bottom"/>
          </w:tcPr>
          <w:p>
            <w:pPr>
              <w:spacing w:after="0"/>
              <w:rPr>
                <w:sz w:val="24"/>
                <w:szCs w:val="24"/>
                <w:color w:val="auto"/>
              </w:rPr>
            </w:pPr>
          </w:p>
        </w:tc>
        <w:tc>
          <w:tcPr>
            <w:tcW w:w="9920" w:type="dxa"/>
            <w:vAlign w:val="bottom"/>
            <w:gridSpan w:val="7"/>
          </w:tcPr>
          <w:p>
            <w:pPr>
              <w:ind w:left="380"/>
              <w:spacing w:after="0"/>
              <w:rPr>
                <w:sz w:val="20"/>
                <w:szCs w:val="20"/>
                <w:color w:val="auto"/>
              </w:rPr>
            </w:pPr>
            <w:r>
              <w:rPr>
                <w:rFonts w:ascii="Arial" w:cs="Arial" w:eastAsia="Arial" w:hAnsi="Arial"/>
                <w:sz w:val="18"/>
                <w:szCs w:val="18"/>
                <w:color w:val="auto"/>
                <w:w w:val="90"/>
              </w:rPr>
              <w:t>Provide the following information regarding the aggregate number and percentage of the class of securities of the issuer identified in</w:t>
            </w:r>
          </w:p>
        </w:tc>
      </w:tr>
      <w:tr>
        <w:trPr>
          <w:trHeight w:val="230"/>
        </w:trPr>
        <w:tc>
          <w:tcPr>
            <w:tcW w:w="100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0"/>
              </w:rPr>
              <w:t>Item 1.</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(a)</w:t>
            </w:r>
          </w:p>
        </w:tc>
        <w:tc>
          <w:tcPr>
            <w:tcW w:w="9020" w:type="dxa"/>
            <w:vAlign w:val="bottom"/>
            <w:gridSpan w:val="6"/>
          </w:tcPr>
          <w:p>
            <w:pPr>
              <w:ind w:left="20"/>
              <w:spacing w:after="0"/>
              <w:rPr>
                <w:sz w:val="20"/>
                <w:szCs w:val="20"/>
                <w:color w:val="auto"/>
              </w:rPr>
            </w:pPr>
            <w:r>
              <w:rPr>
                <w:rFonts w:ascii="Arial" w:cs="Arial" w:eastAsia="Arial" w:hAnsi="Arial"/>
                <w:sz w:val="18"/>
                <w:szCs w:val="18"/>
                <w:color w:val="auto"/>
              </w:rPr>
              <w:t>Amount beneficially owned:</w:t>
            </w:r>
          </w:p>
        </w:tc>
      </w:tr>
      <w:tr>
        <w:trPr>
          <w:trHeight w:val="459"/>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1,972,641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(b)</w:t>
            </w:r>
          </w:p>
        </w:tc>
        <w:tc>
          <w:tcPr>
            <w:tcW w:w="9020" w:type="dxa"/>
            <w:vAlign w:val="bottom"/>
            <w:gridSpan w:val="6"/>
          </w:tcPr>
          <w:p>
            <w:pPr>
              <w:ind w:left="20"/>
              <w:spacing w:after="0"/>
              <w:rPr>
                <w:sz w:val="20"/>
                <w:szCs w:val="20"/>
                <w:color w:val="auto"/>
              </w:rPr>
            </w:pPr>
            <w:r>
              <w:rPr>
                <w:rFonts w:ascii="Arial" w:cs="Arial" w:eastAsia="Arial" w:hAnsi="Arial"/>
                <w:sz w:val="18"/>
                <w:szCs w:val="18"/>
                <w:color w:val="auto"/>
              </w:rPr>
              <w:t>Percent of class: 9.01</w:t>
            </w:r>
            <w:r>
              <w:rPr>
                <w:rFonts w:ascii="Arial" w:cs="Arial" w:eastAsia="Arial" w:hAnsi="Arial"/>
                <w:sz w:val="17"/>
                <w:szCs w:val="17"/>
                <w:color w:val="auto"/>
              </w:rPr>
              <w:t>%</w:t>
            </w:r>
          </w:p>
        </w:tc>
      </w:tr>
      <w:tr>
        <w:trPr>
          <w:trHeight w:val="486"/>
        </w:trPr>
        <w:tc>
          <w:tcPr>
            <w:tcW w:w="100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(c)</w:t>
            </w:r>
          </w:p>
        </w:tc>
        <w:tc>
          <w:tcPr>
            <w:tcW w:w="9020" w:type="dxa"/>
            <w:vAlign w:val="bottom"/>
            <w:gridSpan w:val="6"/>
          </w:tcPr>
          <w:p>
            <w:pPr>
              <w:ind w:left="20"/>
              <w:spacing w:after="0"/>
              <w:rPr>
                <w:sz w:val="20"/>
                <w:szCs w:val="20"/>
                <w:color w:val="auto"/>
              </w:rPr>
            </w:pPr>
            <w:r>
              <w:rPr>
                <w:rFonts w:ascii="Arial" w:cs="Arial" w:eastAsia="Arial" w:hAnsi="Arial"/>
                <w:sz w:val="18"/>
                <w:szCs w:val="18"/>
                <w:color w:val="auto"/>
              </w:rPr>
              <w:t>Number of shares as to which the person has:</w:t>
            </w:r>
          </w:p>
        </w:tc>
      </w:tr>
      <w:tr>
        <w:trPr>
          <w:trHeight w:val="486"/>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w:t>
            </w:r>
          </w:p>
        </w:tc>
        <w:tc>
          <w:tcPr>
            <w:tcW w:w="8580" w:type="dxa"/>
            <w:vAlign w:val="bottom"/>
            <w:gridSpan w:val="5"/>
          </w:tcPr>
          <w:p>
            <w:pPr>
              <w:ind w:left="40"/>
              <w:spacing w:after="0"/>
              <w:rPr>
                <w:sz w:val="20"/>
                <w:szCs w:val="20"/>
                <w:color w:val="auto"/>
              </w:rPr>
            </w:pPr>
            <w:r>
              <w:rPr>
                <w:rFonts w:ascii="Arial" w:cs="Arial" w:eastAsia="Arial" w:hAnsi="Arial"/>
                <w:sz w:val="18"/>
                <w:szCs w:val="18"/>
                <w:color w:val="auto"/>
              </w:rPr>
              <w:t>Sole power to vote or to direct the vote</w:t>
            </w:r>
          </w:p>
        </w:tc>
      </w:tr>
      <w:tr>
        <w:trPr>
          <w:trHeight w:val="486"/>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1,972,641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20" w:type="dxa"/>
            <w:vAlign w:val="bottom"/>
            <w:gridSpan w:val="6"/>
          </w:tcPr>
          <w:p>
            <w:pPr>
              <w:ind w:left="20"/>
              <w:spacing w:after="0"/>
              <w:rPr>
                <w:sz w:val="20"/>
                <w:szCs w:val="20"/>
                <w:color w:val="auto"/>
              </w:rPr>
            </w:pPr>
            <w:r>
              <w:rPr>
                <w:rFonts w:ascii="Arial" w:cs="Arial" w:eastAsia="Arial" w:hAnsi="Arial"/>
                <w:sz w:val="18"/>
                <w:szCs w:val="18"/>
                <w:color w:val="auto"/>
              </w:rPr>
              <w:t>(ii)   Shared power to vote or to direct the vote</w:t>
            </w:r>
          </w:p>
        </w:tc>
      </w:tr>
      <w:tr>
        <w:trPr>
          <w:trHeight w:val="486"/>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bl>
    <w:p>
      <w:pPr>
        <w:spacing w:after="0" w:line="256" w:lineRule="exact"/>
        <w:rPr>
          <w:sz w:val="20"/>
          <w:szCs w:val="20"/>
          <w:color w:val="auto"/>
        </w:rPr>
      </w:pPr>
    </w:p>
    <w:p>
      <w:pPr>
        <w:ind w:left="1920"/>
        <w:spacing w:after="0"/>
        <w:tabs>
          <w:tab w:leader="none" w:pos="23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1,972,641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715" w:right="659" w:bottom="1440" w:gutter="0" w:footer="0" w:header="0"/>
        </w:sectPr>
      </w:pPr>
    </w:p>
    <w:bookmarkStart w:id="3" w:name="page4"/>
    <w:bookmarkEnd w:id="3"/>
    <w:p>
      <w:pPr>
        <w:ind w:left="2380" w:right="4860" w:hanging="455"/>
        <w:spacing w:after="0" w:line="561" w:lineRule="auto"/>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1380" w:right="420" w:hanging="1362"/>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See Exhibit A</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13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19"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53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January 20, 2023</w:t>
      </w: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QATAR INVESTMENT AUTHORITY</w:t>
      </w:r>
    </w:p>
    <w:p>
      <w:pPr>
        <w:spacing w:after="0" w:line="347"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Watkins</w:t>
      </w:r>
    </w:p>
    <w:p>
      <w:pPr>
        <w:spacing w:after="0" w:line="37" w:lineRule="exact"/>
        <w:rPr>
          <w:sz w:val="20"/>
          <w:szCs w:val="20"/>
          <w:color w:val="auto"/>
        </w:rPr>
      </w:pPr>
    </w:p>
    <w:tbl>
      <w:tblPr>
        <w:tblLayout w:type="fixed"/>
        <w:tblInd w:w="6420" w:type="dxa"/>
        <w:tblCellMar>
          <w:top w:w="0" w:type="dxa"/>
          <w:left w:w="0" w:type="dxa"/>
          <w:bottom w:w="0" w:type="dxa"/>
          <w:right w:w="0" w:type="dxa"/>
        </w:tblCellMar>
      </w:tblPr>
      <w:tr>
        <w:trPr>
          <w:trHeight w:val="222"/>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Andrew Watkins**</w:t>
            </w:r>
          </w:p>
        </w:tc>
      </w:t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Associate General Counsel, Compliance</w:t>
            </w:r>
          </w:p>
        </w:tc>
      </w:tr>
    </w:tbl>
    <w:p>
      <w:pPr>
        <w:spacing w:after="0" w:line="323" w:lineRule="exact"/>
        <w:rPr>
          <w:sz w:val="20"/>
          <w:szCs w:val="20"/>
          <w:color w:val="auto"/>
        </w:rPr>
      </w:pPr>
    </w:p>
    <w:p>
      <w:pPr>
        <w:ind w:right="120" w:firstLine="8"/>
        <w:spacing w:after="0" w:line="277"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Evidence of authority to sign on behalf of Qatar Investment Authority is set forth in a Certificate of Incumbency dated February 02, 2022, and included as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right"/>
        <w:ind w:right="3659"/>
        <w:spacing w:after="0"/>
        <w:rPr>
          <w:sz w:val="20"/>
          <w:szCs w:val="20"/>
          <w:color w:val="auto"/>
        </w:rPr>
      </w:pPr>
      <w:r>
        <w:rPr>
          <w:rFonts w:ascii="Arial" w:cs="Arial" w:eastAsia="Arial" w:hAnsi="Arial"/>
          <w:sz w:val="18"/>
          <w:szCs w:val="18"/>
          <w:color w:val="auto"/>
        </w:rPr>
        <w:t>INDEX TO EXHIBITS</w:t>
      </w:r>
    </w:p>
    <w:p>
      <w:pPr>
        <w:spacing w:after="0" w:line="27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1060" w:hanging="105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Item 7 Information</w:t>
      </w:r>
    </w:p>
    <w:p>
      <w:pPr>
        <w:spacing w:after="0" w:line="23" w:lineRule="exact"/>
        <w:rPr>
          <w:sz w:val="20"/>
          <w:szCs w:val="20"/>
          <w:color w:val="auto"/>
        </w:rPr>
      </w:pPr>
    </w:p>
    <w:p>
      <w:pPr>
        <w:ind w:left="1060" w:hanging="1052"/>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Certificate of Incumbency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Schedule 13G to which this attachment is appended is filed by Qatar Investment Authority on behalf of itself and the following subsidiaries: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 West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374650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40"/>
          </w:cols>
          <w:pgMar w:left="760" w:top="719" w:right="6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EXHIBIT B</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INCUMBENCY</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Ahmad Mohammed F Q Al-Khanji, Chief of Legal and General Counsel, of Qatar Investment Authority, established by Emiri Decision No 22 in 2005, with its registered office at, Ooredoo Tower (Building 14), Al Dafna Street (Street 801), Al Dafna (Zone 61), Doha, State of Qatar, do hereby confirm that Andrew Watkins is the duly appointed Associate General Counsel, Compliance, an officer of the Qatar Investment Authority, and as such, is authorized to sign regulatory filings on behalf of the Qatar Investment Authority.</w:t>
      </w: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Ahmad Mohammed FQ Al-Khanji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Ahmad Mohammed FQ Al-Khanji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of Legal and General Counsel</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Dated: February 02,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þ"/>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5"/>
      <w:numFmt w:val="bullet"/>
      <w:start w:val="1"/>
    </w:lvl>
  </w:abstractNum>
  <w:abstractNum w:abstractNumId="6">
    <w:nsid w:val="1F16E9E8"/>
    <w:multiLevelType w:val="hybridMultilevel"/>
    <w:lvl w:ilvl="0">
      <w:lvlJc w:val="left"/>
      <w:lvlText w:val="6"/>
      <w:numFmt w:val="bullet"/>
      <w:start w:val="1"/>
    </w:lvl>
  </w:abstractNum>
  <w:abstractNum w:abstractNumId="7">
    <w:nsid w:val="1190CDE7"/>
    <w:multiLevelType w:val="hybridMultilevel"/>
    <w:lvl w:ilvl="0">
      <w:lvlJc w:val="left"/>
      <w:lvlText w:val="7"/>
      <w:numFmt w:val="bullet"/>
      <w:start w:val="1"/>
    </w:lvl>
  </w:abstractNum>
  <w:abstractNum w:abstractNumId="8">
    <w:nsid w:val="66EF438D"/>
    <w:multiLevelType w:val="hybridMultilevel"/>
    <w:lvl w:ilvl="0">
      <w:lvlJc w:val="left"/>
      <w:lvlText w:val="8"/>
      <w:numFmt w:val="bullet"/>
      <w:start w:val="1"/>
    </w:lvl>
  </w:abstractNum>
  <w:abstractNum w:abstractNumId="9">
    <w:nsid w:val="140E0F76"/>
    <w:multiLevelType w:val="hybridMultilevel"/>
    <w:lvl w:ilvl="0">
      <w:lvlJc w:val="left"/>
      <w:lvlText w:val="9"/>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Roman"/>
      <w:start w:val="4"/>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A"/>
      <w:numFmt w:val="bullet"/>
      <w:start w:val="1"/>
    </w:lvl>
  </w:abstractNum>
  <w:abstractNum w:abstractNumId="14">
    <w:nsid w:val="1BEFD79F"/>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2023-01-20T15:17:37Z</dcterms:created>
  <dcterms:modified xsi:type="dcterms:W3CDTF">2023-01-20T15:17:37Z</dcterms:modified>
</cp:coreProperties>
</file>