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4240" w:right="1520" w:hanging="4219"/>
        <w:spacing w:after="0" w:line="293" w:lineRule="auto"/>
        <w:tabs>
          <w:tab w:leader="none" w:pos="9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7"/>
          <w:szCs w:val="17"/>
          <w:b w:val="1"/>
          <w:bCs w:val="1"/>
          <w:color w:val="auto"/>
        </w:rPr>
        <w:t>For the fiscal year ended December 31, 2024</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8" w:lineRule="exact"/>
        <w:rPr>
          <w:sz w:val="24"/>
          <w:szCs w:val="24"/>
          <w:color w:val="auto"/>
        </w:rPr>
      </w:pPr>
    </w:p>
    <w:p>
      <w:pPr>
        <w:jc w:val="center"/>
        <w:ind w:left="4320" w:right="1140" w:hanging="4299"/>
        <w:spacing w:after="0" w:line="311" w:lineRule="auto"/>
        <w:tabs>
          <w:tab w:leader="none" w:pos="93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2400" w:type="dxa"/>
            <w:vAlign w:val="bottom"/>
          </w:tcPr>
          <w:p>
            <w:pPr>
              <w:spacing w:after="0"/>
              <w:rPr>
                <w:sz w:val="19"/>
                <w:szCs w:val="19"/>
                <w:color w:val="auto"/>
              </w:rPr>
            </w:pPr>
          </w:p>
        </w:tc>
        <w:tc>
          <w:tcPr>
            <w:tcW w:w="8840" w:type="dxa"/>
            <w:vAlign w:val="bottom"/>
            <w:gridSpan w:val="6"/>
          </w:tcPr>
          <w:p>
            <w:pPr>
              <w:jc w:val="center"/>
              <w:ind w:right="2371"/>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2400" w:type="dxa"/>
            <w:vAlign w:val="bottom"/>
          </w:tcPr>
          <w:p>
            <w:pPr>
              <w:spacing w:after="0"/>
              <w:rPr>
                <w:sz w:val="22"/>
                <w:szCs w:val="22"/>
                <w:color w:val="auto"/>
              </w:rPr>
            </w:pPr>
          </w:p>
        </w:tc>
        <w:tc>
          <w:tcPr>
            <w:tcW w:w="4940" w:type="dxa"/>
            <w:vAlign w:val="bottom"/>
            <w:gridSpan w:val="4"/>
          </w:tcPr>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900" w:type="dxa"/>
            <w:vAlign w:val="bottom"/>
            <w:gridSpan w:val="2"/>
          </w:tcPr>
          <w:p>
            <w:pPr>
              <w:jc w:val="right"/>
              <w:ind w:right="2331"/>
              <w:spacing w:after="0"/>
              <w:rPr>
                <w:sz w:val="20"/>
                <w:szCs w:val="20"/>
                <w:color w:val="auto"/>
              </w:rPr>
            </w:pPr>
            <w:r>
              <w:rPr>
                <w:rFonts w:ascii="Times New Roman" w:cs="Times New Roman" w:eastAsia="Times New Roman" w:hAnsi="Times New Roman"/>
                <w:sz w:val="17"/>
                <w:szCs w:val="17"/>
                <w:b w:val="1"/>
                <w:bCs w:val="1"/>
                <w:color w:val="auto"/>
              </w:rPr>
              <w:t>88-1710161</w:t>
            </w:r>
          </w:p>
        </w:tc>
        <w:tc>
          <w:tcPr>
            <w:tcW w:w="0" w:type="dxa"/>
            <w:vAlign w:val="bottom"/>
          </w:tcPr>
          <w:p>
            <w:pPr>
              <w:spacing w:after="0"/>
              <w:rPr>
                <w:sz w:val="1"/>
                <w:szCs w:val="1"/>
                <w:color w:val="auto"/>
              </w:rPr>
            </w:pPr>
          </w:p>
        </w:tc>
      </w:tr>
      <w:tr>
        <w:trPr>
          <w:trHeight w:val="148"/>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60" w:type="dxa"/>
            <w:vAlign w:val="bottom"/>
          </w:tcPr>
          <w:p>
            <w:pPr>
              <w:spacing w:after="0"/>
              <w:rPr>
                <w:sz w:val="12"/>
                <w:szCs w:val="12"/>
                <w:color w:val="auto"/>
              </w:rPr>
            </w:pPr>
          </w:p>
        </w:tc>
        <w:tc>
          <w:tcPr>
            <w:tcW w:w="3740" w:type="dxa"/>
            <w:vAlign w:val="bottom"/>
          </w:tcPr>
          <w:p>
            <w:pPr>
              <w:jc w:val="center"/>
              <w:ind w:right="1811"/>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60" w:type="dxa"/>
            <w:vAlign w:val="bottom"/>
          </w:tcPr>
          <w:p>
            <w:pPr>
              <w:spacing w:after="0"/>
              <w:rPr>
                <w:sz w:val="15"/>
                <w:szCs w:val="15"/>
                <w:color w:val="auto"/>
              </w:rPr>
            </w:pPr>
          </w:p>
        </w:tc>
        <w:tc>
          <w:tcPr>
            <w:tcW w:w="3740" w:type="dxa"/>
            <w:vAlign w:val="bottom"/>
          </w:tcPr>
          <w:p>
            <w:pPr>
              <w:jc w:val="center"/>
              <w:ind w:right="1811"/>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31"/>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tc>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4940" w:type="dxa"/>
            <w:vAlign w:val="bottom"/>
            <w:gridSpan w:val="4"/>
          </w:tcPr>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Dallas, TX</w:t>
            </w:r>
          </w:p>
        </w:tc>
        <w:tc>
          <w:tcPr>
            <w:tcW w:w="3900" w:type="dxa"/>
            <w:vAlign w:val="bottom"/>
            <w:gridSpan w:val="2"/>
          </w:tcPr>
          <w:p>
            <w:pPr>
              <w:jc w:val="right"/>
              <w:ind w:right="2531"/>
              <w:spacing w:after="0"/>
              <w:rPr>
                <w:sz w:val="20"/>
                <w:szCs w:val="20"/>
                <w:color w:val="auto"/>
              </w:rPr>
            </w:pPr>
            <w:r>
              <w:rPr>
                <w:rFonts w:ascii="Times New Roman" w:cs="Times New Roman" w:eastAsia="Times New Roman" w:hAnsi="Times New Roman"/>
                <w:sz w:val="17"/>
                <w:szCs w:val="17"/>
                <w:b w:val="1"/>
                <w:bCs w:val="1"/>
                <w:color w:val="auto"/>
              </w:rPr>
              <w:t>75201</w:t>
            </w:r>
          </w:p>
        </w:tc>
        <w:tc>
          <w:tcPr>
            <w:tcW w:w="0" w:type="dxa"/>
            <w:vAlign w:val="bottom"/>
          </w:tcPr>
          <w:p>
            <w:pPr>
              <w:spacing w:after="0"/>
              <w:rPr>
                <w:sz w:val="1"/>
                <w:szCs w:val="1"/>
                <w:color w:val="auto"/>
              </w:rPr>
            </w:pPr>
          </w:p>
        </w:tc>
      </w:tr>
      <w:tr>
        <w:trPr>
          <w:trHeight w:val="178"/>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60" w:type="dxa"/>
            <w:vAlign w:val="bottom"/>
          </w:tcPr>
          <w:p>
            <w:pPr>
              <w:spacing w:after="0"/>
              <w:rPr>
                <w:sz w:val="15"/>
                <w:szCs w:val="15"/>
                <w:color w:val="auto"/>
              </w:rPr>
            </w:pPr>
          </w:p>
        </w:tc>
        <w:tc>
          <w:tcPr>
            <w:tcW w:w="3740" w:type="dxa"/>
            <w:vAlign w:val="bottom"/>
          </w:tcPr>
          <w:p>
            <w:pPr>
              <w:jc w:val="center"/>
              <w:ind w:right="1811"/>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41"/>
        </w:trPr>
        <w:tc>
          <w:tcPr>
            <w:tcW w:w="2400" w:type="dxa"/>
            <w:vAlign w:val="bottom"/>
          </w:tcPr>
          <w:p>
            <w:pPr>
              <w:spacing w:after="0"/>
              <w:rPr>
                <w:sz w:val="21"/>
                <w:szCs w:val="21"/>
                <w:color w:val="auto"/>
              </w:rPr>
            </w:pPr>
          </w:p>
        </w:tc>
        <w:tc>
          <w:tcPr>
            <w:tcW w:w="8840" w:type="dxa"/>
            <w:vAlign w:val="bottom"/>
            <w:gridSpan w:val="6"/>
          </w:tcPr>
          <w:p>
            <w:pPr>
              <w:jc w:val="center"/>
              <w:ind w:right="2371"/>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(469) 621-3001</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8840" w:type="dxa"/>
            <w:vAlign w:val="bottom"/>
            <w:gridSpan w:val="6"/>
          </w:tcPr>
          <w:p>
            <w:pPr>
              <w:jc w:val="center"/>
              <w:ind w:right="235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06"/>
        </w:trPr>
        <w:tc>
          <w:tcPr>
            <w:tcW w:w="24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Borders>
              <w:left w:val="single" w:sz="8" w:color="auto"/>
              <w:bottom w:val="single" w:sz="8" w:color="auto"/>
            </w:tcBorders>
          </w:tcPr>
          <w:p>
            <w:pPr>
              <w:jc w:val="center"/>
              <w:ind w:left="1307"/>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136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2"/>
          </w:tcPr>
          <w:p>
            <w:pPr>
              <w:jc w:val="center"/>
              <w:ind w:right="600"/>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Symbol(s)</w:t>
            </w:r>
          </w:p>
        </w:tc>
        <w:tc>
          <w:tcPr>
            <w:tcW w:w="16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52"/>
        </w:trPr>
        <w:tc>
          <w:tcPr>
            <w:tcW w:w="2400" w:type="dxa"/>
            <w:vAlign w:val="bottom"/>
            <w:tcBorders>
              <w:left w:val="single" w:sz="8" w:color="auto"/>
              <w:bottom w:val="single" w:sz="8" w:color="auto"/>
            </w:tcBorders>
          </w:tcPr>
          <w:p>
            <w:pPr>
              <w:jc w:val="center"/>
              <w:ind w:left="1307"/>
              <w:spacing w:after="0"/>
              <w:rPr>
                <w:sz w:val="20"/>
                <w:szCs w:val="20"/>
                <w:color w:val="auto"/>
              </w:rPr>
            </w:pPr>
            <w:r>
              <w:rPr>
                <w:rFonts w:ascii="Times New Roman" w:cs="Times New Roman" w:eastAsia="Times New Roman" w:hAnsi="Times New Roman"/>
                <w:sz w:val="17"/>
                <w:szCs w:val="17"/>
                <w:b w:val="1"/>
                <w:bCs w:val="1"/>
                <w:color w:val="auto"/>
              </w:rPr>
              <w:t>None</w:t>
            </w:r>
          </w:p>
        </w:tc>
        <w:tc>
          <w:tcPr>
            <w:tcW w:w="13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None</w:t>
            </w:r>
          </w:p>
        </w:tc>
        <w:tc>
          <w:tcPr>
            <w:tcW w:w="1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tc>
        <w:tc>
          <w:tcPr>
            <w:tcW w:w="0" w:type="dxa"/>
            <w:vAlign w:val="bottom"/>
          </w:tcPr>
          <w:p>
            <w:pPr>
              <w:spacing w:after="0"/>
              <w:rPr>
                <w:sz w:val="1"/>
                <w:szCs w:val="1"/>
                <w:color w:val="auto"/>
              </w:rPr>
            </w:pPr>
          </w:p>
        </w:tc>
      </w:tr>
      <w:tr>
        <w:trPr>
          <w:trHeight w:val="249"/>
        </w:trPr>
        <w:tc>
          <w:tcPr>
            <w:tcW w:w="2400" w:type="dxa"/>
            <w:vAlign w:val="bottom"/>
          </w:tcPr>
          <w:p>
            <w:pPr>
              <w:spacing w:after="0"/>
              <w:rPr>
                <w:sz w:val="21"/>
                <w:szCs w:val="21"/>
                <w:color w:val="auto"/>
              </w:rPr>
            </w:pPr>
          </w:p>
        </w:tc>
        <w:tc>
          <w:tcPr>
            <w:tcW w:w="8840" w:type="dxa"/>
            <w:vAlign w:val="bottom"/>
            <w:gridSpan w:val="6"/>
          </w:tcPr>
          <w:p>
            <w:pPr>
              <w:jc w:val="center"/>
              <w:ind w:right="235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8840" w:type="dxa"/>
            <w:vAlign w:val="bottom"/>
            <w:gridSpan w:val="6"/>
          </w:tcPr>
          <w:p>
            <w:pPr>
              <w:jc w:val="center"/>
              <w:ind w:right="2331"/>
              <w:spacing w:after="0"/>
              <w:rPr>
                <w:sz w:val="20"/>
                <w:szCs w:val="20"/>
                <w:color w:val="auto"/>
              </w:rPr>
            </w:pPr>
            <w:r>
              <w:rPr>
                <w:rFonts w:ascii="Times New Roman" w:cs="Times New Roman" w:eastAsia="Times New Roman" w:hAnsi="Times New Roman"/>
                <w:sz w:val="17"/>
                <w:szCs w:val="17"/>
                <w:b w:val="1"/>
                <w:bCs w:val="1"/>
                <w:color w:val="auto"/>
              </w:rPr>
              <w:t>Common shares of beneficial interest, par value $0.001 per share</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40" w:type="dxa"/>
            <w:vAlign w:val="bottom"/>
            <w:gridSpan w:val="2"/>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9"/>
              </w:rPr>
              <w:t>(Title of class)</w:t>
            </w:r>
          </w:p>
        </w:tc>
        <w:tc>
          <w:tcPr>
            <w:tcW w:w="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500" w:type="dxa"/>
            <w:vAlign w:val="bottom"/>
            <w:gridSpan w:val="3"/>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900" w:type="dxa"/>
            <w:vAlign w:val="bottom"/>
            <w:gridSpan w:val="2"/>
            <w:vMerge w:val="restart"/>
          </w:tcPr>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1"/>
        </w:trPr>
        <w:tc>
          <w:tcPr>
            <w:tcW w:w="73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3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90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30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18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520" w:type="dxa"/>
        <w:tblCellMar>
          <w:top w:w="0" w:type="dxa"/>
          <w:left w:w="0" w:type="dxa"/>
          <w:bottom w:w="0" w:type="dxa"/>
          <w:right w:w="0" w:type="dxa"/>
        </w:tblCellMar>
      </w:tblP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5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Accelerated filer</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5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Emerging growth company</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60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2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10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20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440" w:val="left"/>
          <w:tab w:leader="none" w:pos="70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the registrant’s common shares of beneficial interest, $0.001 par value per share (the "Common Shares"), outstanding at February 14, 2025 was 141,664,937.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1" w:lineRule="exact"/>
        <w:rPr>
          <w:sz w:val="24"/>
          <w:szCs w:val="24"/>
          <w:color w:val="auto"/>
        </w:rPr>
      </w:pPr>
    </w:p>
    <w:p>
      <w:pPr>
        <w:spacing w:after="0"/>
        <w:tabs>
          <w:tab w:leader="none" w:pos="1460" w:val="left"/>
          <w:tab w:leader="none" w:pos="3400" w:val="left"/>
        </w:tabs>
        <w:rPr>
          <w:sz w:val="20"/>
          <w:szCs w:val="20"/>
          <w:color w:val="auto"/>
        </w:rPr>
      </w:pPr>
      <w:r>
        <w:rPr>
          <w:rFonts w:ascii="Times New Roman" w:cs="Times New Roman" w:eastAsia="Times New Roman" w:hAnsi="Times New Roman"/>
          <w:sz w:val="15"/>
          <w:szCs w:val="15"/>
          <w:color w:val="auto"/>
        </w:rPr>
        <w:t>Auditor Firm Id:185</w:t>
        <w:tab/>
        <w:t>Auditor Name: KPMG LLP</w:t>
        <w:tab/>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40" w:type="dxa"/>
            <w:vAlign w:val="bottom"/>
            <w:gridSpan w:val="12"/>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 for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Borders>
              <w:bottom w:val="single" w:sz="8" w:color="0000EE"/>
            </w:tcBorders>
          </w:tcPr>
          <w:p>
            <w:pPr>
              <w:spacing w:after="0"/>
              <w:rPr>
                <w:sz w:val="17"/>
                <w:szCs w:val="17"/>
                <w:color w:val="auto"/>
              </w:rPr>
            </w:pPr>
          </w:p>
        </w:tc>
        <w:tc>
          <w:tcPr>
            <w:tcW w:w="872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480" w:type="dxa"/>
            <w:vAlign w:val="bottom"/>
            <w:gridSpan w:val="2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36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400" w:type="dxa"/>
            <w:vAlign w:val="bottom"/>
            <w:gridSpan w:val="1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2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9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Financial Statements and Supplementary Data</w:t>
            </w:r>
          </w:p>
        </w:tc>
        <w:tc>
          <w:tcPr>
            <w:tcW w:w="20" w:type="dxa"/>
            <w:vAlign w:val="bottom"/>
            <w:tcBorders>
              <w:bottom w:val="single" w:sz="8" w:color="0000EE"/>
            </w:tcBorders>
          </w:tcPr>
          <w:p>
            <w:pPr>
              <w:spacing w:after="0"/>
              <w:rPr>
                <w:sz w:val="17"/>
                <w:szCs w:val="17"/>
                <w:color w:val="auto"/>
              </w:rPr>
            </w:pPr>
          </w:p>
        </w:tc>
        <w:tc>
          <w:tcPr>
            <w:tcW w:w="506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4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7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3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0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Trustees, Executive Officers and Corporate Governance</w:t>
            </w:r>
          </w:p>
        </w:tc>
        <w:tc>
          <w:tcPr>
            <w:tcW w:w="536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58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0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Trustee Independence</w:t>
            </w:r>
          </w:p>
        </w:tc>
        <w:tc>
          <w:tcPr>
            <w:tcW w:w="1880" w:type="dxa"/>
            <w:vAlign w:val="bottom"/>
            <w:tcBorders>
              <w:top w:val="single" w:sz="8" w:color="0000FF"/>
            </w:tcBorders>
            <w:gridSpan w:val="3"/>
          </w:tcPr>
          <w:p>
            <w:pPr>
              <w:spacing w:after="0"/>
              <w:rPr>
                <w:sz w:val="17"/>
                <w:szCs w:val="17"/>
                <w:color w:val="auto"/>
              </w:rPr>
            </w:pPr>
          </w:p>
        </w:tc>
        <w:tc>
          <w:tcPr>
            <w:tcW w:w="21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36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24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60" w:type="dxa"/>
            <w:vAlign w:val="bottom"/>
            <w:gridSpan w:val="11"/>
          </w:tcPr>
          <w:p>
            <w:pPr>
              <w:jc w:val="center"/>
              <w:ind w:left="2470"/>
              <w:spacing w:after="0"/>
              <w:rPr>
                <w:sz w:val="20"/>
                <w:szCs w:val="20"/>
                <w:color w:val="auto"/>
              </w:rPr>
            </w:pPr>
            <w:r>
              <w:rPr>
                <w:rFonts w:ascii="Times New Roman" w:cs="Times New Roman" w:eastAsia="Times New Roman" w:hAnsi="Times New Roman"/>
                <w:sz w:val="18"/>
                <w:szCs w:val="18"/>
                <w:color w:val="auto"/>
                <w:w w:val="88"/>
              </w:rPr>
              <w:t>2</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Lending Partners,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4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2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Annual Report and elsewhere in our filings with the SEC.</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forward-looking statements, which apply only as of the date of this Annual Report. We do not undertake any obligation to update or revise any forward-looking statements or any other information contained herein, except as required by applicable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In this Annual Report, except where the context suggests otherwise, the terms “we,” “us,”, “our,” and “the Company” refer to Sixth Street Lending Partners. The term “Adviser” refers to Sixth Street Lending Partners Advisers, LLC, a Delaware limited liability company. The term “Sixth Street” refers to Sixth Street Partners,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300" w:firstLine="255"/>
        <w:spacing w:after="0" w:line="256" w:lineRule="auto"/>
        <w:rPr>
          <w:sz w:val="20"/>
          <w:szCs w:val="20"/>
          <w:color w:val="auto"/>
        </w:rPr>
      </w:pPr>
      <w:r>
        <w:rPr>
          <w:rFonts w:ascii="Times New Roman" w:cs="Times New Roman" w:eastAsia="Times New Roman" w:hAnsi="Times New Roman"/>
          <w:sz w:val="18"/>
          <w:szCs w:val="18"/>
          <w:color w:val="auto"/>
        </w:rPr>
        <w:t>We are organized as a Delaware statutory trust named Sixth Street Lending Partners. We are focused on lending to upper middle-market companies. The Company was formed on April 5, 2022. Since we began our investment activities in August 2022, through December 31, 2024, we have originated approximately $21.6 billion aggregate principal amount of investments and retained approximately $7.4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7"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(as defined below), which we believe is a useful proxy for cash flow, of greater than $75 million, although we may invest in smaller companies on occasion. “EBITDA” means a company’s earnings before interest, tax, depreciation and amortization. As of December 31, 2024, our core portfolio companies, which exclude certain investments that fall outside of our typical borrower profile and represent 93.8% of our total investments based on fair value, had weighted average annual revenue of $647.3 million and weighted average annual EBITDA of $223.1 million. As of December 31, 2024, our core portfolio companies had a median annual revenue of $269.1 million and median annual EBITDA of $78.7 million.</w:t>
      </w:r>
    </w:p>
    <w:p>
      <w:pPr>
        <w:spacing w:after="0" w:line="295"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2" w:lineRule="exact"/>
        <w:rPr>
          <w:sz w:val="20"/>
          <w:szCs w:val="20"/>
          <w:color w:val="auto"/>
        </w:rPr>
      </w:pPr>
    </w:p>
    <w:p>
      <w:pPr>
        <w:ind w:right="720" w:firstLine="255"/>
        <w:spacing w:after="0" w:line="282" w:lineRule="auto"/>
        <w:rPr>
          <w:sz w:val="20"/>
          <w:szCs w:val="20"/>
          <w:color w:val="auto"/>
        </w:rPr>
      </w:pPr>
      <w:r>
        <w:rPr>
          <w:rFonts w:ascii="Times New Roman" w:cs="Times New Roman" w:eastAsia="Times New Roman" w:hAnsi="Times New Roman"/>
          <w:sz w:val="18"/>
          <w:szCs w:val="18"/>
          <w:color w:val="auto"/>
        </w:rPr>
        <w:t>We have operated as a business development company, or a BDC, since we began our investment activities in August 2022. In conducting our investment activities, we believe that we benefit from the significant scale and resources of our Adviser and its affiliates.</w:t>
      </w:r>
    </w:p>
    <w:p>
      <w:pPr>
        <w:spacing w:after="0" w:line="162"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2024, based on fair value our portfolio consisted of 94.9% first-lien debt investments, 1.3% second-lien debt investments, 1.7% mezzanine debt investments and 2.1% equity and other investments. As of December 31, 2024, 96.5% of our debt investments based on fair value bore interest at floating rates, with 100% of these subject to interest rate floors, which we believe helps act as a portfolio-wide hedge against inflation. As of December 31, 2024, we had investments in 67 portfolio companies, with an average investment size of approximately $108.1 million based on fair value. As of December 31, 2024, the largest single investment based on fair value represented 4.3% of our total investment portfolio.</w:t>
      </w:r>
    </w:p>
    <w:p>
      <w:pPr>
        <w:spacing w:after="0" w:line="19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our portfolio was invested across nineteen different industries. The largest industry in our portfolio as of December 31, 2024 was Business Services, which represents, as a percentage of our portfolio, 18.7%, based on fair value.</w:t>
      </w:r>
    </w:p>
    <w:p>
      <w:pPr>
        <w:spacing w:after="0" w:line="16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(the “1940 Act”). In addition, for U.S. federal income tax purposes, we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0" w:lineRule="exact"/>
        <w:rPr>
          <w:sz w:val="20"/>
          <w:szCs w:val="20"/>
          <w:color w:val="auto"/>
        </w:rPr>
      </w:pPr>
    </w:p>
    <w:p>
      <w:pPr>
        <w:jc w:val="both"/>
        <w:ind w:right="300" w:firstLine="255"/>
        <w:spacing w:after="0" w:line="266"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shares if immediately after the borrowing or issuance our ratio of total assets (less total liabilities other than indebtedness) to total indebtedness plus preferred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60"/>
        <w:spacing w:after="0" w:line="258" w:lineRule="auto"/>
        <w:rPr>
          <w:sz w:val="20"/>
          <w:szCs w:val="20"/>
          <w:color w:val="auto"/>
        </w:rPr>
      </w:pPr>
      <w:r>
        <w:rPr>
          <w:rFonts w:ascii="Times New Roman" w:cs="Times New Roman" w:eastAsia="Times New Roman" w:hAnsi="Times New Roman"/>
          <w:sz w:val="18"/>
          <w:szCs w:val="18"/>
          <w:color w:val="auto"/>
        </w:rPr>
        <w:t>is at least 150%. In determining whether to borrow money, we analyze the maturity, covenant package and rate structure of the proposed borrowings, as well as the risks of those borrowings compared to our investment outlook. The use of borrowed funds or the proceeds of preferred shares offerings to make investments has its own specific set of benefits and risks, and all of the costs of borrowing funds or issuing preferred shares are borne by us, and ultimately the holders of our Common Shares.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Structure—We borrow money, which magnifies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potential for gain or loss and increases the risk of investing in us.” </w:t>
      </w: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pacing w:after="0" w:line="19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See “Regulation as a Business Development Company—Transactions with our Affiliates.”</w:t>
      </w:r>
    </w:p>
    <w:p>
      <w:pPr>
        <w:spacing w:after="0" w:line="18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0"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In November 2024, our Board renewed the Investment Advisory Agreement and the Administration Agreement. Unless earlier terminated, the Investment Advisory Agreement will remain in effect until November 2025, and may be extended subject to required approvals.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17" w:lineRule="exact"/>
        <w:rPr>
          <w:sz w:val="20"/>
          <w:szCs w:val="20"/>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54" w:lineRule="exact"/>
        <w:rPr>
          <w:sz w:val="20"/>
          <w:szCs w:val="20"/>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2" w:lineRule="exact"/>
        <w:rPr>
          <w:sz w:val="20"/>
          <w:szCs w:val="20"/>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 w:name="page7"/>
    <w:bookmarkEnd w:id="6"/>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17" w:lineRule="exact"/>
        <w:rPr>
          <w:rFonts w:ascii="Times New Roman" w:cs="Times New Roman" w:eastAsia="Times New Roman" w:hAnsi="Times New Roman"/>
          <w:sz w:val="18"/>
          <w:szCs w:val="18"/>
          <w:color w:val="auto"/>
        </w:rPr>
      </w:pPr>
    </w:p>
    <w:p>
      <w:pPr>
        <w:ind w:left="520" w:right="560" w:hanging="257"/>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7"/>
          <w:szCs w:val="17"/>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58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ind w:left="520" w:right="120" w:hanging="257"/>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20" w:hanging="257"/>
        <w:spacing w:after="0" w:line="25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20" w:hanging="257"/>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8" w:lineRule="exact"/>
        <w:rPr>
          <w:sz w:val="20"/>
          <w:szCs w:val="20"/>
          <w:color w:val="auto"/>
        </w:rPr>
      </w:pPr>
    </w:p>
    <w:p>
      <w:pPr>
        <w:ind w:right="340" w:firstLine="255"/>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investment performance ratings of our portfolio,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OPERATIONS—Portfolio and Investment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August 2022, we have sought to generate current income primarily in U.S.-domiciled upper middle-market companies through direct originations of senior secured loans and, to a lesser extent, originations of mezzanine and unsecured loans and investments in corporate bonds and equity and other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4" w:lineRule="exact"/>
        <w:rPr>
          <w:sz w:val="20"/>
          <w:szCs w:val="20"/>
          <w:color w:val="auto"/>
        </w:rPr>
      </w:pPr>
    </w:p>
    <w:p>
      <w:pPr>
        <w:ind w:left="520" w:right="60" w:hanging="257"/>
        <w:spacing w:after="0" w:line="26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68" w:lineRule="exact"/>
        <w:rPr>
          <w:rFonts w:ascii="Times New Roman" w:cs="Times New Roman" w:eastAsia="Times New Roman" w:hAnsi="Times New Roman"/>
          <w:sz w:val="18"/>
          <w:szCs w:val="18"/>
          <w:color w:val="auto"/>
        </w:rPr>
      </w:pPr>
    </w:p>
    <w:p>
      <w:pPr>
        <w:ind w:left="520" w:right="80" w:hanging="257"/>
        <w:spacing w:after="0" w:line="28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Stand-alone first-lien loans. </w:t>
      </w:r>
      <w:r>
        <w:rPr>
          <w:rFonts w:ascii="Times New Roman" w:cs="Times New Roman" w:eastAsia="Times New Roman" w:hAnsi="Times New Roman"/>
          <w:sz w:val="18"/>
          <w:szCs w:val="18"/>
          <w:color w:val="auto"/>
        </w:rPr>
        <w:t>Stand-alone first-lien loans are traditional first-lien loans. All lenders in the facility have equal rights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subject to the first-priority security interest.</w:t>
      </w:r>
    </w:p>
    <w:p>
      <w:pPr>
        <w:spacing w:after="0" w:line="46" w:lineRule="exact"/>
        <w:rPr>
          <w:rFonts w:ascii="Times New Roman" w:cs="Times New Roman" w:eastAsia="Times New Roman" w:hAnsi="Times New Roman"/>
          <w:sz w:val="18"/>
          <w:szCs w:val="18"/>
          <w:color w:val="auto"/>
        </w:rPr>
      </w:pPr>
    </w:p>
    <w:p>
      <w:pPr>
        <w:ind w:left="520" w:right="20" w:hanging="257"/>
        <w:spacing w:after="0" w:line="25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6" w:lineRule="exact"/>
        <w:rPr>
          <w:rFonts w:ascii="Times New Roman" w:cs="Times New Roman" w:eastAsia="Times New Roman" w:hAnsi="Times New Roman"/>
          <w:sz w:val="18"/>
          <w:szCs w:val="18"/>
          <w:color w:val="auto"/>
        </w:rPr>
      </w:pPr>
    </w:p>
    <w:p>
      <w:pPr>
        <w:ind w:left="520" w:right="20" w:hanging="257"/>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 w:name="page9"/>
    <w:bookmarkEnd w:id="8"/>
    <w:p>
      <w:pPr>
        <w:ind w:left="520" w:right="200" w:hanging="257"/>
        <w:spacing w:after="0" w:line="259"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1" w:lineRule="exact"/>
        <w:rPr>
          <w:rFonts w:ascii="Times New Roman" w:cs="Times New Roman" w:eastAsia="Times New Roman" w:hAnsi="Times New Roman"/>
          <w:sz w:val="18"/>
          <w:szCs w:val="18"/>
          <w:color w:val="auto"/>
        </w:rPr>
      </w:pPr>
    </w:p>
    <w:p>
      <w:pPr>
        <w:ind w:left="520" w:right="60" w:hanging="257"/>
        <w:spacing w:after="0" w:line="25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 second-lien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4" w:lineRule="exact"/>
        <w:rPr>
          <w:sz w:val="20"/>
          <w:szCs w:val="20"/>
          <w:color w:val="auto"/>
        </w:rPr>
      </w:pPr>
    </w:p>
    <w:p>
      <w:pPr>
        <w:ind w:left="520" w:hanging="25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17" w:lineRule="exact"/>
        <w:rPr>
          <w:rFonts w:ascii="Times New Roman" w:cs="Times New Roman" w:eastAsia="Times New Roman" w:hAnsi="Times New Roman"/>
          <w:sz w:val="18"/>
          <w:szCs w:val="18"/>
          <w:color w:val="auto"/>
        </w:rPr>
      </w:pPr>
    </w:p>
    <w:p>
      <w:pPr>
        <w:ind w:left="520" w:right="260" w:hanging="257"/>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and Other Investments</w:t>
      </w:r>
    </w:p>
    <w:p>
      <w:pPr>
        <w:spacing w:after="0" w:line="119" w:lineRule="exact"/>
        <w:rPr>
          <w:sz w:val="20"/>
          <w:szCs w:val="20"/>
          <w:color w:val="auto"/>
        </w:rPr>
      </w:pPr>
    </w:p>
    <w:p>
      <w:pPr>
        <w:jc w:val="both"/>
        <w:ind w:right="440" w:firstLine="255"/>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we had made investments with an aggregate fair value of $7,244.3 million and $3,099.2 million, respectively, in 67 and 37 portfolio companies,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2024 and December 31, 2023:</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2"/>
                <w:szCs w:val="12"/>
                <w:color w:val="auto"/>
              </w:rPr>
            </w:pPr>
          </w:p>
        </w:tc>
        <w:tc>
          <w:tcPr>
            <w:tcW w:w="13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6,732.1</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4"/>
                <w:szCs w:val="24"/>
                <w:color w:val="auto"/>
              </w:rPr>
            </w:pPr>
          </w:p>
        </w:tc>
        <w:tc>
          <w:tcPr>
            <w:tcW w:w="44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1193"/>
              <w:spacing w:after="0"/>
              <w:rPr>
                <w:sz w:val="20"/>
                <w:szCs w:val="20"/>
                <w:color w:val="auto"/>
              </w:rPr>
            </w:pPr>
            <w:r>
              <w:rPr>
                <w:rFonts w:ascii="Times New Roman" w:cs="Times New Roman" w:eastAsia="Times New Roman" w:hAnsi="Times New Roman"/>
                <w:sz w:val="17"/>
                <w:szCs w:val="17"/>
                <w:color w:val="auto"/>
                <w:w w:val="70"/>
              </w:rPr>
              <w:t>9</w:t>
            </w: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-864870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-847725</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-864870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-847725</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-864870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-847725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tbl>
      <w:tblPr>
        <w:tblLayout w:type="fixed"/>
        <w:tblInd w:w="10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0"/>
                <w:szCs w:val="10"/>
                <w:color w:val="auto"/>
              </w:rPr>
            </w:pPr>
          </w:p>
        </w:tc>
        <w:tc>
          <w:tcPr>
            <w:tcW w:w="12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 xml:space="preserve">Amortized Cost </w:t>
            </w:r>
            <w:r>
              <w:rPr>
                <w:rFonts w:ascii="Times New Roman" w:cs="Times New Roman" w:eastAsia="Times New Roman" w:hAnsi="Times New Roman"/>
                <w:sz w:val="19"/>
                <w:szCs w:val="19"/>
                <w:b w:val="1"/>
                <w:bCs w:val="1"/>
                <w:color w:val="auto"/>
                <w:w w:val="97"/>
                <w:vertAlign w:val="superscript"/>
              </w:rPr>
              <w:t>(1)</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2024 and December 31,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8.7 %</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7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6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-445135</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-445135</wp:posOffset>
            </wp:positionV>
            <wp:extent cx="120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Business Services and Retail and Consumer Products) and not by the product or services (such as Software) directed to those end-markets.</w:t>
      </w:r>
    </w:p>
    <w:p>
      <w:pPr>
        <w:spacing w:after="0" w:line="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5" w:right="7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2024 and December 31, 2023 was as follows:</w:t>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Midwest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Northeast</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West</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Luxembourg</w:t>
            </w: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Norway</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   Value rounds to less than 0.1%</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-445135</wp:posOffset>
            </wp:positionV>
            <wp:extent cx="120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-445135</wp:posOffset>
            </wp:positionV>
            <wp:extent cx="120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As of December 31, 2024 and December 31, 2023, we had the following commitments to fund investments in current portfolio companies:</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01" w:right="1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Apellis Pharmaceuticals, Inc.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Avalara, Inc. -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Elysium BidCo Limited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Heritage Environmental Services, Inc.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Merit Software Finance Holdings, LLC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QSR Acquisition Co.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Sky Bidco S.p.A.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324"/>
        </w:trPr>
        <w:tc>
          <w:tcPr>
            <w:tcW w:w="920" w:type="dxa"/>
            <w:vAlign w:val="bottom"/>
          </w:tcPr>
          <w:p>
            <w:pPr>
              <w:spacing w:after="0"/>
              <w:rPr>
                <w:sz w:val="24"/>
                <w:szCs w:val="24"/>
                <w:color w:val="auto"/>
              </w:rPr>
            </w:pPr>
          </w:p>
        </w:tc>
        <w:tc>
          <w:tcPr>
            <w:tcW w:w="58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 w:name="page13"/>
    <w:bookmarkEnd w:id="12"/>
    <w:tbl>
      <w:tblPr>
        <w:tblLayout w:type="fixed"/>
        <w:tblInd w:w="920" w:type="dxa"/>
        <w:tblCellMar>
          <w:top w:w="0" w:type="dxa"/>
          <w:left w:w="0" w:type="dxa"/>
          <w:bottom w:w="0" w:type="dxa"/>
          <w:right w:w="0" w:type="dxa"/>
        </w:tblCellMar>
      </w:tblPr>
      <w:tr>
        <w:trPr>
          <w:trHeight w:val="234"/>
        </w:trPr>
        <w:tc>
          <w:tcPr>
            <w:tcW w:w="582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r>
      <w:tr>
        <w:trPr>
          <w:trHeight w:val="250"/>
        </w:trPr>
        <w:tc>
          <w:tcPr>
            <w:tcW w:w="5820" w:type="dxa"/>
            <w:vAlign w:val="bottom"/>
            <w:tcBorders>
              <w:bottom w:val="single" w:sz="8" w:color="CFF0FC"/>
            </w:tcBorders>
            <w:shd w:val="clear" w:color="auto" w:fill="CFF0FC"/>
          </w:tcPr>
          <w:p>
            <w:pPr>
              <w:jc w:val="center"/>
              <w:ind w:right="1970"/>
              <w:spacing w:after="0" w:line="210" w:lineRule="exact"/>
              <w:rPr>
                <w:sz w:val="20"/>
                <w:szCs w:val="20"/>
                <w:color w:val="auto"/>
              </w:rPr>
            </w:pPr>
            <w:r>
              <w:rPr>
                <w:rFonts w:ascii="Times New Roman" w:cs="Times New Roman" w:eastAsia="Times New Roman" w:hAnsi="Times New Roman"/>
                <w:sz w:val="18"/>
                <w:szCs w:val="18"/>
                <w:b w:val="1"/>
                <w:bCs w:val="1"/>
                <w:color w:val="auto"/>
                <w:w w:val="97"/>
              </w:rPr>
              <w:t xml:space="preserve">Total Portfolio Company Commitments </w:t>
            </w:r>
            <w:r>
              <w:rPr>
                <w:rFonts w:ascii="Times New Roman" w:cs="Times New Roman" w:eastAsia="Times New Roman" w:hAnsi="Times New Roman"/>
                <w:sz w:val="24"/>
                <w:szCs w:val="24"/>
                <w:b w:val="1"/>
                <w:bCs w:val="1"/>
                <w:color w:val="auto"/>
                <w:w w:val="97"/>
                <w:vertAlign w:val="superscript"/>
              </w:rPr>
              <w:t>(1)(2)</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2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right="300" w:hanging="512"/>
        <w:spacing w:after="0" w:line="25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rFonts w:ascii="Times New Roman" w:cs="Times New Roman" w:eastAsia="Times New Roman" w:hAnsi="Times New Roman"/>
          <w:sz w:val="18"/>
          <w:szCs w:val="18"/>
          <w:color w:val="auto"/>
        </w:rPr>
      </w:pPr>
    </w:p>
    <w:p>
      <w:pPr>
        <w:ind w:left="520" w:right="720" w:hanging="512"/>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as analysis of the fair value of any unfunded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we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44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2024, management is not aware of any material pending or threatened litigation that would require accounting recognition or financial statement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 in a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for investment opportunities.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Borrowings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generating cash in the future from cash flows from operations, including interest received on our cash and cash equivalents,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and other high-quality debt investments that mature in one year or less, and through issuances of Common Shares.</w:t>
      </w:r>
    </w:p>
    <w:p>
      <w:pPr>
        <w:spacing w:after="0" w:line="20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Additionally, we are permitted, under specified conditions, to issue multiple classes of indebtedness and one class of shares senior to our Common Shares if our asset coverage, as defined in the 1940 Act, is at least equal to 150% immediately after each such issuance. As of December 31, 2024 and December 31, 2023, our asset coverage was 193.0% and 245.6%, respectively. See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Furthermore, while any indebtedness and senior securities remain outstanding, we must make provisions to prohibit any distribution to our shareholders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debt obligations consisted of the following as of December 31, 2024 and December 31, 2023:</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0"/>
                <w:szCs w:val="10"/>
                <w:color w:val="auto"/>
              </w:rPr>
            </w:pPr>
          </w:p>
        </w:tc>
        <w:tc>
          <w:tcPr>
            <w:tcW w:w="1520" w:type="dxa"/>
            <w:vAlign w:val="bottom"/>
          </w:tcPr>
          <w:p>
            <w:pPr>
              <w:jc w:val="right"/>
              <w:ind w:right="15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ind w:right="29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18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2030 Notes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20" w:type="dxa"/>
            <w:vAlign w:val="bottom"/>
          </w:tcPr>
          <w:p>
            <w:pPr>
              <w:spacing w:after="0"/>
              <w:rPr>
                <w:sz w:val="24"/>
                <w:szCs w:val="24"/>
                <w:color w:val="auto"/>
              </w:rPr>
            </w:pPr>
          </w:p>
        </w:tc>
        <w:tc>
          <w:tcPr>
            <w:tcW w:w="34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-865505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-847725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-865505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-847725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-865505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-847725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-865505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-847725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520" w:right="3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and January 2030 Notes are presented net of deferred financing costs and original issue discounts totaling $3.0 million, $9.1 million, $14.2 million and $8.6 million, respectively.</w:t>
      </w:r>
    </w:p>
    <w:p>
      <w:pPr>
        <w:spacing w:after="0" w:line="53" w:lineRule="exact"/>
        <w:rPr>
          <w:rFonts w:ascii="Times New Roman" w:cs="Times New Roman" w:eastAsia="Times New Roman" w:hAnsi="Times New Roman"/>
          <w:sz w:val="18"/>
          <w:szCs w:val="18"/>
          <w:color w:val="auto"/>
        </w:rPr>
      </w:pPr>
    </w:p>
    <w:p>
      <w:pPr>
        <w:ind w:left="520" w:right="6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2029 Notes and January 2030 Notes are presented inclusive of an incremental $1.1 million and $24.1 million, respectively, which represents an adjustment in the carrying values of the 2029 Notes and January 2030 Notes, each resulting from a hedge accounting relationship.</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0"/>
                <w:szCs w:val="10"/>
                <w:color w:val="auto"/>
              </w:rPr>
            </w:pPr>
          </w:p>
        </w:tc>
        <w:tc>
          <w:tcPr>
            <w:tcW w:w="138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338"/>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right"/>
              <w:ind w:right="318"/>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5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59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left="520" w:right="3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of deferred financing costs of $3.7 million and $4.5 million, respectively.</w:t>
      </w:r>
    </w:p>
    <w:p>
      <w:pPr>
        <w:spacing w:after="0" w:line="270"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the components of interest expense were as follows:</w:t>
      </w: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Pr>
          <w:p>
            <w:pPr>
              <w:spacing w:after="0"/>
              <w:rPr>
                <w:sz w:val="12"/>
                <w:szCs w:val="12"/>
                <w:color w:val="auto"/>
              </w:rPr>
            </w:pPr>
          </w:p>
        </w:tc>
        <w:tc>
          <w:tcPr>
            <w:tcW w:w="204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6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Average debt outstanding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2,519.0</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876.9</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219.4</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Weighted average interest rate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4"/>
                <w:szCs w:val="24"/>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Pr>
          <w:p>
            <w:pPr>
              <w:spacing w:after="0"/>
              <w:rPr>
                <w:sz w:val="24"/>
                <w:szCs w:val="24"/>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-509270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-509270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-509270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5" w:lineRule="exact"/>
        <w:rPr>
          <w:sz w:val="20"/>
          <w:szCs w:val="20"/>
          <w:color w:val="auto"/>
        </w:rPr>
      </w:pPr>
    </w:p>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5, 2022 (Inception) through December 31, 2022, the average debt outstanding and weighted average interest rate were computed from the initial drawdown on the Subscription Facility, on September 1, 2022.</w:t>
      </w:r>
    </w:p>
    <w:p>
      <w:pPr>
        <w:spacing w:after="0" w:line="160" w:lineRule="exact"/>
        <w:rPr>
          <w:sz w:val="20"/>
          <w:szCs w:val="20"/>
          <w:color w:val="auto"/>
        </w:rPr>
      </w:pPr>
    </w:p>
    <w:p>
      <w:pPr>
        <w:ind w:right="40" w:firstLine="255"/>
        <w:spacing w:after="0" w:line="284" w:lineRule="auto"/>
        <w:rPr>
          <w:sz w:val="20"/>
          <w:szCs w:val="20"/>
          <w:color w:val="auto"/>
        </w:rPr>
      </w:pPr>
      <w:r>
        <w:rPr>
          <w:rFonts w:ascii="Times New Roman" w:cs="Times New Roman" w:eastAsia="Times New Roman" w:hAnsi="Times New Roman"/>
          <w:sz w:val="18"/>
          <w:szCs w:val="18"/>
          <w:color w:val="auto"/>
        </w:rPr>
        <w:t>For more information on our debt,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OPERATIONS——Financial Condition, Liquidity and Capital Resources.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firstLine="300"/>
        <w:spacing w:after="0" w:line="258"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4" w:name="page15"/>
    <w:bookmarkEnd w:id="14"/>
    <w:p>
      <w:pPr>
        <w:ind w:right="800"/>
        <w:spacing w:after="0" w:line="282" w:lineRule="auto"/>
        <w:rPr>
          <w:sz w:val="20"/>
          <w:szCs w:val="20"/>
          <w:color w:val="auto"/>
        </w:rPr>
      </w:pPr>
      <w:r>
        <w:rPr>
          <w:rFonts w:ascii="Times New Roman" w:cs="Times New Roman" w:eastAsia="Times New Roman" w:hAnsi="Times New Roman"/>
          <w:sz w:val="18"/>
          <w:szCs w:val="18"/>
          <w:color w:val="auto"/>
        </w:rPr>
        <w:t>distribute to shareholders. In addition, to avoid the imposition of a nondeductible 4% U.S. federal excise tax, we must distribute (or be treated as distributing) in each calendar year an amount at least equal to the sum of:</w:t>
      </w:r>
    </w:p>
    <w:p>
      <w:pPr>
        <w:spacing w:after="0" w:line="54"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See “ITEM 1A. RISK FACTORS— Risks Related to Our Business and Structure—We will be subject to corporate-level income tax if we are unable to maintain our qualification as a RIC under Subchapter M of the Code.”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Plan</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Each of our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auto"/>
        </w:rPr>
        <w:t>Investment Advisory Agreement; Administration Agreement; License Agreement</w:t>
      </w:r>
      <w:r>
        <w:rPr>
          <w:rFonts w:ascii="Times New Roman" w:cs="Times New Roman" w:eastAsia="Times New Roman" w:hAnsi="Times New Roman"/>
          <w:sz w:val="18"/>
          <w:szCs w:val="18"/>
          <w:color w:val="auto"/>
        </w:rPr>
        <w:t>” below.</w:t>
      </w:r>
    </w:p>
    <w:p>
      <w:pPr>
        <w:spacing w:after="0" w:line="84"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 addition to our Adviser, Sixth Street has a team of over 650 investment and operating professionals. As of December 31, 2024, seventy-two (72) of these personnel are dedicated to direct lending, including fifty-seven (57) investment professionals.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June 28, 2022, we entered into the Investment Advisory Agreement with our Adviser.</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17" w:lineRule="exact"/>
        <w:rPr>
          <w:sz w:val="20"/>
          <w:szCs w:val="20"/>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17" w:lineRule="exact"/>
        <w:rPr>
          <w:rFonts w:ascii="Times New Roman" w:cs="Times New Roman" w:eastAsia="Times New Roman" w:hAnsi="Times New Roman"/>
          <w:sz w:val="18"/>
          <w:szCs w:val="18"/>
          <w:color w:val="auto"/>
        </w:rPr>
      </w:pPr>
    </w:p>
    <w:p>
      <w:pPr>
        <w:ind w:left="520" w:right="500" w:hanging="257"/>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17" w:lineRule="exact"/>
        <w:rPr>
          <w:rFonts w:ascii="Times New Roman" w:cs="Times New Roman" w:eastAsia="Times New Roman" w:hAnsi="Times New Roman"/>
          <w:sz w:val="18"/>
          <w:szCs w:val="18"/>
          <w:color w:val="auto"/>
        </w:rPr>
      </w:pPr>
    </w:p>
    <w:p>
      <w:pPr>
        <w:ind w:left="520" w:right="400" w:hanging="257"/>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(the “Management Fee,”) and may also pay certain incentive fees (the “Incentive Fees”).</w:t>
      </w:r>
    </w:p>
    <w:p>
      <w:pPr>
        <w:spacing w:after="0" w:line="16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1.25%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Management Fees (gross of waivers) were $67.8 million, $25.2 million and $2.7 million, respectively.</w:t>
      </w:r>
    </w:p>
    <w:p>
      <w:pPr>
        <w:spacing w:after="0" w:line="162"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Management Fees of $43.8 million, $16.7 million and $2.0 million were waived,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Prior to any Exchange Listing (as defined below)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00" w:hanging="257"/>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7" w:lineRule="exact"/>
        <w:rPr>
          <w:rFonts w:ascii="Times New Roman" w:cs="Times New Roman" w:eastAsia="Times New Roman" w:hAnsi="Times New Roman"/>
          <w:sz w:val="18"/>
          <w:szCs w:val="18"/>
          <w:color w:val="auto"/>
        </w:rPr>
      </w:pPr>
    </w:p>
    <w:p>
      <w:pPr>
        <w:ind w:left="52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The Adviser will not be obligated to return cash to the Company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83" w:lineRule="exact"/>
        <w:rPr>
          <w:rFonts w:ascii="Times New Roman" w:cs="Times New Roman" w:eastAsia="Times New Roman" w:hAnsi="Times New Roman"/>
          <w:sz w:val="18"/>
          <w:szCs w:val="18"/>
          <w:color w:val="auto"/>
        </w:rPr>
      </w:pPr>
    </w:p>
    <w:p>
      <w:pPr>
        <w:ind w:left="520" w:right="20" w:hanging="257"/>
        <w:spacing w:after="0" w:line="25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94"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Incentive Fees on net investment income were $54.7 million, $19.3 million and $1.0 million, respectively. For the years ended December 31, 2024 and December 31, 2023, $17.8 million and $6.7 million, respectively, were accrued related to Capital Gains Fees. For the period from April 5, 2022 (Inception) through December 31, 2022, there was no accrual for Capital Gains Fees.</w:t>
      </w:r>
    </w:p>
    <w:p>
      <w:pPr>
        <w:spacing w:after="0" w:line="180"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76"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On June 28, 2022,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for certain expenses incurred by any such affiliates or third parties for work done on its behalf. For the years ended December 31, 2024, December 31, 2023 and for the period from April 5, 2022 (Inception) through December 31, 2022, we incurred expenses of $4.0 million, $2.7 million and $0.5 million, respectively, for administrative services payable under the terms of the Administration Agreement, which are included in Other general and administrative expenses.</w:t>
      </w:r>
    </w:p>
    <w:p>
      <w:pPr>
        <w:spacing w:after="0" w:line="188"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90"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284" w:lineRule="exact"/>
        <w:rPr>
          <w:sz w:val="20"/>
          <w:szCs w:val="20"/>
          <w:color w:val="auto"/>
        </w:rPr>
      </w:pPr>
    </w:p>
    <w:p>
      <w:pPr>
        <w:jc w:val="both"/>
        <w:ind w:left="520" w:right="380" w:hanging="257"/>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0" w:hanging="257"/>
        <w:spacing w:after="0" w:line="258"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Company’s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75"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8" w:name="page19"/>
    <w:bookmarkEnd w:id="18"/>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17" w:lineRule="exact"/>
        <w:rPr>
          <w:rFonts w:ascii="Times New Roman" w:cs="Times New Roman" w:eastAsia="Times New Roman" w:hAnsi="Times New Roman"/>
          <w:sz w:val="18"/>
          <w:szCs w:val="18"/>
          <w:color w:val="auto"/>
        </w:rPr>
      </w:pPr>
    </w:p>
    <w:p>
      <w:pPr>
        <w:ind w:left="520" w:right="100" w:hanging="257"/>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6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53" w:lineRule="exact"/>
        <w:rPr>
          <w:rFonts w:ascii="Times New Roman" w:cs="Times New Roman" w:eastAsia="Times New Roman" w:hAnsi="Times New Roman"/>
          <w:sz w:val="18"/>
          <w:szCs w:val="18"/>
          <w:color w:val="auto"/>
        </w:rPr>
      </w:pPr>
    </w:p>
    <w:p>
      <w:pPr>
        <w:ind w:left="520" w:right="160" w:hanging="257"/>
        <w:spacing w:after="0" w:line="281" w:lineRule="auto"/>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56" w:lineRule="exact"/>
        <w:rPr>
          <w:rFonts w:ascii="Times New Roman" w:cs="Times New Roman" w:eastAsia="Times New Roman" w:hAnsi="Times New Roman"/>
          <w:sz w:val="17"/>
          <w:szCs w:val="17"/>
          <w:color w:val="auto"/>
        </w:rPr>
      </w:pPr>
    </w:p>
    <w:p>
      <w:pPr>
        <w:ind w:left="520" w:right="240" w:hanging="257"/>
        <w:spacing w:after="0" w:line="25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7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The Company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40"/>
        <w:spacing w:after="0" w:line="266" w:lineRule="auto"/>
        <w:rPr>
          <w:sz w:val="20"/>
          <w:szCs w:val="20"/>
          <w:color w:val="auto"/>
        </w:rPr>
      </w:pPr>
      <w:r>
        <w:rPr>
          <w:rFonts w:ascii="Times New Roman" w:cs="Times New Roman" w:eastAsia="Times New Roman" w:hAnsi="Times New Roman"/>
          <w:sz w:val="18"/>
          <w:szCs w:val="18"/>
          <w:color w:val="auto"/>
        </w:rPr>
        <w:t>individuals devote, on an estimated basis, to the business and affairs of the Company and in acting on behalf of the Company). Although the Investment Advisory Agreement and Administration Agreement do not specify a timeframe by which the Adviser or its affiliates must be so reimbursed, the Company expects that it would generally reimburse the Adviser or its affiliates by the end of following quarter in which the expense is recognized.</w:t>
      </w:r>
    </w:p>
    <w:p>
      <w:pPr>
        <w:spacing w:after="0" w:line="176"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trustees of the Board who are not “interested persons” of us, the Adviser or any of our or its respective affiliates, as defined in the 1940 Act (known as Independent Trustees).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8"/>
          <w:szCs w:val="18"/>
          <w:i w:val="1"/>
          <w:iCs w:val="1"/>
          <w:color w:val="auto"/>
        </w:rPr>
        <w:t>ITEM 1A. 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Structure—We are dependent upon management personnel of the Adviser, Sixth Street, and their affiliates for our future success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Our Board, including our Independent Trustees, and holders of a majority of our outstanding securities, approved our Investment Advisory Agreement in June 2022. In its consideration of the Investment Advisory Agreement at the time of approval, the Board focused on information it had received relating to, among other things:</w:t>
      </w:r>
    </w:p>
    <w:p>
      <w:pPr>
        <w:spacing w:after="0" w:line="68" w:lineRule="exact"/>
        <w:rPr>
          <w:sz w:val="20"/>
          <w:szCs w:val="20"/>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financial performance on a standalone basis and against a comparative universe of peers;</w:t>
      </w:r>
    </w:p>
    <w:p>
      <w:pPr>
        <w:spacing w:after="0" w:line="117" w:lineRule="exact"/>
        <w:rPr>
          <w:rFonts w:ascii="Times New Roman" w:cs="Times New Roman" w:eastAsia="Times New Roman" w:hAnsi="Times New Roman"/>
          <w:sz w:val="18"/>
          <w:szCs w:val="18"/>
          <w:color w:val="auto"/>
        </w:rPr>
      </w:pPr>
    </w:p>
    <w:p>
      <w:pPr>
        <w:ind w:left="520" w:right="42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shareholders;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ratio compared to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and functional capabilities and financial condition of the Adviser and its respective affiliates;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76"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Trustees, concluded that the investment advisory fee rates are reasonable in relation to the services to be provided.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shareholders and from other sources to make long-term, private investments in businesses.</w:t>
      </w:r>
    </w:p>
    <w:p>
      <w:pPr>
        <w:spacing w:after="0" w:line="17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trustees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trustee or officer against any liability to us or our shareholders arising from willful misfeasance, bad faith, gross negligence or reckless disregard of the duties involved in the conduct of such person’s office.</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Shares if our asset coverage, as defined in the 1940 Act, is at least equal to 150% immediately after any borrowing or issuance. See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for more information. In addition, while any preferred shares or publicly 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8"/>
          <w:szCs w:val="18"/>
          <w:i w:val="1"/>
          <w:iCs w:val="1"/>
          <w:color w:val="auto"/>
        </w:rPr>
        <w:t>ITEM 1A. RISK FACTORS—Risks Related to Our Business and Structure—We borrow money, which magnifies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potential for gain or loss and increases the risk of investing in us</w:t>
      </w:r>
      <w:r>
        <w:rPr>
          <w:rFonts w:ascii="Times New Roman" w:cs="Times New Roman" w:eastAsia="Times New Roman" w:hAnsi="Times New Roman"/>
          <w:sz w:val="18"/>
          <w:szCs w:val="18"/>
          <w:color w:val="auto"/>
        </w:rPr>
        <w:t>.” As of December 31, 2024 and December 31, 2023, our asset coverage was 193.0%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245.6%, respectively.</w:t>
      </w:r>
    </w:p>
    <w:p>
      <w:pPr>
        <w:spacing w:after="0" w:line="192"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anticipate any substantial change in the nature of our business.</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shareholders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8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We are generally not able to issue and sell our Common Shares at a price below net asset value per share. See “ITEM 1A. RISK FACTORS—Risks Related to Our Business and Structure—Regulations governing our operation as a BDC affect our ability to,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140"/>
        <w:spacing w:after="0" w:line="254" w:lineRule="auto"/>
        <w:rPr>
          <w:sz w:val="20"/>
          <w:szCs w:val="20"/>
          <w:color w:val="auto"/>
        </w:rPr>
      </w:pPr>
      <w:r>
        <w:rPr>
          <w:rFonts w:ascii="Times New Roman" w:cs="Times New Roman" w:eastAsia="Times New Roman" w:hAnsi="Times New Roman"/>
          <w:sz w:val="18"/>
          <w:szCs w:val="18"/>
          <w:color w:val="auto"/>
        </w:rPr>
        <w:t>the way in which we, raise additional capital.” We may, however, elect to issue and sell our Common Shares at a price below the then-current net asset value of our Common Shares if our Board determines that the sale is in our best interests and the best interests of our shareholders, and our shareholders have approved our policy and practice of making these sales within the preceding 12 months. In addition we may elect to issue and sell warrants, options and rights to acquire our Common Shares at a price below the then-current net asset value of our Common Shares if our Board approves the issuance of such warrants, option and rights and shareholders approve such issuance as well.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such securities (less any distribution commission or discount). In addition, we may generally issue new Common Shares at a price below net asset value in rights offerings to existing shareholders, in payment of dividends and in certain other limited circumstances.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Compliance with regulations has not had a material effect on our capital expenditure, earnings or competitive position.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w:t>
      </w:r>
      <w:r>
        <w:rPr>
          <w:rFonts w:ascii="Times New Roman" w:cs="Times New Roman" w:eastAsia="Times New Roman" w:hAnsi="Times New Roman"/>
          <w:sz w:val="18"/>
          <w:szCs w:val="18"/>
          <w:i w:val="1"/>
          <w:iCs w:val="1"/>
          <w:color w:val="auto"/>
        </w:rPr>
        <w:t>ITEM 1A. RISK FACTORS—Risks Related to Our Business and Structure.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our Affiliates</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trustees,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Further, in accordance with the exemptive order, we have undertaken that, in connection with any commitment to a co-investment or follow-on investment, a “required majority” (as defined in Section 57(o) of the 1940 Act) of Independent Trustees must make certain conclusions, including that:</w:t>
      </w:r>
    </w:p>
    <w:p>
      <w:pPr>
        <w:spacing w:after="0" w:line="54" w:lineRule="exact"/>
        <w:rPr>
          <w:sz w:val="20"/>
          <w:szCs w:val="20"/>
          <w:color w:val="auto"/>
        </w:rPr>
      </w:pPr>
    </w:p>
    <w:p>
      <w:pPr>
        <w:ind w:left="520" w:right="180" w:hanging="257"/>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shareholders and do not involve overreaching of us or our shareholders on the part of any person concerned;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shareholders and our investment strategies and policies;</w:t>
      </w:r>
    </w:p>
    <w:p>
      <w:pPr>
        <w:spacing w:after="0" w:line="117" w:lineRule="exact"/>
        <w:rPr>
          <w:rFonts w:ascii="Times New Roman" w:cs="Times New Roman" w:eastAsia="Times New Roman" w:hAnsi="Times New Roman"/>
          <w:sz w:val="18"/>
          <w:szCs w:val="18"/>
          <w:color w:val="auto"/>
        </w:rPr>
      </w:pPr>
    </w:p>
    <w:p>
      <w:pPr>
        <w:ind w:left="520" w:right="60" w:hanging="257"/>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13. CERTAIN RELATIONSHIPS AND RELATED TRANSACTIONS, AND TRUSTEE INDEPENDENCE.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Qualifying Assets</w:t>
      </w:r>
    </w:p>
    <w:p>
      <w:pPr>
        <w:spacing w:after="0" w:line="11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ind w:left="520" w:right="420" w:hanging="257"/>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520" w:right="160"/>
        <w:spacing w:after="0" w:line="282" w:lineRule="auto"/>
        <w:rPr>
          <w:sz w:val="20"/>
          <w:szCs w:val="20"/>
          <w:color w:val="auto"/>
        </w:rPr>
      </w:pPr>
      <w:r>
        <w:rPr>
          <w:rFonts w:ascii="Times New Roman" w:cs="Times New Roman" w:eastAsia="Times New Roman" w:hAnsi="Times New Roman"/>
          <w:sz w:val="18"/>
          <w:szCs w:val="18"/>
          <w:color w:val="auto"/>
        </w:rPr>
        <w:t>months, an affiliated person of an eligible portfolio company, or from any other person, subject to such rules as may be prescribed by the SEC. An eligible portfolio company is defined in the 1940 Act as any issuer which:</w:t>
      </w:r>
    </w:p>
    <w:p>
      <w:pPr>
        <w:spacing w:after="0" w:line="54" w:lineRule="exact"/>
        <w:rPr>
          <w:sz w:val="20"/>
          <w:szCs w:val="20"/>
          <w:color w:val="auto"/>
        </w:rPr>
      </w:pPr>
    </w:p>
    <w:p>
      <w:pPr>
        <w:ind w:left="780" w:hanging="263"/>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780" w:right="60" w:hanging="263"/>
        <w:spacing w:after="0" w:line="282" w:lineRule="auto"/>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280" w:right="620" w:hanging="254"/>
        <w:spacing w:after="0" w:line="282" w:lineRule="auto"/>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53" w:lineRule="exact"/>
        <w:rPr>
          <w:rFonts w:ascii="Times New Roman" w:cs="Times New Roman" w:eastAsia="Times New Roman" w:hAnsi="Times New Roman"/>
          <w:sz w:val="18"/>
          <w:szCs w:val="18"/>
          <w:color w:val="auto"/>
        </w:rPr>
      </w:pPr>
    </w:p>
    <w:p>
      <w:pPr>
        <w:ind w:left="1280" w:right="20" w:hanging="254"/>
        <w:spacing w:after="0" w:line="266" w:lineRule="auto"/>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trustee of the eligible portfolio company; or</w:t>
      </w:r>
    </w:p>
    <w:p>
      <w:pPr>
        <w:spacing w:after="0" w:line="6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17" w:lineRule="exact"/>
        <w:rPr>
          <w:rFonts w:ascii="Times New Roman" w:cs="Times New Roman" w:eastAsia="Times New Roman" w:hAnsi="Times New Roman"/>
          <w:sz w:val="18"/>
          <w:szCs w:val="18"/>
          <w:color w:val="auto"/>
        </w:rPr>
      </w:pPr>
    </w:p>
    <w:p>
      <w:pPr>
        <w:ind w:left="520" w:right="300" w:hanging="257"/>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Managerial Assistance to Portfolio Companies</w:t>
      </w:r>
    </w:p>
    <w:p>
      <w:pPr>
        <w:spacing w:after="0" w:line="119"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trustees, officers or employees, offers to provide, and, if accepted, does in fact provide, significant guidance and counsel concerning the management, operations or business objectives and policies of a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1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150%.</w:t>
      </w:r>
    </w:p>
    <w:p>
      <w:pPr>
        <w:spacing w:after="0" w:line="16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Shares if our asset coverage, as defined in the 1940 Act, is at least equal to 150% immediately after any borrowing or issuance. In addition, while any preferred shares or publicly-traded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1940 Act imposes limitations on a BDC’s issuance of preferred shares, which is considered a “senior security” and thus is subject to the 150% asset coverage requirement described above.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our asset coverage was 193.0% and 245.6%,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Policies and Procedures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of 2002</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4" w:lineRule="exact"/>
        <w:rPr>
          <w:sz w:val="20"/>
          <w:szCs w:val="20"/>
          <w:color w:val="auto"/>
        </w:rPr>
      </w:pPr>
    </w:p>
    <w:p>
      <w:pPr>
        <w:ind w:left="520" w:right="74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520" w:right="68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53" w:lineRule="exact"/>
        <w:rPr>
          <w:rFonts w:ascii="Times New Roman" w:cs="Times New Roman" w:eastAsia="Times New Roman" w:hAnsi="Times New Roman"/>
          <w:sz w:val="18"/>
          <w:szCs w:val="18"/>
          <w:color w:val="auto"/>
        </w:rPr>
      </w:pPr>
    </w:p>
    <w:p>
      <w:pPr>
        <w:ind w:left="520" w:right="120" w:hanging="257"/>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Policies and Procedures</w:t>
      </w:r>
    </w:p>
    <w:p>
      <w:pPr>
        <w:spacing w:after="0" w:line="119" w:lineRule="exact"/>
        <w:rPr>
          <w:sz w:val="20"/>
          <w:szCs w:val="20"/>
          <w:color w:val="auto"/>
        </w:rPr>
      </w:pPr>
    </w:p>
    <w:p>
      <w:pPr>
        <w:ind w:right="720" w:firstLine="255"/>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Trustees, and, accordingly, are subject to change.</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Principles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shareholders who purchase Common Shares.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9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119"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will furnish our shareholders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68"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We make available on our website (www.sixthstreetlendingpartners.com)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Shareholders and the public may access the Company's public filings at www.sec.gov or obtain information by calling the SEC at (202) 551-8090.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Investment Company Classification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17" w:lineRule="exact"/>
        <w:rPr>
          <w:sz w:val="20"/>
          <w:szCs w:val="20"/>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17"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17" w:lineRule="exact"/>
        <w:rPr>
          <w:sz w:val="20"/>
          <w:szCs w:val="20"/>
          <w:color w:val="auto"/>
        </w:rPr>
      </w:pPr>
    </w:p>
    <w:p>
      <w:pPr>
        <w:ind w:left="780" w:right="120" w:hanging="263"/>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780" w:right="260" w:hanging="263"/>
        <w:spacing w:after="0" w:line="266"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780" w:right="140" w:hanging="263"/>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2" w:lineRule="exact"/>
        <w:rPr>
          <w:sz w:val="20"/>
          <w:szCs w:val="20"/>
          <w:color w:val="auto"/>
        </w:rPr>
      </w:pPr>
    </w:p>
    <w:p>
      <w:pPr>
        <w:ind w:left="520" w:hanging="257"/>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19"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may amend our Declaration of Trust without prior shareholder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17"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4% U.S. federal excise tax.</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17"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shareholder approval.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19" w:lineRule="exact"/>
        <w:rPr>
          <w:sz w:val="20"/>
          <w:szCs w:val="20"/>
          <w:color w:val="auto"/>
        </w:rPr>
      </w:pPr>
    </w:p>
    <w:p>
      <w:pPr>
        <w:ind w:left="760" w:right="6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19"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1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may incur debt or issue equity securities that rank equally with, or senior to, our investments in those companies and we may be exposed to special risks associated with bankruptcy cases.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structure applicable to derivatives imposed by the Dodd-Frank Act may affect our ability to use over-the-counter (“OTC”) derivatives for hedging purposes.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w:t>
      </w:r>
    </w:p>
    <w:p>
      <w:pPr>
        <w:spacing w:after="0" w:line="117" w:lineRule="exact"/>
        <w:rPr>
          <w:rFonts w:ascii="Times New Roman" w:cs="Times New Roman" w:eastAsia="Times New Roman" w:hAnsi="Times New Roman"/>
          <w:sz w:val="18"/>
          <w:szCs w:val="18"/>
          <w:color w:val="auto"/>
        </w:rPr>
      </w:pPr>
    </w:p>
    <w:p>
      <w:pPr>
        <w:ind w:left="760" w:right="80" w:hanging="378"/>
        <w:spacing w:after="0" w:line="289" w:lineRule="auto"/>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4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19"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Shares will have limited liquidity.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Shares may not receive dividends or that our dividends may not grow over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experience dilution in their ownership percentage if they opt out of our dividend reinvestment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19" w:lineRule="exact"/>
        <w:rPr>
          <w:sz w:val="20"/>
          <w:szCs w:val="20"/>
          <w:color w:val="auto"/>
        </w:rPr>
      </w:pPr>
    </w:p>
    <w:p>
      <w:pPr>
        <w:ind w:left="760" w:right="2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our ability to pay dividends.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geopolitical conflicts and global climate change may impact us and our portfolio companies.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amend our Declaration of Trust without prior shareholder approval.</w:t>
      </w:r>
    </w:p>
    <w:p>
      <w:pPr>
        <w:spacing w:after="0" w:line="229" w:lineRule="exact"/>
        <w:rPr>
          <w:sz w:val="20"/>
          <w:szCs w:val="20"/>
          <w:color w:val="auto"/>
        </w:rPr>
      </w:pPr>
    </w:p>
    <w:p>
      <w:pPr>
        <w:ind w:right="380" w:firstLine="300"/>
        <w:spacing w:after="0" w:line="261" w:lineRule="auto"/>
        <w:rPr>
          <w:sz w:val="20"/>
          <w:szCs w:val="20"/>
          <w:color w:val="auto"/>
        </w:rPr>
      </w:pPr>
      <w:r>
        <w:rPr>
          <w:rFonts w:ascii="Times New Roman" w:cs="Times New Roman" w:eastAsia="Times New Roman" w:hAnsi="Times New Roman"/>
          <w:sz w:val="18"/>
          <w:szCs w:val="18"/>
          <w:color w:val="auto"/>
        </w:rPr>
        <w:t>Our Board of Trustees may, without shareholder vote, subject to certain exceptions, amend or otherwise supplement the Declaration of Trust by making an amendment, a Declaration of Trust supplemental thereto or an amended and restated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3"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22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2"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 if our Board determines that the sale is in the Company’s best interest and the best interests of the Company’s shareholders, and the Company’s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price per share may decline. Because the number of Common Shares that could be so issued and the timing of any issuance is not currently known, the actual dilutive effect cannot be predicted.</w:t>
      </w:r>
    </w:p>
    <w:p>
      <w:pPr>
        <w:spacing w:after="0" w:line="19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Portfolio Company Investments—We may securitize certain of our investments, which may subject us to certain structured financing risks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22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 Related to Our Business and Structure—Even in the event the value of your investment declines, the Management Fee and, in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circumstances, the Incentive Fee will still be payable to the Adviser</w:t>
      </w:r>
      <w:r>
        <w:rPr>
          <w:rFonts w:ascii="Times New Roman" w:cs="Times New Roman" w:eastAsia="Times New Roman" w:hAnsi="Times New Roman"/>
          <w:sz w:val="18"/>
          <w:szCs w:val="18"/>
          <w:color w:val="auto"/>
        </w:rPr>
        <w:t>.” The amount of leverage that we employ will depend on our Adviser’s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Board’s assessment of market and other factors at the time of any proposed borrowing. We cannot assure you that we will be able to obtain credit at all or on terms acceptable to us.</w:t>
      </w:r>
    </w:p>
    <w:p>
      <w:pPr>
        <w:spacing w:after="0" w:line="19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200"/>
        <w:spacing w:after="0" w:line="282" w:lineRule="auto"/>
        <w:rPr>
          <w:sz w:val="20"/>
          <w:szCs w:val="20"/>
          <w:color w:val="auto"/>
        </w:rPr>
      </w:pPr>
      <w:r>
        <w:rPr>
          <w:rFonts w:ascii="Times New Roman" w:cs="Times New Roman" w:eastAsia="Times New Roman" w:hAnsi="Times New Roman"/>
          <w:sz w:val="18"/>
          <w:szCs w:val="18"/>
          <w:color w:val="auto"/>
        </w:rPr>
        <w:t>impact on our business, financial condition and results of operations. Lastly, we may be unable to obtain additional leverage, which would, in turn, affect our return on capital.</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we had $4,348.7 million principal amount of outstanding indebtedness, which had an annualized interest cost of 7.1% under the terms of our debt, excluding fees (such as fees on undrawn amounts and amortization of upfront fees).</w:t>
      </w:r>
    </w:p>
    <w:p>
      <w:pPr>
        <w:spacing w:after="0" w:line="16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4.1%.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Shares assuming various annual returns, net of expenses. Leverage generally magnifies the return of shareholders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December 31, 2024</w:t>
      </w:r>
    </w:p>
    <w:p>
      <w:pPr>
        <w:spacing w:after="0" w:line="20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jc w:val="center"/>
        <w:ind w:left="5100"/>
        <w:spacing w:after="0" w:line="185" w:lineRule="auto"/>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9"/>
          <w:szCs w:val="19"/>
          <w:b w:val="1"/>
          <w:bCs w:val="1"/>
          <w:color w:val="auto"/>
          <w:vertAlign w:val="superscript"/>
        </w:rPr>
        <w:t>(1)</w:t>
      </w:r>
    </w:p>
    <w:tbl>
      <w:tblPr>
        <w:tblLayout w:type="fixed"/>
        <w:tblInd w:w="0" w:type="dxa"/>
        <w:tblCellMar>
          <w:top w:w="0" w:type="dxa"/>
          <w:left w:w="0" w:type="dxa"/>
          <w:bottom w:w="0" w:type="dxa"/>
          <w:right w:w="0" w:type="dxa"/>
        </w:tblCellMar>
      </w:tblPr>
      <w:tr>
        <w:trPr>
          <w:trHeight w:val="15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Corresponding return to shareholder </w:t>
            </w:r>
            <w:r>
              <w:rPr>
                <w:rFonts w:ascii="Times New Roman" w:cs="Times New Roman" w:eastAsia="Times New Roman" w:hAnsi="Times New Roman"/>
                <w:sz w:val="24"/>
                <w:szCs w:val="24"/>
                <w:color w:val="auto"/>
                <w:vertAlign w:val="superscript"/>
              </w:rPr>
              <w:t>(2)</w:t>
            </w:r>
          </w:p>
        </w:tc>
        <w:tc>
          <w:tcPr>
            <w:tcW w:w="1120" w:type="dxa"/>
            <w:vAlign w:val="bottom"/>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-10%</w:t>
            </w:r>
          </w:p>
        </w:tc>
        <w:tc>
          <w:tcPr>
            <w:tcW w:w="1240" w:type="dxa"/>
            <w:vAlign w:val="bottom"/>
            <w:gridSpan w:val="2"/>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-5%</w:t>
            </w:r>
          </w:p>
        </w:tc>
        <w:tc>
          <w:tcPr>
            <w:tcW w:w="1240" w:type="dxa"/>
            <w:vAlign w:val="bottom"/>
            <w:gridSpan w:val="2"/>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0%</w:t>
            </w:r>
          </w:p>
        </w:tc>
        <w:tc>
          <w:tcPr>
            <w:tcW w:w="1260" w:type="dxa"/>
            <w:vAlign w:val="bottom"/>
            <w:gridSpan w:val="2"/>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5%</w:t>
            </w:r>
          </w:p>
        </w:tc>
        <w:tc>
          <w:tcPr>
            <w:tcW w:w="1260" w:type="dxa"/>
            <w:vAlign w:val="bottom"/>
            <w:gridSpan w:val="2"/>
          </w:tcPr>
          <w:p>
            <w:pPr>
              <w:jc w:val="right"/>
              <w:ind w:right="350"/>
              <w:spacing w:after="0" w:line="155" w:lineRule="exact"/>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1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8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178" w:lineRule="exact"/>
        <w:rPr>
          <w:sz w:val="20"/>
          <w:szCs w:val="20"/>
          <w:color w:val="auto"/>
        </w:rPr>
      </w:pPr>
    </w:p>
    <w:p>
      <w:pPr>
        <w:ind w:left="520" w:right="120" w:hanging="512"/>
        <w:spacing w:after="0" w:line="257"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2024. As a result, it has not been updated to take into account any changes in assets or leverage since December 31, 2024.</w:t>
      </w:r>
    </w:p>
    <w:p>
      <w:pPr>
        <w:spacing w:after="0" w:line="1"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shareholder,” the “Assumed Return on Our Portfolio” is multiplied by the total value of our assets at December 31, 2024 to obtain an assumed return to us. From this amount, the interest expense (calculated by multiplying the weighted average annualized stated interest rate of 7.1% by the approximately $2,519.0 million of principal debt outstanding) is subtracted to determine the return available to shareholders. The return available to shareholders is then divided by the total value of our net assets as of December 31, 2024 to determine the “Corresponding return to shareholder.”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22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w:t>
      </w:r>
    </w:p>
    <w:p>
      <w:pPr>
        <w:spacing w:after="0" w:line="176" w:lineRule="exact"/>
        <w:rPr>
          <w:sz w:val="20"/>
          <w:szCs w:val="20"/>
          <w:color w:val="auto"/>
        </w:rPr>
      </w:pPr>
    </w:p>
    <w:p>
      <w:pPr>
        <w:jc w:val="both"/>
        <w:ind w:right="100" w:firstLine="255"/>
        <w:spacing w:after="0" w:line="262"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Any impact on returns or equity or our business associated with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may not outweigh the additional risk.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borrow money, which magnifies the potential for gain or loss and increases the risk of investing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us.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default under our future credit facilities.</w:t>
      </w:r>
    </w:p>
    <w:p>
      <w:pPr>
        <w:spacing w:after="0" w:line="22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a credit facility may limit our investment discretion.</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9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jc w:val="both"/>
        <w:ind w:right="20" w:firstLine="255"/>
        <w:spacing w:after="0" w:line="257"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w:t>
      </w:r>
    </w:p>
    <w:p>
      <w:pPr>
        <w:spacing w:after="0" w:line="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or 1.00% of the Company's average aggregate drawn capital (including capital drawn to pay Company expenses) as of the end of the two most recently completed calendar quarters, appropriately adjusted for any Common Share issuances or repurchases during the current calendar quarter. The fee waiver will terminate if and when the Company consummates an Exchange Listing. In addition, the Management Fee is payable regardless of whether the value of our gross assets or your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88"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To maintain RIC status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72" w:lineRule="exact"/>
        <w:rPr>
          <w:sz w:val="20"/>
          <w:szCs w:val="20"/>
          <w:color w:val="auto"/>
        </w:rPr>
      </w:pPr>
    </w:p>
    <w:p>
      <w:pPr>
        <w:ind w:left="520" w:hanging="25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17" w:lineRule="exact"/>
        <w:rPr>
          <w:rFonts w:ascii="Times New Roman" w:cs="Times New Roman" w:eastAsia="Times New Roman" w:hAnsi="Times New Roman"/>
          <w:sz w:val="18"/>
          <w:szCs w:val="18"/>
          <w:color w:val="auto"/>
        </w:rPr>
      </w:pPr>
    </w:p>
    <w:p>
      <w:pPr>
        <w:ind w:left="520" w:right="660" w:hanging="257"/>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2" w:lineRule="exact"/>
        <w:rPr>
          <w:sz w:val="20"/>
          <w:szCs w:val="20"/>
          <w:color w:val="auto"/>
        </w:rPr>
      </w:pPr>
    </w:p>
    <w:p>
      <w:pPr>
        <w:ind w:left="520" w:right="160" w:hanging="257"/>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53" w:lineRule="exact"/>
        <w:rPr>
          <w:rFonts w:ascii="Times New Roman" w:cs="Times New Roman" w:eastAsia="Times New Roman" w:hAnsi="Times New Roman"/>
          <w:sz w:val="18"/>
          <w:szCs w:val="18"/>
          <w:color w:val="auto"/>
        </w:rPr>
      </w:pPr>
    </w:p>
    <w:p>
      <w:pPr>
        <w:ind w:left="520" w:right="220" w:hanging="257"/>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15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2024, there was no undistributed income. As of December 31, 2023, we elected to retain approximately $89.5 million, of taxable income and capital gains in order to provide us with additional liquidity. For the years ended December 31, 2024 and December 31, 2023, we recorded an expense of $2.2 million and $1.5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as a Business Development Company—Regulated Investment Company Classification</w:t>
      </w:r>
      <w:r>
        <w:rPr>
          <w:rFonts w:ascii="Times New Roman" w:cs="Times New Roman" w:eastAsia="Times New Roman" w:hAnsi="Times New Roman"/>
          <w:sz w:val="18"/>
          <w:szCs w:val="18"/>
          <w:color w:val="auto"/>
        </w:rPr>
        <w:t>” for more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Euro Interbank Offer Rate (“EURIBOR”), Term Secured Overnight Financing Rate (“SOFR”), Sterling Overnight Index Average (“SONIA”), the Federal Funds Rate or the Prime Rate.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right="260"/>
        <w:spacing w:after="0" w:line="258" w:lineRule="auto"/>
        <w:rPr>
          <w:sz w:val="20"/>
          <w:szCs w:val="20"/>
          <w:color w:val="auto"/>
        </w:rPr>
      </w:pPr>
      <w:r>
        <w:rPr>
          <w:rFonts w:ascii="Times New Roman" w:cs="Times New Roman" w:eastAsia="Times New Roman" w:hAnsi="Times New Roman"/>
          <w:sz w:val="18"/>
          <w:szCs w:val="18"/>
          <w:color w:val="auto"/>
        </w:rPr>
        <w:t>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83"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8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ind w:right="160"/>
        <w:spacing w:after="0" w:line="260"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81"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Our Subscription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U.S. dollar borrowings under our Subscription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trustees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shareholders.</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22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Trustees. The 1940 Act also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8"/>
          <w:szCs w:val="18"/>
          <w:color w:val="auto"/>
        </w:rPr>
        <w:t>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trustees or their affiliates.</w:t>
      </w:r>
    </w:p>
    <w:p>
      <w:pPr>
        <w:spacing w:after="0" w:line="183"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trustees or their affiliates. These restrictions may limit the scope of investment opportunities that would otherwise be available to us.</w:t>
      </w:r>
    </w:p>
    <w:p>
      <w:pPr>
        <w:spacing w:after="0" w:line="183"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We cannot assure you when or whether we will apply for any other exemptive relief in the future and whether such orders will be obtained.</w:t>
      </w:r>
    </w:p>
    <w:p>
      <w:pPr>
        <w:spacing w:after="0" w:line="28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8"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20"/>
        <w:spacing w:after="0" w:line="255" w:lineRule="auto"/>
        <w:rPr>
          <w:sz w:val="20"/>
          <w:szCs w:val="20"/>
          <w:color w:val="auto"/>
        </w:rPr>
      </w:pPr>
      <w:r>
        <w:rPr>
          <w:rFonts w:ascii="Times New Roman" w:cs="Times New Roman" w:eastAsia="Times New Roman" w:hAnsi="Times New Roman"/>
          <w:sz w:val="18"/>
          <w:szCs w:val="18"/>
          <w:color w:val="auto"/>
        </w:rPr>
        <w:t>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75"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80" w:lineRule="exact"/>
        <w:rPr>
          <w:sz w:val="20"/>
          <w:szCs w:val="20"/>
          <w:color w:val="auto"/>
        </w:rPr>
      </w:pPr>
    </w:p>
    <w:p>
      <w:pPr>
        <w:ind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15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are and we will remain an “emerging growth company” as defined in the JOBS Act until the earlier of (a) the last day of the fiscal year (i) following the fifth anniversary of the completion of the initial offering, (ii) in which we have total annual gross revenue of at least $1.235 billion, or (iii) in which we are deemed to be a large accelerated filer, which means the market value of our Common Shares that is held by non-affiliates exceeds $700 million as of the prior June 30th, and (b) the date on which we have issued more than $1.0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22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22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22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229" w:lineRule="exact"/>
        <w:rPr>
          <w:sz w:val="20"/>
          <w:szCs w:val="20"/>
          <w:color w:val="auto"/>
        </w:rPr>
      </w:pPr>
    </w:p>
    <w:p>
      <w:pPr>
        <w:ind w:right="440" w:firstLine="255"/>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5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92"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Company may be concentrated in certain industries and/or economic sectors, geographic regions and/or deal types. The Company also may be more concentrated than other funds with similar diversification objectives.</w:t>
      </w:r>
    </w:p>
    <w:p>
      <w:pPr>
        <w:spacing w:after="0" w:line="180"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However, we will be subject to the diversification requirements applicable to RICs under Subchapter M of the Code, which include single issuer concentration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restricted from initiating transactions as a result of the receipt of material non-public information.</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183"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Further, non-disclosure agreements associated with transactions (including transactions entered into by other affiliated funds) often contain contractual trading restrictions, including standstill and non-circumvent provisions, which could prevent the Company from acquiring or disposing of investments in an issuer, potentially for extended periods. Such agreements could also restrict the Company’s ability to share certain information with shareholders relevant to the Company or its portfolio investments. Separately,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right="740"/>
        <w:spacing w:after="0" w:line="282" w:lineRule="auto"/>
        <w:rPr>
          <w:sz w:val="20"/>
          <w:szCs w:val="20"/>
          <w:color w:val="auto"/>
        </w:rPr>
      </w:pPr>
      <w:r>
        <w:rPr>
          <w:rFonts w:ascii="Times New Roman" w:cs="Times New Roman" w:eastAsia="Times New Roman" w:hAnsi="Times New Roman"/>
          <w:sz w:val="18"/>
          <w:szCs w:val="18"/>
          <w:color w:val="auto"/>
        </w:rPr>
        <w:t>certain counterparties may disqualify the Company from transacting with such counterparties or their affiliates as a result of the activities of other businesses of Sixth Street and its affiliates.</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175"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3"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92"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change our investment objective, operating policies and strategies without prior notice or shareholder approval.</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and the Inflation Reduction Act may adversely affect our business.</w:t>
      </w:r>
    </w:p>
    <w:p>
      <w:pPr>
        <w:spacing w:after="0" w:line="22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15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Company to incur additional costs associated with such action.</w:t>
      </w:r>
    </w:p>
    <w:p>
      <w:pPr>
        <w:spacing w:after="0" w:line="175"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Our Declaration of Trust provides that, to the fullest extent permitted by law, unless we consent in writing to the selection of an alternative forum, the sole and exclusive forum for (i) any derivative action or proceeding brought on behalf of the Company, (ii) any action asserting a claim of breach of a duty owed by any trustee, officer or other agent of the Company to the Company or our shareholders, (iii) any action asserting a claim arising pursuant to any provision of Title 12 of the Delaware Code, Delaware statutory 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Company may find it inconvenient or expensive to bring a claim against us or our trustees, officers or other agents. However, these exclusive forum provisions do not apply to claims arising under the federal securities laws.</w:t>
      </w:r>
    </w:p>
    <w:p>
      <w:pPr>
        <w:spacing w:after="0" w:line="19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no shareholder may maintain a derivative action on behalf of the Company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Company or the Company’s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89"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neither we nor any of our investors are permitted to waive compliance with any provision of the U.S. federal securities laws and the rules and regulations promulgated thereunder.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 is required for certain mergers.</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Company.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artificial intelligence, including the application of various forms of artificial intelligence such as machine learning technology.</w:t>
      </w:r>
    </w:p>
    <w:p>
      <w:pPr>
        <w:spacing w:after="0" w:line="15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and its applications continue to develop rapidly, and we cannot predict the risks that may arise from such developments.</w:t>
      </w:r>
    </w:p>
    <w:p>
      <w:pPr>
        <w:spacing w:after="0" w:line="18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or alleged failure to comply with applicable data protection and privacy laws and regulations could subject us to ongoing costs and, in some cases, fines and reputational harm.</w:t>
      </w:r>
    </w:p>
    <w:p>
      <w:pPr>
        <w:spacing w:after="0" w:line="15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190"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costs of monitoring, interpreting and, where applicable, complying with global data protection and privacy laws and regulations could have a material adverse effect on the business, results of the operations and financial condition of us and of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60"/>
        <w:spacing w:after="0" w:line="261" w:lineRule="auto"/>
        <w:rPr>
          <w:sz w:val="20"/>
          <w:szCs w:val="20"/>
          <w:color w:val="auto"/>
        </w:rPr>
      </w:pPr>
      <w:r>
        <w:rPr>
          <w:rFonts w:ascii="Times New Roman" w:cs="Times New Roman" w:eastAsia="Times New Roman" w:hAnsi="Times New Roman"/>
          <w:sz w:val="18"/>
          <w:szCs w:val="18"/>
          <w:color w:val="auto"/>
        </w:rPr>
        <w:t>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conditions and results of operations, including affecting investment returns.</w:t>
      </w:r>
    </w:p>
    <w:p>
      <w:pPr>
        <w:spacing w:after="0" w:line="180"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While we, the Advisor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global supply chain issues may adversely affect our business.</w:t>
      </w:r>
    </w:p>
    <w:p>
      <w:pPr>
        <w:spacing w:after="0" w:line="229"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8"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In light of the presidential transition in 2025, global trade disputes may be magnified, including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2"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2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5" w:lineRule="exact"/>
        <w:rPr>
          <w:sz w:val="20"/>
          <w:szCs w:val="20"/>
          <w:color w:val="auto"/>
        </w:rPr>
      </w:pPr>
    </w:p>
    <w:p>
      <w:pPr>
        <w:ind w:left="520" w:hanging="257"/>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After raising the target range for the federal funds rate in 2017 and 2018, the Federal Reserve lowered the target rate three times in 2019 and two times in 2020. Following heightened inflation, the Federal Reserve raised the target rate four times in 2023, raising the fed funds rate by about three percentage points in a six month period. However, in 2024, the Federal Reserved lowered the target rate three times. In 2025,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election of a new U.S. president for a term that commenced in 2025, coupled with a consolidation of party control of both chambers of Congress, has led to new legislative and regulatory initiatives and the roll-back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8" w:lineRule="exact"/>
        <w:rPr>
          <w:sz w:val="20"/>
          <w:szCs w:val="20"/>
          <w:color w:val="auto"/>
        </w:rPr>
      </w:pPr>
    </w:p>
    <w:p>
      <w:pPr>
        <w:jc w:val="both"/>
        <w:ind w:right="18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19" w:lineRule="exact"/>
        <w:rPr>
          <w:sz w:val="20"/>
          <w:szCs w:val="20"/>
          <w:color w:val="auto"/>
        </w:rPr>
      </w:pPr>
    </w:p>
    <w:p>
      <w:pPr>
        <w:ind w:left="520" w:right="300" w:hanging="257"/>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ind w:left="520" w:right="240" w:hanging="257"/>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3" w:lineRule="exact"/>
        <w:rPr>
          <w:rFonts w:ascii="Times New Roman" w:cs="Times New Roman" w:eastAsia="Times New Roman" w:hAnsi="Times New Roman"/>
          <w:sz w:val="18"/>
          <w:szCs w:val="18"/>
          <w:color w:val="auto"/>
        </w:rPr>
      </w:pPr>
    </w:p>
    <w:p>
      <w:pPr>
        <w:jc w:val="both"/>
        <w:ind w:left="520" w:right="60" w:hanging="257"/>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trustees to the issuer’s board; generally, once all the arrearages have been paid, the preferred security holders no longer have voting rights.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17" w:lineRule="exact"/>
        <w:rPr>
          <w:sz w:val="20"/>
          <w:szCs w:val="20"/>
          <w:color w:val="auto"/>
        </w:rPr>
      </w:pPr>
    </w:p>
    <w:p>
      <w:pPr>
        <w:ind w:left="520" w:right="8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3" w:lineRule="exact"/>
        <w:rPr>
          <w:rFonts w:ascii="Times New Roman" w:cs="Times New Roman" w:eastAsia="Times New Roman" w:hAnsi="Times New Roman"/>
          <w:sz w:val="18"/>
          <w:szCs w:val="18"/>
          <w:color w:val="auto"/>
        </w:rPr>
      </w:pPr>
    </w:p>
    <w:p>
      <w:pPr>
        <w:jc w:val="both"/>
        <w:ind w:left="520" w:right="4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7" w:lineRule="exact"/>
        <w:rPr>
          <w:rFonts w:ascii="Times New Roman" w:cs="Times New Roman" w:eastAsia="Times New Roman" w:hAnsi="Times New Roman"/>
          <w:sz w:val="18"/>
          <w:szCs w:val="18"/>
          <w:color w:val="auto"/>
        </w:rPr>
      </w:pPr>
    </w:p>
    <w:p>
      <w:pPr>
        <w:ind w:left="520" w:right="16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trustees and Adviser may, in the ordinary course of business, be named as defendants in litigation arising from our investments in the portfolio companies;</w:t>
      </w:r>
    </w:p>
    <w:p>
      <w:pPr>
        <w:spacing w:after="0" w:line="53"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3"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58"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Our subordinated debt investments will generally rank junior in priority of payment to senior debt and will generally be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74"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Securities</w:t>
      </w:r>
      <w:r>
        <w:rPr>
          <w:rFonts w:ascii="Times New Roman" w:cs="Times New Roman" w:eastAsia="Times New Roman" w:hAnsi="Times New Roman"/>
          <w:sz w:val="18"/>
          <w:szCs w:val="18"/>
          <w:color w:val="auto"/>
        </w:rPr>
        <w:t>. We may invest in non-U.S. securities, which may include securities denominated in U.S. dollars or in non-U.S. currencies,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7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Unsecured Securities. </w:t>
      </w:r>
      <w:r>
        <w:rPr>
          <w:rFonts w:ascii="Times New Roman" w:cs="Times New Roman" w:eastAsia="Times New Roman" w:hAnsi="Times New Roman"/>
          <w:sz w:val="18"/>
          <w:szCs w:val="18"/>
          <w:color w:val="auto"/>
        </w:rPr>
        <w:t>Our strategy may entail acquiring securities that are junior or unsecured instruments. While this approach can facilitate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obtaining control and then adding value through active management, it also means that certain of the Company’s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84"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5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68" w:lineRule="exact"/>
        <w:rPr>
          <w:sz w:val="20"/>
          <w:szCs w:val="20"/>
          <w:color w:val="auto"/>
        </w:rPr>
      </w:pPr>
    </w:p>
    <w:p>
      <w:pPr>
        <w:ind w:right="24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“Covenant-lite” Obligations</w:t>
      </w:r>
      <w:r>
        <w:rPr>
          <w:rFonts w:ascii="Times New Roman" w:cs="Times New Roman" w:eastAsia="Times New Roman" w:hAnsi="Times New Roman"/>
          <w:sz w:val="18"/>
          <w:szCs w:val="18"/>
          <w:color w:val="auto"/>
        </w:rPr>
        <w:t>. We may invest in, or obtain exposure to, obligations that may be “covenant- lite,” which means such obligations lack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74"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companies operating in workout or bankruptcy modes present additional legal risks, including fraudulent conveyance,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upper middle-market companies involves a number of significant risks, any one of which could have a material adverse effect on our operating results.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in upper middle-market companies involve the same risks that apply generally to investments in larger, more established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such investments have more pronounced risks in that upper middle-market companies:</w:t>
      </w:r>
    </w:p>
    <w:p>
      <w:pPr>
        <w:spacing w:after="0" w:line="99" w:lineRule="exact"/>
        <w:rPr>
          <w:sz w:val="20"/>
          <w:szCs w:val="20"/>
          <w:color w:val="auto"/>
        </w:rPr>
      </w:pPr>
    </w:p>
    <w:p>
      <w:pPr>
        <w:ind w:left="1020" w:right="6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officers, Trustees and members of the Adviser may, in the ordinary course of business, be named as defendants in litigation arising from our investments in the portfolio companies; and</w:t>
      </w:r>
    </w:p>
    <w:p>
      <w:pPr>
        <w:spacing w:after="0" w:line="71"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accessing the capital markets to meet future capital needs, which may limit their ability to grow or to repay their outstanding indebtedness upon maturity.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15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30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175"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8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22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15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22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76"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jc w:val="center"/>
        <w:ind w:right="34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 – Regulation as a Business Development Company.”</w:t>
      </w:r>
    </w:p>
    <w:p>
      <w:pPr>
        <w:spacing w:after="0" w:line="2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5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29" w:lineRule="exact"/>
        <w:rPr>
          <w:sz w:val="20"/>
          <w:szCs w:val="20"/>
          <w:color w:val="auto"/>
        </w:rPr>
      </w:pPr>
    </w:p>
    <w:p>
      <w:pPr>
        <w:ind w:right="260" w:firstLine="255"/>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SOFR, EURIBOR, SONIA,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22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22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or issue equity securities that rank equally with, or senior to, our investments in those companies.</w:t>
      </w:r>
    </w:p>
    <w:p>
      <w:pPr>
        <w:spacing w:after="0" w:line="229"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22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3"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17" w:lineRule="exact"/>
        <w:rPr>
          <w:sz w:val="20"/>
          <w:szCs w:val="20"/>
          <w:color w:val="auto"/>
        </w:rPr>
      </w:pPr>
    </w:p>
    <w:p>
      <w:pPr>
        <w:ind w:left="520" w:hanging="257"/>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22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We may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15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the conflict in the Middle East, among other current events, could also have negative impacts on the economies of countries in Europe and elsewhere. In addition, interest income derived from loans to foreign companies is not eligible to be distributed to our non-U.S. shareholders free from withholding taxes.</w:t>
      </w:r>
    </w:p>
    <w:p>
      <w:pPr>
        <w:spacing w:after="0" w:line="192"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right="260" w:firstLine="255"/>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Wells Fargo Bank, National Association, as administrative agent, and certain lenders, which we refer to as the Subscription Facility (as defined below).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Subscription Facility, we may seek to utilize interest rate derivatives to hedge our exposure to changes in the associated rate.</w:t>
      </w:r>
    </w:p>
    <w:p>
      <w:pPr>
        <w:spacing w:after="0" w:line="187"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Investments—The market structure applicable to derivatives imposed by the Dodd-Frank Act may affect our ability to use over-the-counter (“OTC”) derivatives for hedging purposes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—Risks Related to Our Portfolio Company Investments—We are exposed to risks associated with changes in interest rates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MANAGEMENT’S DISCUSSION AND ANALYSIS OF FINANCIAL CONDITION AND RESULTS OF OPERATIONS—Results of Operations—Interest Rate and Foreign Currency Hedging</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Finally, Rule 18f-4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structure applicable to derivatives imposed by the Dodd-Frank Act may affect our ability to use over-the-counter (“OTC”) derivatives for hedging purposes.</w:t>
      </w:r>
    </w:p>
    <w:p>
      <w:pPr>
        <w:spacing w:after="0" w:line="159"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4"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-768350</wp:posOffset>
            </wp:positionV>
            <wp:extent cx="285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229"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4" w:lineRule="exact"/>
        <w:rPr>
          <w:sz w:val="20"/>
          <w:szCs w:val="20"/>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229" w:lineRule="exact"/>
        <w:rPr>
          <w:sz w:val="20"/>
          <w:szCs w:val="20"/>
          <w:color w:val="auto"/>
        </w:rPr>
      </w:pPr>
    </w:p>
    <w:p>
      <w:pPr>
        <w:ind w:right="200" w:firstLine="255"/>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3" w:name="page54"/>
    <w:bookmarkEnd w:id="53"/>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for more information.</w:t>
      </w:r>
    </w:p>
    <w:p>
      <w:pPr>
        <w:spacing w:after="0" w:line="28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17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Shares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229" w:lineRule="exact"/>
        <w:rPr>
          <w:sz w:val="20"/>
          <w:szCs w:val="20"/>
          <w:color w:val="auto"/>
        </w:rPr>
      </w:pPr>
    </w:p>
    <w:p>
      <w:pPr>
        <w:jc w:val="both"/>
        <w:ind w:right="380" w:firstLine="255"/>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80"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Shares will have limited liquidity.</w:t>
      </w:r>
    </w:p>
    <w:p>
      <w:pPr>
        <w:spacing w:after="0" w:line="22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Our Common Shares constitute illiquid investments for which there is not a secondary market and, unless we consummate an Exchange Listing, none is expected to develop. Investment in the Company is suitable only for sophisticated investors and requires the financial ability and willingness to accept the high risks and lack of liquidity inherent in an investment in the Company.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Shares may not receive dividends or that our dividends may not grow over time.</w:t>
      </w:r>
    </w:p>
    <w:p>
      <w:pPr>
        <w:spacing w:after="0" w:line="121"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shareholders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 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76"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15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15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in reductions of our income available for distribution in future periods. In addition, decreases in the fair value of our investments will reduce our NAV.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229"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severe economic consequences for defaulting investors.</w:t>
      </w:r>
    </w:p>
    <w:p>
      <w:pPr>
        <w:spacing w:after="0" w:line="22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If shareholders fail to fund their commitment obligations or to make required capital contributions when due, the Company’s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Company and restrict the Company’s ability to meet loan obligations. Any single defaulting shareholder could cause substantial costs to be incurred by the Company if such default causes the Company to fail to meet its contractual obligations or if the Company must pursue remedial action against such shareholder.</w:t>
      </w:r>
    </w:p>
    <w:p>
      <w:pPr>
        <w:spacing w:after="0" w:line="84"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If the Company fails to meet its contractual obligations related to a portfolio investment due to a defaulting shareholder, the relevant portfolio company may have a cause of action against the Company, which may include a claim against assets of the Company other than the Company’s interest in such portfolio company. A creditor of the Company (including a portfolio company with respect to which the Company has failed to meet its contractual obligations) will not be bound to satisfy its claims from the assets attributable to a particular portfolio investment and such creditor generally may seek to satisfy its claims from the assets of the Company as a whole. As a result, if a creditor’s claims relating to a particular portfolio investment exceed the net assets attributable to that portfolio investment, the remaining assets of the Company will likely be subject to such claim.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will experience dilution in their ownership percentage if they opt out of our dividend reinvestment plan.</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certain benefit plan investors.</w:t>
      </w:r>
    </w:p>
    <w:p>
      <w:pPr>
        <w:spacing w:after="0" w:line="22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8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If, notwithstanding our intent, the assets of the Company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Company, and (ii) the possibility that certain transactions in which the Company might seek to engage could constitute “prohibited transactions” under ERISA and the</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t>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Company could, under certain circumstances, be liable for prohibited transactions or other violations as a result of their investment in the Company or as co-fiduciaries for actions taken by or on behalf of the Company or the Adviser. With respect to a benefit plan investor that is an individual retirement account (an “IRA”) that invests in the Company, the occurrence of a prohibited transaction involving the individual who established the IRA, or his or her beneficiaries, would cause the IRA to lose its tax-exempt status. In addition, to the extent that the Company represents and/or covenants to any contractual counterparty that (1) the assets of the Company are not assets of the Benefit Plan Investors that invest in the Company and/or (2) the transactions entered into between the Company and the Benefit Plan Investor that invest in the Company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8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Company; (b) 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Company shall be subject to such terms and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3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have a material adverse effect on our operating results and negatively affect our ability to pay dividends.</w:t>
      </w:r>
    </w:p>
    <w:p>
      <w:pPr>
        <w:spacing w:after="0" w:line="15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Further, in the ordinary course of our business we or the Adviser engage certain third-party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79"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wars or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These events, in turn, could have a material adverse effect on our operating results and negatively affect our ability to pay dividends to our shareholders.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22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100"/>
        <w:spacing w:after="0" w:line="261" w:lineRule="auto"/>
        <w:rPr>
          <w:sz w:val="20"/>
          <w:szCs w:val="20"/>
          <w:color w:val="auto"/>
        </w:rPr>
      </w:pPr>
      <w:r>
        <w:rPr>
          <w:rFonts w:ascii="Times New Roman" w:cs="Times New Roman" w:eastAsia="Times New Roman" w:hAnsi="Times New Roman"/>
          <w:sz w:val="18"/>
          <w:szCs w:val="18"/>
          <w:color w:val="auto"/>
        </w:rPr>
        <w:t>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8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trade sanctions could make it more difficult or costly for us to conduct our operations or achieve our business objectives.</w:t>
      </w:r>
    </w:p>
    <w:p>
      <w:pPr>
        <w:spacing w:after="0" w:line="22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Economic and trade sanctions laws in the United States and other jurisdictions may prohibit us from transacting with or in certain countries and with certain individuals, companies and industry sectors. In the United States, the U.S. Department of the Treasury’s 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18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At the same time, the Company may be obligated to comply with certain anti-boycott laws and regulations that prevent us from engaging in certain discriminatory practices that may be allowed or required in certain jurisdictions. the Company’s refusal to 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conflicts as a result of the Russian invasion of Ukraine and the conflict in the Middle East may have a material adverse impact on us and our portfolio companies.</w:t>
      </w:r>
    </w:p>
    <w:p>
      <w:pPr>
        <w:spacing w:after="0" w:line="15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22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18"/>
          <w:szCs w:val="18"/>
          <w:color w:val="auto"/>
        </w:rPr>
        <w:t>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8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Further, significant physical effects of climate change including extreme weather events such as hurricanes or floods, can also have an adverse impact on certain of our portfolio companies and investments, especially our portfolio companies that rely on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15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and representing such income.</w:t>
      </w:r>
    </w:p>
    <w:p>
      <w:pPr>
        <w:spacing w:after="0" w:line="22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194"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15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subject to corporate-level income tax.</w:t>
      </w:r>
    </w:p>
    <w:p>
      <w:pPr>
        <w:spacing w:after="0" w:line="22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229" w:lineRule="exact"/>
        <w:rPr>
          <w:sz w:val="20"/>
          <w:szCs w:val="20"/>
          <w:color w:val="auto"/>
        </w:rPr>
      </w:pPr>
    </w:p>
    <w:p>
      <w:pPr>
        <w:ind w:right="260" w:firstLine="255"/>
        <w:spacing w:after="0" w:line="256" w:lineRule="auto"/>
        <w:rPr>
          <w:sz w:val="20"/>
          <w:szCs w:val="20"/>
          <w:color w:val="auto"/>
        </w:rPr>
      </w:pPr>
      <w:r>
        <w:rPr>
          <w:rFonts w:ascii="Times New Roman" w:cs="Times New Roman" w:eastAsia="Times New Roman" w:hAnsi="Times New Roman"/>
          <w:sz w:val="18"/>
          <w:szCs w:val="18"/>
          <w:color w:val="auto"/>
        </w:rPr>
        <w:t>The Company expects to invest in debt securities that are rated below investment grade by rating agencies or that would be rated below investment grade if they were rated. Investments in these types of instruments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Company, to the extent necessary, to preserve its status as a RIC and to distribute sufficient income to not become subject to U.S. federal income tax.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investors.</w:t>
      </w:r>
    </w:p>
    <w:p>
      <w:pPr>
        <w:spacing w:after="0" w:line="229" w:lineRule="exact"/>
        <w:rPr>
          <w:sz w:val="20"/>
          <w:szCs w:val="20"/>
          <w:color w:val="auto"/>
        </w:rPr>
      </w:pPr>
    </w:p>
    <w:p>
      <w:pPr>
        <w:jc w:val="both"/>
        <w:ind w:right="340" w:firstLine="255"/>
        <w:spacing w:after="0" w:line="261" w:lineRule="auto"/>
        <w:rPr>
          <w:sz w:val="20"/>
          <w:szCs w:val="20"/>
          <w:color w:val="auto"/>
        </w:rPr>
      </w:pPr>
      <w:r>
        <w:rPr>
          <w:rFonts w:ascii="Times New Roman" w:cs="Times New Roman" w:eastAsia="Times New Roman" w:hAnsi="Times New Roman"/>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shareholders may be subject to U.S. dividend withholding tax on our distributions.</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an externally managed closed-end management investment company that has elected to be regulated as a BDC under the 1940 Act, our day-to-day operations are managed by the Adviser, Administrator and our officers under the oversight of our Board of Trustees. Our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75"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75" w:lineRule="exact"/>
        <w:rPr>
          <w:sz w:val="20"/>
          <w:szCs w:val="20"/>
          <w:color w:val="auto"/>
        </w:rPr>
      </w:pPr>
    </w:p>
    <w:p>
      <w:pPr>
        <w:ind w:right="200" w:firstLine="255"/>
        <w:spacing w:after="0" w:line="256" w:lineRule="auto"/>
        <w:rPr>
          <w:sz w:val="20"/>
          <w:szCs w:val="20"/>
          <w:color w:val="auto"/>
        </w:rPr>
      </w:pPr>
      <w:r>
        <w:rPr>
          <w:rFonts w:ascii="Times New Roman" w:cs="Times New Roman" w:eastAsia="Times New Roman" w:hAnsi="Times New Roman"/>
          <w:sz w:val="18"/>
          <w:szCs w:val="18"/>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79" w:lineRule="exact"/>
        <w:rPr>
          <w:sz w:val="20"/>
          <w:szCs w:val="20"/>
          <w:color w:val="auto"/>
        </w:rPr>
      </w:pPr>
    </w:p>
    <w:p>
      <w:pPr>
        <w:ind w:right="40" w:firstLine="300"/>
        <w:spacing w:after="0" w:line="261" w:lineRule="auto"/>
        <w:rPr>
          <w:sz w:val="20"/>
          <w:szCs w:val="20"/>
          <w:color w:val="auto"/>
        </w:rPr>
      </w:pPr>
      <w:r>
        <w:rPr>
          <w:rFonts w:ascii="Times New Roman" w:cs="Times New Roman" w:eastAsia="Times New Roman" w:hAnsi="Times New Roman"/>
          <w:sz w:val="18"/>
          <w:szCs w:val="18"/>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72" w:lineRule="exact"/>
        <w:rPr>
          <w:sz w:val="20"/>
          <w:szCs w:val="20"/>
          <w:color w:val="auto"/>
        </w:rPr>
      </w:pPr>
    </w:p>
    <w:p>
      <w:pPr>
        <w:ind w:right="60" w:firstLine="300"/>
        <w:spacing w:after="0" w:line="256" w:lineRule="auto"/>
        <w:rPr>
          <w:sz w:val="20"/>
          <w:szCs w:val="20"/>
          <w:color w:val="auto"/>
        </w:rPr>
      </w:pPr>
      <w:r>
        <w:rPr>
          <w:rFonts w:ascii="Times New Roman" w:cs="Times New Roman" w:eastAsia="Times New Roman" w:hAnsi="Times New Roman"/>
          <w:sz w:val="18"/>
          <w:szCs w:val="18"/>
          <w:color w:val="auto"/>
        </w:rPr>
        <w:t>Sixth Street has a comprehensive Security Incident Response Plan (the “IRP”) designed to inform the proper escalation (including, as appropriate, to our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79" w:lineRule="exact"/>
        <w:rPr>
          <w:sz w:val="20"/>
          <w:szCs w:val="20"/>
          <w:color w:val="auto"/>
        </w:rPr>
      </w:pPr>
    </w:p>
    <w:p>
      <w:pPr>
        <w:ind w:right="160" w:firstLine="300"/>
        <w:spacing w:after="0" w:line="266" w:lineRule="auto"/>
        <w:rPr>
          <w:sz w:val="20"/>
          <w:szCs w:val="20"/>
          <w:color w:val="auto"/>
        </w:rPr>
      </w:pPr>
      <w:r>
        <w:rPr>
          <w:rFonts w:ascii="Times New Roman" w:cs="Times New Roman" w:eastAsia="Times New Roman" w:hAnsi="Times New Roman"/>
          <w:sz w:val="18"/>
          <w:szCs w:val="18"/>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68"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Sixth Street employs a process designed to assess the cybersecurity risks associated with the engagement of third-party vendors. This assessment is conducted on the basis of, among other factors, the types of services provided and the extent and type of data accessed or processed by a third-party vendor.</w:t>
      </w:r>
    </w:p>
    <w:p>
      <w:pPr>
        <w:spacing w:after="0" w:line="54" w:lineRule="exact"/>
        <w:rPr>
          <w:sz w:val="20"/>
          <w:szCs w:val="20"/>
          <w:color w:val="auto"/>
        </w:rPr>
      </w:pPr>
    </w:p>
    <w:p>
      <w:pPr>
        <w:ind w:right="220" w:firstLine="255"/>
        <w:spacing w:after="0" w:line="255" w:lineRule="auto"/>
        <w:rPr>
          <w:sz w:val="20"/>
          <w:szCs w:val="20"/>
          <w:color w:val="auto"/>
        </w:rPr>
      </w:pPr>
      <w:r>
        <w:rPr>
          <w:rFonts w:ascii="Times New Roman" w:cs="Times New Roman" w:eastAsia="Times New Roman" w:hAnsi="Times New Roman"/>
          <w:sz w:val="18"/>
          <w:szCs w:val="18"/>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7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6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72"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is responsible for understanding the primary risks to our business, including any cybersecurity risks. The Board of Trustees/ is responsible for reviewing periodically our and the Adviser’s information technology security controls and related compliance matters, with management. Sixth Street’s Head of Technology Risk reports to the Board of Trustees at least annually on cybersecurity matters, including risks facing us and the Adviser and, as applicable, certain incidents. In addition to such periodic reports, the Board of Trustees may receive updates from management as to our and the Adviser’s cybersecurity risks and Sixth Street cybersecurity program developments.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maintain our principal executive office at 2100 McKinney Avenue, Suite 1500, Dallas, Texas 75201. We do not own any real estate.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Until an Exchange Listing, our outstanding Common Shares will be offered and sold in transactions exempt from registration under the Securities Act under section 4(a)(2), Regulation D thereunder, and/or Regulation S thereunder. There is not currently a public market for our Common Shares, nor can we give any assurance that one will develop.</w:t>
      </w:r>
    </w:p>
    <w:p>
      <w:pPr>
        <w:spacing w:after="0" w:line="68"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14, 2025, there were approximately 98 holders of record of our Common Shares.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the last fiscal year. The report of our independent registered public accounting firm, KPMG LLP, on the senior securities table as of December 31, 2024 is attached as an exhibit to this annual report on Form 10-K. The "-" indicates information that the SEC expressly does not require to be disclosed for certain types of senior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Exclusive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18"/>
                <w:szCs w:val="18"/>
                <w:b w:val="1"/>
                <w:bCs w:val="1"/>
                <w:color w:val="auto"/>
                <w:w w:val="98"/>
              </w:rPr>
              <w:t xml:space="preserve">of Treasury Securities </w:t>
            </w:r>
            <w:r>
              <w:rPr>
                <w:rFonts w:ascii="Times New Roman" w:cs="Times New Roman" w:eastAsia="Times New Roman" w:hAnsi="Times New Roman"/>
                <w:sz w:val="24"/>
                <w:szCs w:val="24"/>
                <w:b w:val="1"/>
                <w:bCs w:val="1"/>
                <w:color w:val="auto"/>
                <w:w w:val="98"/>
                <w:vertAlign w:val="superscript"/>
              </w:rPr>
              <w:t>(1)</w:t>
            </w:r>
          </w:p>
        </w:tc>
        <w:tc>
          <w:tcPr>
            <w:tcW w:w="10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 Coverage Per</w:t>
            </w:r>
          </w:p>
        </w:tc>
        <w:tc>
          <w:tcPr>
            <w:tcW w:w="10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Involuntary Liquidating</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Market Value Per</w:t>
            </w:r>
          </w:p>
        </w:tc>
        <w:tc>
          <w:tcPr>
            <w:tcW w:w="0" w:type="dxa"/>
            <w:vAlign w:val="bottom"/>
          </w:tcPr>
          <w:p>
            <w:pPr>
              <w:spacing w:after="0"/>
              <w:rPr>
                <w:sz w:val="1"/>
                <w:szCs w:val="1"/>
                <w:color w:val="auto"/>
              </w:rPr>
            </w:pPr>
          </w:p>
        </w:tc>
      </w:tr>
      <w:tr>
        <w:trPr>
          <w:trHeight w:val="238"/>
        </w:trPr>
        <w:tc>
          <w:tcPr>
            <w:tcW w:w="25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and Year/Period</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Unit</w:t>
            </w:r>
          </w:p>
        </w:tc>
        <w:tc>
          <w:tcPr>
            <w:tcW w:w="100" w:type="dxa"/>
            <w:vAlign w:val="bottom"/>
          </w:tcPr>
          <w:p>
            <w:pPr>
              <w:spacing w:after="0"/>
              <w:rPr>
                <w:sz w:val="20"/>
                <w:szCs w:val="20"/>
                <w:color w:val="auto"/>
              </w:rPr>
            </w:pP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Preference Per Unit</w:t>
            </w:r>
          </w:p>
        </w:tc>
        <w:tc>
          <w:tcPr>
            <w:tcW w:w="2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0" w:type="dxa"/>
            <w:vAlign w:val="bottom"/>
          </w:tcPr>
          <w:p>
            <w:pPr>
              <w:spacing w:after="0"/>
              <w:rPr>
                <w:sz w:val="1"/>
                <w:szCs w:val="1"/>
                <w:color w:val="auto"/>
              </w:rPr>
            </w:pPr>
          </w:p>
        </w:tc>
      </w:tr>
      <w:tr>
        <w:trPr>
          <w:trHeight w:val="216"/>
        </w:trPr>
        <w:tc>
          <w:tcPr>
            <w:tcW w:w="2580" w:type="dxa"/>
            <w:vAlign w:val="bottom"/>
            <w:gridSpan w:val="6"/>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560" w:type="dxa"/>
            <w:vAlign w:val="bottom"/>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6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2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480" w:type="dxa"/>
            <w:vAlign w:val="bottom"/>
            <w:tcBorders>
              <w:top w:val="single" w:sz="8" w:color="CFF0FC"/>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100" w:type="dxa"/>
            <w:vAlign w:val="bottom"/>
            <w:tcBorders>
              <w:top w:val="single" w:sz="8" w:color="CFF0FC"/>
            </w:tcBorders>
          </w:tcPr>
          <w:p>
            <w:pPr>
              <w:spacing w:after="0"/>
              <w:rPr>
                <w:sz w:val="18"/>
                <w:szCs w:val="18"/>
                <w:color w:val="auto"/>
              </w:rPr>
            </w:pPr>
          </w:p>
        </w:tc>
        <w:tc>
          <w:tcPr>
            <w:tcW w:w="2360" w:type="dxa"/>
            <w:vAlign w:val="bottom"/>
            <w:tcBorders>
              <w:top w:val="single" w:sz="8" w:color="CFF0FC"/>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tcBorders>
              <w:top w:val="single" w:sz="8" w:color="CFF0FC"/>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100" w:type="dxa"/>
            <w:vAlign w:val="bottom"/>
          </w:tcPr>
          <w:p>
            <w:pPr>
              <w:spacing w:after="0"/>
              <w:rPr>
                <w:sz w:val="18"/>
                <w:szCs w:val="18"/>
                <w:color w:val="auto"/>
              </w:rPr>
            </w:pP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56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6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36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960" w:type="dxa"/>
            <w:vAlign w:val="bottom"/>
            <w:tcBorders>
              <w:top w:val="single" w:sz="8" w:color="CFF0FC"/>
            </w:tcBorders>
            <w:gridSpan w:val="2"/>
          </w:tcPr>
          <w:p>
            <w:pPr>
              <w:spacing w:after="0"/>
              <w:rPr>
                <w:sz w:val="18"/>
                <w:szCs w:val="18"/>
                <w:color w:val="auto"/>
              </w:rPr>
            </w:pPr>
          </w:p>
        </w:tc>
        <w:tc>
          <w:tcPr>
            <w:tcW w:w="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480" w:type="dxa"/>
            <w:vAlign w:val="bottom"/>
            <w:tcBorders>
              <w:top w:val="single" w:sz="8" w:color="CFF0FC"/>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100" w:type="dxa"/>
            <w:vAlign w:val="bottom"/>
            <w:tcBorders>
              <w:top w:val="single" w:sz="8" w:color="CFF0FC"/>
            </w:tcBorders>
          </w:tcPr>
          <w:p>
            <w:pPr>
              <w:spacing w:after="0"/>
              <w:rPr>
                <w:sz w:val="18"/>
                <w:szCs w:val="18"/>
                <w:color w:val="auto"/>
              </w:rPr>
            </w:pPr>
          </w:p>
        </w:tc>
        <w:tc>
          <w:tcPr>
            <w:tcW w:w="2360" w:type="dxa"/>
            <w:vAlign w:val="bottom"/>
            <w:tcBorders>
              <w:top w:val="single" w:sz="8" w:color="CFF0FC"/>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tcBorders>
              <w:top w:val="single" w:sz="8" w:color="CFF0FC"/>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76"/>
        </w:trPr>
        <w:tc>
          <w:tcPr>
            <w:tcW w:w="25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4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75"/>
        </w:trPr>
        <w:tc>
          <w:tcPr>
            <w:tcW w:w="25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January 2030 Notes</w:t>
            </w: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4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244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right="140" w:hanging="512"/>
        <w:spacing w:after="0" w:line="282" w:lineRule="auto"/>
        <w:tabs>
          <w:tab w:leader="none" w:pos="4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ind w:right="116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ind w:right="10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Sixth Street LP Holding II, LLC and Sixth Street Lending Partners Sub, LLC in which we may hold certain investments. Sixth Street LP Holding, LLC has legally dissolved as of December 31, 2023.</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have elected to be treated as a RIC under the Code.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December 31, 2024, we have originated more than $21.6 billion aggregate principal amount of investments and retained approximately $7.4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7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December 31, 2024, our core portfolio companies had a weighted average annual revenue of $647.3 million and weighted average annual EBITDA of $223.1 million. As of December 31, 2024, our core portfolio companies had a median annual revenue of $269.1 million and median annual EBITDA of $78.7 million.</w:t>
      </w:r>
    </w:p>
    <w:p>
      <w:pPr>
        <w:spacing w:after="0" w:line="7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75"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2024, the largest single investment based on fair value represented 4.3% of our total investment portfolio.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p>
      <w:pPr>
        <w:ind w:left="260"/>
        <w:spacing w:after="0"/>
        <w:rPr>
          <w:sz w:val="20"/>
          <w:szCs w:val="20"/>
          <w:color w:val="auto"/>
        </w:rPr>
      </w:pPr>
      <w:r>
        <w:rPr>
          <w:rFonts w:ascii="Times New Roman" w:cs="Times New Roman" w:eastAsia="Times New Roman" w:hAnsi="Times New Roman"/>
          <w:sz w:val="18"/>
          <w:szCs w:val="18"/>
          <w:color w:val="auto"/>
        </w:rPr>
        <w:t>As of December 31, 2024, the average investment size in each of our portfolio companies was approximately $108.1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values above $750 million. When reviewing potential investments,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18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the largest industry represented 18.7% of our total investment portfolio based on fair value.</w:t>
      </w:r>
    </w:p>
    <w:p>
      <w:pPr>
        <w:spacing w:after="0" w:line="22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2024,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96.2% of our portfolio was invested in secured debt, including 94.9%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period ended December 31, 2024, the weighted average term on new investment commitments in new portfolio companies was 6.6 years.</w:t>
      </w:r>
    </w:p>
    <w:p>
      <w:pPr>
        <w:spacing w:after="0" w:line="183" w:lineRule="exact"/>
        <w:rPr>
          <w:sz w:val="20"/>
          <w:szCs w:val="20"/>
          <w:color w:val="auto"/>
        </w:rPr>
      </w:pPr>
    </w:p>
    <w:p>
      <w:pPr>
        <w:ind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will focus on, among other deal dynamics, direct origination of investments, where we identify and lead the 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December 31, 2024, we had call protection on 94.6% of our debt investments based on fair value, with weighted average call prices of</w:t>
      </w:r>
    </w:p>
    <w:p>
      <w:pPr>
        <w:ind w:right="240"/>
        <w:spacing w:after="0" w:line="255" w:lineRule="auto"/>
        <w:rPr>
          <w:sz w:val="20"/>
          <w:szCs w:val="20"/>
          <w:color w:val="auto"/>
        </w:rPr>
      </w:pPr>
      <w:r>
        <w:rPr>
          <w:rFonts w:ascii="Times New Roman" w:cs="Times New Roman" w:eastAsia="Times New Roman" w:hAnsi="Times New Roman"/>
          <w:sz w:val="18"/>
          <w:szCs w:val="18"/>
          <w:color w:val="auto"/>
        </w:rPr>
        <w:t>108.4% for the first year, 104.5% for the second year and 102.3% for the third year, in each case from the date of the initial investment. As of December 31, 2024, 96.5% of our debt investments based on fair value bore interest at floating rates, with 100% of these subject to interest rate floors, which we believe helps act as a portfolio-wide hedge against inflation.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7"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260"/>
        <w:spacing w:after="0" w:line="282" w:lineRule="auto"/>
        <w:rPr>
          <w:sz w:val="20"/>
          <w:szCs w:val="20"/>
          <w:color w:val="auto"/>
        </w:rPr>
      </w:pPr>
      <w:r>
        <w:rPr>
          <w:rFonts w:ascii="Times New Roman" w:cs="Times New Roman" w:eastAsia="Times New Roman" w:hAnsi="Times New Roman"/>
          <w:sz w:val="18"/>
          <w:szCs w:val="18"/>
          <w:color w:val="auto"/>
        </w:rPr>
        <w:t>team of over 650 investment and operating professionals. As of December 31, 2024, seventy-two (72) of these personnel are dedicated to direct lending, including fifty-seven (57) investment professionals.</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upper middle-market companies domiciled in the United States.</w:t>
      </w:r>
    </w:p>
    <w:p>
      <w:pPr>
        <w:spacing w:after="0" w:line="11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68"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2024, 96.5% of these investments based on fair value bore interest at a floating rate, with 100% of these subject to interest rate floors. Interest on debt investments is generally payable quarterly or semiannually. Some of our investments provide for deferred interest payments or PIK interest. For the years ended December 31, 2024 and December 31, 2023, 5.2% and 5.9% of our total investment income was comprised of PIK interest. For the period beginning April 5, 2022 (Inception) through December 31, 2022, none of our investment income was comprised of PIK interest.</w:t>
      </w:r>
    </w:p>
    <w:p>
      <w:pPr>
        <w:spacing w:after="0" w:line="189"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20"/>
        <w:spacing w:after="0" w:line="261" w:lineRule="auto"/>
        <w:rPr>
          <w:sz w:val="20"/>
          <w:szCs w:val="20"/>
          <w:color w:val="auto"/>
        </w:rPr>
      </w:pPr>
      <w:r>
        <w:rPr>
          <w:rFonts w:ascii="Times New Roman" w:cs="Times New Roman" w:eastAsia="Times New Roman" w:hAnsi="Times New Roman"/>
          <w:sz w:val="18"/>
          <w:szCs w:val="18"/>
          <w:color w:val="auto"/>
        </w:rPr>
        <w:t>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 often are idiosyncratic, and reflect the characteristics of the particular portfolio companies that we invested in or exited during the period and not necessarily any trends in our business.</w:t>
      </w:r>
    </w:p>
    <w:p>
      <w:pPr>
        <w:spacing w:after="0" w:line="18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right="1480" w:hanging="257"/>
        <w:spacing w:after="0" w:line="261"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71"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40" w:hanging="257"/>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right="1460" w:hanging="257"/>
        <w:spacing w:after="0" w:line="25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8" w:name="page69"/>
    <w:bookmarkEnd w:id="68"/>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Trustees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our portfolio based on fair value consisted of 94.9% first-lien debt investments, 1.3% second-lien debt investments, 1.7% mezzanine investments and 2.1% equity and other investments. As of December 31, 2023, our portfolio based on fair value consisted of 92.0% first-lien debt investments, 2.6% second lien-debt investments, 3.4% mezzanine investments and 2.0% equity and other investments.</w:t>
      </w:r>
    </w:p>
    <w:p>
      <w:pPr>
        <w:spacing w:after="0" w:line="176"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our weighted average total yield of debt and income producing securities at fair value (which includes interest income and amortization of fees and discounts) was 11.0% and 13.4%, respectively, and our weighted average total yield of debt and income-producing securities at amortized cost (which includes interest income and amortization of fees and discounts) was 11.3% and 13.7%.</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we had investments in 67 and 37 portfolio companies, with an aggregate fair value of $7,244.3 million and $3,099.2 million.</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principal amount of new investments funded was $4,263.9 million in 34 new portfolio companies and 11 existing portfolio companies. For this period, we had $662.5 million aggregate principal amount in exits and repayments.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principal amount of new investments funded was $2,279.8 million in 27 new portfolio companies and 8 existing portfolio companies. For this period, we had $60.4 million aggregate principal amount in exits and repayments.</w:t>
      </w:r>
    </w:p>
    <w:p>
      <w:pPr>
        <w:spacing w:after="0" w:line="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70" w:name="page71"/>
    <w:bookmarkEnd w:id="70"/>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years ended December 31, 2024, December 31, 2023 and for the period from April 5, 2022 (Inception) through December 31, 2022, is presented below (information presented herein is at par value unless otherwise indicated).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From April 5,</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vMerge w:val="restart"/>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2022 (Inception)</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14,354.5</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8,682.4</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5,672.1</w:t>
            </w:r>
          </w:p>
        </w:tc>
        <w:tc>
          <w:tcPr>
            <w:tcW w:w="4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3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2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93.2 %</w:t>
            </w: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99.9 %</w:t>
            </w: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5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4"/>
        </w:trPr>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Includes affiliates of Sixth 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-4345940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-4345940</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-4345940</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-3514090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-3514090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-3514090</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-2682240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-2682240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-2682240</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our investments consisted of the following:</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Pr>
          <w:p>
            <w:pPr>
              <w:spacing w:after="0"/>
              <w:rPr>
                <w:sz w:val="15"/>
                <w:szCs w:val="15"/>
                <w:color w:val="auto"/>
              </w:rPr>
            </w:pPr>
          </w:p>
        </w:tc>
        <w:tc>
          <w:tcPr>
            <w:tcW w:w="292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302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6,732.1</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-25400</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540" w:right="4520" w:hanging="5525"/>
        <w:spacing w:after="0" w:line="407" w:lineRule="auto"/>
        <w:rPr>
          <w:sz w:val="20"/>
          <w:szCs w:val="20"/>
          <w:color w:val="auto"/>
        </w:rPr>
      </w:pPr>
      <w:r>
        <w:rPr>
          <w:rFonts w:ascii="Times New Roman" w:cs="Times New Roman" w:eastAsia="Times New Roman" w:hAnsi="Times New Roman"/>
          <w:sz w:val="18"/>
          <w:szCs w:val="18"/>
          <w:color w:val="auto"/>
        </w:rPr>
        <w:t>We have no non-accrual investments as of December 31, 2024 and December 31, 2023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01" w:right="779" w:bottom="1440" w:gutter="0" w:footer="0" w:header="0"/>
        </w:sectPr>
      </w:pPr>
    </w:p>
    <w:bookmarkStart w:id="71" w:name="page72"/>
    <w:bookmarkEnd w:id="71"/>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2024 and December 31, 2023 were as follows:</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48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720" w:type="dxa"/>
            <w:vAlign w:val="bottom"/>
            <w:tcBorders>
              <w:top w:val="single" w:sz="8" w:color="auto"/>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9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254"/>
        </w:trPr>
        <w:tc>
          <w:tcPr>
            <w:tcW w:w="548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2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r>
      <w:tr>
        <w:trPr>
          <w:trHeight w:val="198"/>
        </w:trPr>
        <w:tc>
          <w:tcPr>
            <w:tcW w:w="5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10.7 %</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198"/>
        </w:trPr>
        <w:tc>
          <w:tcPr>
            <w:tcW w:w="54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1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floating rate investments</w:t>
            </w:r>
          </w:p>
        </w:tc>
        <w:tc>
          <w:tcPr>
            <w:tcW w:w="2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bl>
    <w:p>
      <w:pPr>
        <w:spacing w:after="0" w:line="198"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10.8% at December 31, 2024 and at 13.2% at December 31, 2023.</w:t>
      </w:r>
    </w:p>
    <w:p>
      <w:pPr>
        <w:spacing w:after="0" w:line="293"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58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40" w:hanging="257"/>
        <w:spacing w:after="0" w:line="25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40" w:hanging="257"/>
        <w:spacing w:after="0" w:line="261"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2024 and December 31, 2023. Investment performance ratings are accurate only as of those dates and may change due to</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subsequent developments relating to a portfolio company’s business or financial condition, market conditions or developments, and other factors.</w:t>
      </w:r>
    </w:p>
    <w:p>
      <w:pPr>
        <w:spacing w:after="0" w:line="200" w:lineRule="exact"/>
        <w:rPr>
          <w:sz w:val="20"/>
          <w:szCs w:val="20"/>
          <w:color w:val="auto"/>
        </w:rPr>
      </w:pPr>
    </w:p>
    <w:p>
      <w:pPr>
        <w:spacing w:after="0" w:line="235"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3"/>
          </w:tcPr>
          <w:p>
            <w:pPr>
              <w:jc w:val="center"/>
              <w:ind w:right="96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88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2"/>
                <w:szCs w:val="12"/>
                <w:color w:val="auto"/>
              </w:rPr>
            </w:pPr>
          </w:p>
        </w:tc>
        <w:tc>
          <w:tcPr>
            <w:tcW w:w="2280" w:type="dxa"/>
            <w:vAlign w:val="bottom"/>
            <w:gridSpan w:val="3"/>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5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226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97.1 %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92.8 %</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-170815</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Operating results for the years ended December 31, 2024, December 31, 2023 and for the period from April 5, 2022 (Inception) through December 31, 2022,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April 5,</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2022 (Inception)</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5"/>
                <w:szCs w:val="15"/>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668.8</w:t>
            </w: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618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128.3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6180" w:type="dxa"/>
            <w:vAlign w:val="bottom"/>
            <w:gridSpan w:val="2"/>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505.9</w:t>
            </w:r>
          </w:p>
        </w:tc>
        <w:tc>
          <w:tcPr>
            <w:tcW w:w="36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From April 5,</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2022 (Inception)</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420" w:type="dxa"/>
            <w:vAlign w:val="bottom"/>
            <w:gridSpan w:val="4"/>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1100" w:type="dxa"/>
            <w:vAlign w:val="bottom"/>
            <w:gridSpan w:val="3"/>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gridSpan w:val="2"/>
          </w:tcPr>
          <w:p>
            <w:pPr>
              <w:spacing w:after="0"/>
              <w:rPr>
                <w:sz w:val="10"/>
                <w:szCs w:val="10"/>
                <w:color w:val="auto"/>
              </w:rPr>
            </w:pPr>
          </w:p>
        </w:tc>
        <w:tc>
          <w:tcPr>
            <w:tcW w:w="1500" w:type="dxa"/>
            <w:vAlign w:val="bottom"/>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-2536825</wp:posOffset>
            </wp:positionV>
            <wp:extent cx="677227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-2262505</wp:posOffset>
            </wp:positionV>
            <wp:extent cx="677227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239"/>
        <w:spacing w:after="0" w:line="258"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$222.3 million for the year ended December 31, 2023, to $592.8 million for the year ended December 31, 2024. The increase in interest from investments was primarily the result of growth in our investment portfolio. Paid-in-kind interest income increased from $14.4 million for the year ended December 31, 2023, to $34.7 for the year ended December 31, 2024. There was no dividend income for the year ended December 31, 2023 and for the year ended December 31, 2024, dividend income was $5.3 million. Other income increased from $9.4 million for the year ended December 31, 2023, to $36.0 million for the year ended December 31, 2024.</w:t>
      </w:r>
    </w:p>
    <w:p>
      <w:pPr>
        <w:spacing w:after="0" w:line="183" w:lineRule="exact"/>
        <w:rPr>
          <w:sz w:val="20"/>
          <w:szCs w:val="20"/>
          <w:color w:val="auto"/>
        </w:rPr>
      </w:pPr>
    </w:p>
    <w:p>
      <w:pPr>
        <w:ind w:right="180" w:firstLine="239"/>
        <w:spacing w:after="0" w:line="266"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$17.1 million for the period from April 5, 2022 (Inception) through December 31, 2022, to $222.3 million for the year ended December 31, 2023. The increase in interest from investments was primarily the result of growth in our investment portfolio. There was no paid-in-kind interest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income for the period from April 5, 2022 (Inception) through December 31, 2022, and for the year ended December 31, 2023, paid-in-kind interest was</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$14.4 million. Other income increased from $0.1 million for the period from April 5, 2022 (Inception) through December 31, 2022, to $9.4 million for the year ended December 31, 2023. Additionally, we commenced operations and began investing activities August 31, 2022. As a result, year to date comparisons may not be meaningful.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Operating expenses for the years ended December 31, 2024, December 31, 2023 and for the period from April 5, 2022 (Inception) through December 31, 2022, were as follows: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60"/>
        </w:trPr>
        <w:tc>
          <w:tcPr>
            <w:tcW w:w="6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2"/>
        </w:trPr>
        <w:tc>
          <w:tcPr>
            <w:tcW w:w="6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 in millions)</w:t>
            </w:r>
          </w:p>
        </w:tc>
        <w:tc>
          <w:tcPr>
            <w:tcW w:w="12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2"/>
                <w:szCs w:val="12"/>
                <w:color w:val="auto"/>
              </w:rPr>
            </w:pPr>
          </w:p>
        </w:tc>
        <w:tc>
          <w:tcPr>
            <w:tcW w:w="12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2"/>
                <w:szCs w:val="12"/>
                <w:color w:val="auto"/>
              </w:rPr>
            </w:pPr>
          </w:p>
        </w:tc>
        <w:tc>
          <w:tcPr>
            <w:tcW w:w="12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w:t>
            </w: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(losses)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Organizational and offering expense</w:t>
            </w: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Trustees fees</w:t>
            </w: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right="20" w:firstLine="239"/>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$72.4 million for the year ended December 31, 2023, to $192.0 million for the year ended December 31, 2024. This increase was primarily due to an increase in average debt outstanding from $876.9 million for the year ended December 31, 2023, to $2,519.0 million for the year ended December 31, 2024. The average interest rate on our debt outstanding decreased from 7.3% for the year ended December 31, 2023, to 7.1% for the year ended December 31, 2024 due to a change in the mix of our debt financing sources and a change in SOFR rates.</w:t>
      </w:r>
    </w:p>
    <w:p>
      <w:pPr>
        <w:spacing w:after="0" w:line="183" w:lineRule="exact"/>
        <w:rPr>
          <w:sz w:val="20"/>
          <w:szCs w:val="20"/>
          <w:color w:val="auto"/>
        </w:rPr>
      </w:pPr>
    </w:p>
    <w:p>
      <w:pPr>
        <w:ind w:firstLine="239"/>
        <w:spacing w:after="0" w:line="256"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$5.2 million for the period from April 5, 2022 (Inception) through December 31, 2022, to $72.4 million for the year ended December 31, 2023. This increase was primarily due to an increase in average debt outstanding from $219.4 million for the period from April 5, 2022 (Inception) through December 31, 2022, to $876.9 million for the year ended December 31, 2023. The average interest rate on our debt outstanding increased from 6.3% for the year ended December 31, 2022, to 7.3% for the year ended December 31, 2023, due to a change in the mix of our debt financing sources and a change in SOFR rates. Additionally, we commenced operations and began investing activities August 31, 2022. As a result, year to date comparisons may not be meaningful.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ind w:right="20" w:firstLine="239"/>
        <w:spacing w:after="0" w:line="281" w:lineRule="auto"/>
        <w:rPr>
          <w:sz w:val="20"/>
          <w:szCs w:val="20"/>
          <w:color w:val="auto"/>
        </w:rPr>
      </w:pPr>
      <w:r>
        <w:rPr>
          <w:rFonts w:ascii="Times New Roman" w:cs="Times New Roman" w:eastAsia="Times New Roman" w:hAnsi="Times New Roman"/>
          <w:sz w:val="17"/>
          <w:szCs w:val="17"/>
          <w:color w:val="auto"/>
        </w:rPr>
        <w:t>Management Fees (gross of waivers) increased from $25.2 million for the year ended December 31, 2023, to $67.8 million for the year ended December 31, 2024 due to an increase in average assets for the year ended December 31, 2024, compared to the year ended December 31, 2023. Management Fees (net of waivers) increased from $8.5 million for the year ended December 31, 2023, to $24.1 million for the year ended December 31, 2024. For the years ended December 31, 2024 and December 31, 2023, the Advisor waived management fees of $43.8 million and $16.7 million, respectively.</w:t>
      </w:r>
    </w:p>
    <w:p>
      <w:pPr>
        <w:spacing w:after="0" w:line="164" w:lineRule="exact"/>
        <w:rPr>
          <w:sz w:val="20"/>
          <w:szCs w:val="20"/>
          <w:color w:val="auto"/>
        </w:rPr>
      </w:pPr>
    </w:p>
    <w:p>
      <w:pPr>
        <w:ind w:right="40" w:firstLine="239"/>
        <w:spacing w:after="0" w:line="256" w:lineRule="auto"/>
        <w:rPr>
          <w:sz w:val="20"/>
          <w:szCs w:val="20"/>
          <w:color w:val="auto"/>
        </w:rPr>
      </w:pPr>
      <w:r>
        <w:rPr>
          <w:rFonts w:ascii="Times New Roman" w:cs="Times New Roman" w:eastAsia="Times New Roman" w:hAnsi="Times New Roman"/>
          <w:sz w:val="18"/>
          <w:szCs w:val="18"/>
          <w:color w:val="auto"/>
        </w:rPr>
        <w:t>Management Fees (gross of waivers) increased from $2.7 million for the period from April 5, 2022 (Inception) through December 31, 2022, to $25.2 million for the year ended December 31, 2023, due to an increase in average assets for the year ended December 31, 2023, compared to the period ended in 2022. Management Fees (net of waivers) increased from $0.7 million for the period from April 5, 2022 (Inception) through December 31, 2022, to $8.5 million for the year ended December 31, 2023. The Adviser waived Management Fees of $16.7 million for the year ended December 31, 2023. The Adviser waived Management Fees of $2.0 million for the period from April 5, 2022 (Inception) through December 31, 2022. Additionally, we commenced operations and began investing activities August 31, 2022. As a result, year to date comparisons may not be meaningful.</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right="80" w:firstLine="23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Incentive Fees related to pre-incentive net investment income were $54.7 million, $19.3 million, and $1.0 million, respectively. For the years ended December 31, 2024 and December 31, 2023, $17.8 million and $6.7 million, respectively, were accrued related to Capital Gains Fees. For the period from April 5, 2022 (Inception) through December 31, 2022, there was no accrual for Capital Gains Fees. As of December 31, 2024, these accrued Incentive Fees are not contractually payable to the Adviser.</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Organizational and Offering Expense</w:t>
      </w:r>
    </w:p>
    <w:p>
      <w:pPr>
        <w:spacing w:after="0" w:line="227" w:lineRule="exact"/>
        <w:rPr>
          <w:sz w:val="20"/>
          <w:szCs w:val="20"/>
          <w:color w:val="auto"/>
        </w:rPr>
      </w:pPr>
    </w:p>
    <w:p>
      <w:pPr>
        <w:ind w:right="60" w:firstLine="239"/>
        <w:spacing w:after="0" w:line="282" w:lineRule="auto"/>
        <w:rPr>
          <w:sz w:val="20"/>
          <w:szCs w:val="20"/>
          <w:color w:val="auto"/>
        </w:rPr>
      </w:pPr>
      <w:r>
        <w:rPr>
          <w:rFonts w:ascii="Times New Roman" w:cs="Times New Roman" w:eastAsia="Times New Roman" w:hAnsi="Times New Roman"/>
          <w:sz w:val="18"/>
          <w:szCs w:val="18"/>
          <w:color w:val="auto"/>
        </w:rPr>
        <w:t>Organizational and offering expenses increased from $1.1 million for the year ended December 31, 2023, to $1.4 million for the year ended December 31, 2024.</w:t>
      </w:r>
    </w:p>
    <w:p>
      <w:pPr>
        <w:spacing w:after="0" w:line="162" w:lineRule="exact"/>
        <w:rPr>
          <w:sz w:val="20"/>
          <w:szCs w:val="20"/>
          <w:color w:val="auto"/>
        </w:rPr>
      </w:pPr>
    </w:p>
    <w:p>
      <w:pPr>
        <w:ind w:firstLine="239"/>
        <w:spacing w:after="0" w:line="261" w:lineRule="auto"/>
        <w:rPr>
          <w:sz w:val="20"/>
          <w:szCs w:val="20"/>
          <w:color w:val="auto"/>
        </w:rPr>
      </w:pPr>
      <w:r>
        <w:rPr>
          <w:rFonts w:ascii="Times New Roman" w:cs="Times New Roman" w:eastAsia="Times New Roman" w:hAnsi="Times New Roman"/>
          <w:sz w:val="18"/>
          <w:szCs w:val="18"/>
          <w:color w:val="auto"/>
        </w:rPr>
        <w:t>Organizational and offering expenses decreased from $2.2 million for the period from April 5, 2022 (Inception) through December 31, 2022, to $1.1 million for the year ended December 31, 2023. We will not bear more than an amount equal to 0.10% of the aggregate capital commitments for organizational and offering expenses in connection with the offering of our Common Shares. Additionally, we commenced operations and began investing activities August 31, 2022. As a result, year to date comparisons may not be meaningful.</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227" w:lineRule="exact"/>
        <w:rPr>
          <w:sz w:val="20"/>
          <w:szCs w:val="20"/>
          <w:color w:val="auto"/>
        </w:rPr>
      </w:pPr>
    </w:p>
    <w:p>
      <w:pPr>
        <w:ind w:right="220" w:firstLine="239"/>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$3.3 million for the year ended December 31, 2023, to $5.5 million for the year ended December 31, 2024. Trustee Fees decreased from $0.7 million for the year ended December 31, 2023, to $0.5 million for the year ended December 31, 2024. Other general and administrative expenses increased from $4.3 million for the year ended December 31, 2023, to $5.8 million for the year ended December 31, 2024.</w:t>
      </w:r>
    </w:p>
    <w:p>
      <w:pPr>
        <w:spacing w:after="0" w:line="176" w:lineRule="exact"/>
        <w:rPr>
          <w:sz w:val="20"/>
          <w:szCs w:val="20"/>
          <w:color w:val="auto"/>
        </w:rPr>
      </w:pPr>
    </w:p>
    <w:p>
      <w:pPr>
        <w:ind w:right="180" w:firstLine="239"/>
        <w:spacing w:after="0" w:line="258" w:lineRule="auto"/>
        <w:rPr>
          <w:sz w:val="20"/>
          <w:szCs w:val="20"/>
          <w:color w:val="auto"/>
        </w:rPr>
      </w:pPr>
      <w:r>
        <w:rPr>
          <w:rFonts w:ascii="Times New Roman" w:cs="Times New Roman" w:eastAsia="Times New Roman" w:hAnsi="Times New Roman"/>
          <w:sz w:val="18"/>
          <w:szCs w:val="18"/>
          <w:color w:val="auto"/>
        </w:rPr>
        <w:t>Professional fees increased from $1.0 million for the period from April 5, 2022 (Inception) through December 31, 2022, to $3.3 million for the year ended December 31, 2023. Trustee Fees increased from $0.3 million for the period from April 5, 2022 (Inception) through December 31, 2022, to $0.7 million for the year ended December 31, 2023. Other general and administrative expenses increased from $0.9 million for the period from April 5, 2022 (Inception) through December 31, 2022, to $4.3 million for the year ended December 31, 2023. Additionally, we commenced operations and began investing activities August 31, 2022. As a result, year to date comparisons may not be meaningful.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and we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we recorded a net expense of $2.2 million, $1.5 million and $0.2 million, respectively, for U.S. federal excise tax and other taxes.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years ended December 31, 2024, December 31, 2023 and for the period from April 5, 2022 (Inception) through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From April 5,</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gridSpan w:val="5"/>
            <w:vMerge w:val="restart"/>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2022 (Inception)</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investments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borrowings </w:t>
            </w:r>
            <w:r>
              <w:rPr>
                <w:rFonts w:ascii="Times New Roman" w:cs="Times New Roman" w:eastAsia="Times New Roman" w:hAnsi="Times New Roman"/>
                <w:sz w:val="24"/>
                <w:szCs w:val="24"/>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Net Realized Gains (Losses) </w:t>
            </w:r>
            <w:r>
              <w:rPr>
                <w:rFonts w:ascii="Times New Roman" w:cs="Times New Roman" w:eastAsia="Times New Roman" w:hAnsi="Times New Roman"/>
                <w:sz w:val="24"/>
                <w:szCs w:val="24"/>
                <w:b w:val="1"/>
                <w:bCs w:val="1"/>
                <w:color w:val="auto"/>
                <w:vertAlign w:val="superscript"/>
              </w:rPr>
              <w:t>(1)</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4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4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cash </w:t>
            </w:r>
            <w:r>
              <w:rPr>
                <w:rFonts w:ascii="Times New Roman" w:cs="Times New Roman" w:eastAsia="Times New Roman" w:hAnsi="Times New Roman"/>
                <w:sz w:val="24"/>
                <w:szCs w:val="24"/>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5"/>
        </w:trPr>
        <w:tc>
          <w:tcPr>
            <w:tcW w:w="3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tcPr>
          <w:p>
            <w:pPr>
              <w:spacing w:after="0"/>
              <w:rPr>
                <w:sz w:val="18"/>
                <w:szCs w:val="18"/>
                <w:color w:val="auto"/>
              </w:rPr>
            </w:pPr>
          </w:p>
        </w:tc>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Amounts round to less than $0.1 million.</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-1871345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-1854200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-1871345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-1854200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-1871345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-1854200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-173990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-156845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-173990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-156845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-173990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ind w:right="40" w:firstLine="30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we had net realized gains on investments of $3.7 million. For the year ended December 31, 2023 and for the period from April 5, 2022 (Inception) through December 31, 2022, we had no realized gains or losses on investments. For the year ended December 31, 2024, we had net realized gains on foreign currency investments of $0.9 million. For the year ended December 31, 2023 and for the period from April 5, 2022 (Inception) through December 31, 2022, we had no realized gains or losses on foreign currency investments. For the years ended December 31, 2024, December 31, 2023 and for the period from April 5, 2022 (Inception) through December 31, 2022, we had net realized gains on foreign currency transactions of $0.4 million, net realized losses of $1.1 million and $0.1 million, respectively, primarily as a result of translating foreign currency related to our non-USD denominated investments. For the year ended December 31, 2024, we had net realized gains on foreign currency borrowings of $2.1 million was a result of payments on our revolving facility. For the year ended December 31, 2023 and for the period from April 5, 2022 (Inception) through December 31, 2022, we had net realized losses on foreign currency borrowings for less than $0.1 million and less than $0.1 million, respectively.</w:t>
      </w:r>
    </w:p>
    <w:p>
      <w:pPr>
        <w:spacing w:after="0" w:line="188" w:lineRule="exact"/>
        <w:rPr>
          <w:sz w:val="20"/>
          <w:szCs w:val="20"/>
          <w:color w:val="auto"/>
        </w:rPr>
      </w:pPr>
    </w:p>
    <w:p>
      <w:pPr>
        <w:jc w:val="both"/>
        <w:ind w:right="260"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$136.7 million in unrealized gains on 47 portfolio company investments, which was offset by $33.7 million in unrealized losses on 24 portfolio company investments. Unrealized gains were driven by an increase in fair value, primarily due to changes in credit spreads and positive portfolio company specific developments. Unrealized losses resulted from negative credit related adjustments, the reversal of prior period unrealized gains due to realizations of fluctuations in foreign exchange rates.</w:t>
      </w:r>
    </w:p>
    <w:p>
      <w:pPr>
        <w:spacing w:after="0" w:line="180"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had $65.3 million in unrealized gains on 35 portfolio company investments, which was offset by $3.7 million in unrealized losses on two portfolio company investments. Unrealized gains were driven by an increase in fair value, primarily due to tightening credit spreads.</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the period ended December 31, 2022, we had $2.7 million in unrealized gains on seven portfolio company investments, which was offset by $2.9 million in unrealized losses on three portfolio company investments. Unrealized losses for the period ended December 31, 2022, resulted from a decrease in fair value, primarily due to changes in credit spreads.</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had unrealized gains of $31.0 million on foreign currency borrowings, primarily as a result of fluctuations in the GBP, EUR and SEK exchange rates. For the year ended December 31, 2023 and for the period from April 5, 2022 (Inception) through December 31, 2022 , we had unrealized losses of $4.8 million and $1.5 million, respectively, primarily as a result of fluctuations in the GBP and EUR exchange rates.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we had no deferred tax asset or liability for unrealized gains or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2022 through December 31, 2024, weighted by capital invested, our exited investments have generated an average realized gross internal rate of return to us of 17.4% (based on total capital invested of $0.2 million and total proceeds from these exited investments of $0.2 million). One hundred percent of these investments resulted in a realized gross internal rate of return to us of 10% or greater.</w:t>
      </w:r>
    </w:p>
    <w:p>
      <w:pPr>
        <w:spacing w:after="0" w:line="68"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68" w:lineRule="exact"/>
        <w:rPr>
          <w:sz w:val="20"/>
          <w:szCs w:val="20"/>
          <w:color w:val="auto"/>
        </w:rPr>
      </w:pPr>
    </w:p>
    <w:p>
      <w:pPr>
        <w:jc w:val="both"/>
        <w:ind w:right="140" w:firstLine="255"/>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54"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54"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54"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68"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68"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Credit Facilities to fund these investments. For the years ended December 31, 2024, December 31, 2023 and for the period from April 5, 2022 (Inception) through December 31, 2022, we had unrealized gains of $31.0 million, unrealized losses of $4.8 million and unrealized losses of $1.5 million, respectively, on the translation of our non-U.S. dollar denominated debt into U.S. dollars; such amounts approximate the corresponding unrealized gains on the translation of our non-U.S. dollar denominated investments into U.S. dollars. See Note 2 for additional disclosure regarding our accounting for foreign currency. See Note 7 for additional disclosure regarding the amounts of outstanding debt denominated in each foreign currency at December 31, 2024. See our consolidated schedule of investments for additional disclosure regarding the foreign currency amounts (in both par and fair value) of our non-U.S. dollar denominated investments.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December 31, 2024, December 31, 2023 and 2022, our asset coverage ratio was 193.0%, 245.6% and 201.6%,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94"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as of December 31, 2024, taken together with cash available under our Credit Facilities and cash available from undrawn Capital Commitments, is expected to be sufficient for our investing activities and to conduct our operations in the near term. As of December 31, 2024, we had approximately $3.2 million and $42.1 million of availability on our Subscription Facility and Revolving Credit Facility, respectively, subject to asset coverage limitations.</w:t>
      </w:r>
    </w:p>
    <w:p>
      <w:pPr>
        <w:spacing w:after="0" w:line="18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2024, we had $1,198.0 million in cash and cash equivalents, including $43.4 million of restricted cash. During the year ended December 31, 2024, we used $3,672.1 million in cash from operating activities primarily attributable to funding portfolio investments of $4,763.4 million, net change in unrealized gains on investments of $103.0 million and other net operating activities of $96.4 million, which was offset by repayments and proceeds from investments of $784.8 million and an increase in net assets resulting from operations of $505.9 million. Cash provided by financing activities was $4,861.3 million during the period due to borrowings of $8,611.0 million and proceeds from the capital calls of $1,999.7 million, which were partially offset by paydowns on debt of $5,484.7 million and other financing activities of $264.7 million.</w:t>
      </w:r>
    </w:p>
    <w:p>
      <w:pPr>
        <w:spacing w:after="0" w:line="18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As of December 31, 2023, we had $8.8 million in cash and cash equivalents. During the year ended December 31, 2023, we used $2,091.8 million in cash from operating activities primarily attributable to funding portfolio investments of $2,286.0 million and net change in unrealized gains on investments of $61.6 million, which was offset by repayments on investments of $80.1 million and other net operating activities of $175.5 million. Cash provided by financing activities was $1,826.0 million during the period due to borrowings of $2,886.7 million and proceeds from the capital calls of $1,150.0 million, which were partially offset by paydowns on debt of $2,181.5 million and other financing activities of $29.2 million.</w:t>
      </w:r>
    </w:p>
    <w:p>
      <w:pPr>
        <w:spacing w:after="0" w:line="183"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As of December 31, 2022, we had $274.6 million in cash and cash equivalents. During the year ended December 31, 2022, we used $800.4 million in cash from operating activities as a result of purchases and originations of investments of $808.3 million which was partially offset by an increase in net assets resulting from operations of $3.8 million and other operating activity of $4.1 million. Lastly, cash provided by financing activities was $1,075.0 million during the period, consisting of borrowings of $816.5 million and proceeds from the issuance of Common Shares of $542.9 million which was partially offset by repayments on debt and deferred financing costs of $284.4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have entered into subscription agreements (the "Subscription Agreements") with investors providing for the private placement of the Company’s Common Shares. Under the terms of the Subscription Agreements, investors are required to fund drawdowns to purchase our Common Shares up to the amount of their respective Capital Commitment on an as-needed basis each time we deliver a drawdown notice to our investors. As of December 31, 2024, the Company had received Capital Commitments totaling $7.4 billion ($3.7 billion remaining undrawn). As of December 31, 2023, the Company had received Capital Commitments totaling $7.4 billion ($5.7 billion remaining undrawn).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8" w:name="page79"/>
    <w:bookmarkEnd w:id="78"/>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total Common Shares issued and proceeds received related to the Company's initial capitalization and capital drawdowns delivered pursuant to subscription agreements (the “Subscription Agreements”) for the years ended December 31, 2024 and December 31, 2023:</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40" w:type="dxa"/>
            <w:vAlign w:val="bottom"/>
          </w:tcPr>
          <w:p>
            <w:pPr>
              <w:spacing w:after="0"/>
              <w:rPr>
                <w:sz w:val="13"/>
                <w:szCs w:val="13"/>
                <w:color w:val="auto"/>
              </w:rPr>
            </w:pPr>
          </w:p>
        </w:tc>
        <w:tc>
          <w:tcPr>
            <w:tcW w:w="24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6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March 6, 2024</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58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26, 2024</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June 25, 2024</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10,152,231</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24, 2024</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8,280,854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December 17, 2024</w:t>
            </w:r>
          </w:p>
        </w:tc>
        <w:tc>
          <w:tcPr>
            <w:tcW w:w="140" w:type="dxa"/>
            <w:vAlign w:val="bottom"/>
            <w:tcBorders>
              <w:bottom w:val="single" w:sz="8" w:color="CFF0FC"/>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32,345,892</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68,127,885</w:t>
            </w:r>
          </w:p>
        </w:tc>
        <w:tc>
          <w:tcPr>
            <w:tcW w:w="260" w:type="dxa"/>
            <w:vAlign w:val="bottom"/>
            <w:gridSpan w:val="2"/>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9,643,813</w:t>
            </w:r>
          </w:p>
        </w:tc>
        <w:tc>
          <w:tcPr>
            <w:tcW w:w="5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28, 2023</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2,798,480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26, 2023</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5,387,887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21, 2023</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14,401,634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40" w:type="dxa"/>
            <w:vAlign w:val="bottom"/>
            <w:tcBorders>
              <w:bottom w:val="single" w:sz="8" w:color="CFF0FC"/>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9,725,830</w:t>
            </w: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275.0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41,957,644</w:t>
            </w:r>
          </w:p>
        </w:tc>
        <w:tc>
          <w:tcPr>
            <w:tcW w:w="5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-1362075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-1362075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4"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issued 6,601,368 shares to investors who have not opted out of our dividend reinvestment plan for proceeds of $191.8 million. During the year ended December 31, 2023, we issued 1,639,103 shares to investors who have not opted out of our dividend reinvestment plan for proceeds of $43.4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"Subscription Facility Closing Date"), we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68"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July 3, 2024, we exercised our option to extend the stated maturity date to August 29, 2025. The Subscription Facility will mature upon the earliest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August 29, 2025; (ii) the date upon which the Administrative Agent declares the obligations under the Subscription Facility due and payable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an event of default; (iii) forty-five (45) days prior to the date on which our ability to call capital commitments for purposes of repaying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Subscription Facility is terminated; and (iv) the date we terminate the commitments pursuant to the Subscription Facility.</w:t>
      </w:r>
    </w:p>
    <w:p>
      <w:pPr>
        <w:spacing w:after="0" w:line="9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84"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2024, we had outstanding debt denominated in British pounds (GBP) of 10.3 million, and Euros (EUR) of 7.3 million on our Subscription Facility, included in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Outstanding Principal amount in the table below. As of December 31, 2023, we had outstanding debt denominated in British pounds (GBP) of 10.3 million, and Euro (EUR) of 13.4 million on the Subscription Facility included in the outstanding principal amount in the table below.</w:t>
      </w:r>
    </w:p>
    <w:p>
      <w:pPr>
        <w:spacing w:after="0" w:line="54" w:lineRule="exact"/>
        <w:rPr>
          <w:sz w:val="20"/>
          <w:szCs w:val="20"/>
          <w:color w:val="auto"/>
        </w:rPr>
      </w:pPr>
    </w:p>
    <w:p>
      <w:pPr>
        <w:jc w:val="both"/>
        <w:ind w:right="36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December 31, 2024 and December 31, 2023, we had no outstanding letters of credit issued through the Subscription Facility. The amount available for borrowing under the Subscription Facility is reduced by any letters of credit issued through the Subscription Facility.</w:t>
      </w:r>
    </w:p>
    <w:p>
      <w:pPr>
        <w:spacing w:after="0" w:line="68"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was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the first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facility were upsized to $1.55 billion, which included a term loan commitment of $50 million, due at the stated maturity. On January 17, 2025, the aggregate commitments under the facility were upsized to $1.65 billion, due at the stated maturity. The facility includes an uncommitted accordion feature that allows the Company, under certain circumstances, to increase the size of the facility to up to $1.75 billion. The Revolving Credit Facility will mature on February 8, 2029 (the "Revolving Credit Facility Maturity Date").</w:t>
      </w:r>
    </w:p>
    <w:p>
      <w:pPr>
        <w:spacing w:after="0" w:line="190"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8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6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2024, we had outstanding debt denominated in British pounds (GBP) of 299.2 million and Euros (EUR) 640.1 million and Swedish Krona (SEK) 80.2 million on its Revolving Credit Facility, included in the outstanding principal amount in the table below. As of December 31, 2023, we had outstanding debt denominated in British pounds (GBP) of 68.7 million and Euros (EUR) 95.7 million on our Revolving Credit Facility, included in the outstanding principal amount in the table below.</w:t>
      </w:r>
    </w:p>
    <w:p>
      <w:pPr>
        <w:spacing w:after="0" w:line="7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December 31, 2024, we had $5.9 million in outstanding letters of credit issued through the Revolving Credit Facility. As of December 31, 2023, we had $5.5 million in outstanding letters of credit issued through the Revolving Credit Facility. The amount available for borrowing under the Revolving Credit Facility is reduced by any letters of credit issued through the Revolving Credit Facility.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care and notice provisions).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was in compliance with the terms of the Revolving Credit Facility.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further details, see Note 7 "Debt - Revolving Credit Facility" to our consolidated financial statements included in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75"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w:t>
      </w:r>
    </w:p>
    <w:p>
      <w:pPr>
        <w:spacing w:after="0" w:line="7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the Company's effective interest rate of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 of Operations. As of December 31, 2024, the effective hedge interest rate swaps had a fair value of $1.1 million which is offset within interest expense by an equal, but opposite, fair value change for the hedged risk on the 2029 Notes.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spacing w:after="0" w:line="7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$24.1 million which is offset within interest expense by an equal, but opposite, fair value change for the hedged risk on the January 2030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11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Subsequent to the year ended December 31, 2024, 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spacing w:after="0" w:line="7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2024, in connection with the issuance of the July 2030 Notes, we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2024 and December 31,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40" w:type="dxa"/>
            <w:vAlign w:val="bottom"/>
            <w:gridSpan w:val="3"/>
          </w:tcPr>
          <w:p>
            <w:pPr>
              <w:jc w:val="right"/>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20" w:type="dxa"/>
            <w:vAlign w:val="bottom"/>
          </w:tcPr>
          <w:p>
            <w:pPr>
              <w:spacing w:after="0"/>
              <w:rPr>
                <w:sz w:val="10"/>
                <w:szCs w:val="10"/>
                <w:color w:val="auto"/>
              </w:rPr>
            </w:pPr>
          </w:p>
        </w:tc>
        <w:tc>
          <w:tcPr>
            <w:tcW w:w="1220" w:type="dxa"/>
            <w:vAlign w:val="bottom"/>
          </w:tcPr>
          <w:p>
            <w:pPr>
              <w:jc w:val="right"/>
              <w:ind w:right="25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0"/>
                <w:szCs w:val="10"/>
                <w:color w:val="auto"/>
              </w:rPr>
            </w:pPr>
          </w:p>
        </w:tc>
        <w:tc>
          <w:tcPr>
            <w:tcW w:w="9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48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180" w:type="dxa"/>
            <w:vAlign w:val="bottom"/>
            <w:gridSpan w:val="2"/>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80" w:type="dxa"/>
            <w:vAlign w:val="bottom"/>
            <w:tcBorders>
              <w:bottom w:val="single" w:sz="8" w:color="auto"/>
            </w:tcBorders>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45.3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-864870</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-847725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-864870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-847725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-847725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left="520" w:right="400" w:hanging="512"/>
        <w:spacing w:after="0" w:line="261"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ind w:left="520" w:right="20" w:hanging="512"/>
        <w:spacing w:after="0" w:line="250"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and January 2030 Notes are presented net deferred financing costs and original issue discounts totaling $3.0 million, $9.1 million, $14.2 million and $8.6 million, respectively.</w:t>
      </w:r>
    </w:p>
    <w:p>
      <w:pPr>
        <w:ind w:left="520" w:hanging="512"/>
        <w:spacing w:after="0" w:line="255"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and January 2030 Notes are presented inclusive of an incremental $1.1 million and $24.1 million, respectively, which represents an adjustment in the carrying value of the 2029 Notes and January 2030 Notes, each resulting from a hedge accounting relationship.</w:t>
      </w:r>
    </w:p>
    <w:p>
      <w:pPr>
        <w:spacing w:after="0" w:line="1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0"/>
                <w:szCs w:val="10"/>
                <w:color w:val="auto"/>
              </w:rPr>
            </w:pPr>
          </w:p>
        </w:tc>
        <w:tc>
          <w:tcPr>
            <w:tcW w:w="138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18"/>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-24765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right="400" w:hanging="512"/>
        <w:spacing w:after="0" w:line="261"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ind w:left="520" w:right="280" w:hanging="512"/>
        <w:spacing w:after="0" w:line="260"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deferred financing costs of $3.7 million and $4.5 million, respectively.</w:t>
      </w:r>
    </w:p>
    <w:p>
      <w:pPr>
        <w:spacing w:after="0" w:line="181"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we were in compliance with the terms of our debt arrangements. We intend to continue to utilize our credit facility to fund investments and for other general corporate purposes.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22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2024 and December 31, 2023, we had the following commitments to fund investments in current portfolio companies: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9"/>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Apellis Pharmaceuticals, Inc.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Avalara, Inc. -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Elysium BidCo Limited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Heritage Environmental Services, Inc.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HireVue, Inc. -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Merit Software Finance Holdings, LLC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QSR Acquisition Co.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Bidco S.p.A.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9"/>
        </w:trPr>
        <w:tc>
          <w:tcPr>
            <w:tcW w:w="460" w:type="dxa"/>
            <w:vAlign w:val="bottom"/>
          </w:tcPr>
          <w:p>
            <w:pPr>
              <w:spacing w:after="0"/>
              <w:rPr>
                <w:sz w:val="21"/>
                <w:szCs w:val="21"/>
                <w:color w:val="auto"/>
              </w:rPr>
            </w:pPr>
          </w:p>
        </w:tc>
        <w:tc>
          <w:tcPr>
            <w:tcW w:w="6400" w:type="dxa"/>
            <w:vAlign w:val="bottom"/>
            <w:shd w:val="clear" w:color="auto" w:fill="CFF0FC"/>
          </w:tcPr>
          <w:p>
            <w:pPr>
              <w:ind w:left="20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520"/>
        </w:trPr>
        <w:tc>
          <w:tcPr>
            <w:tcW w:w="460" w:type="dxa"/>
            <w:vAlign w:val="bottom"/>
          </w:tcPr>
          <w:p>
            <w:pPr>
              <w:spacing w:after="0"/>
              <w:rPr>
                <w:sz w:val="24"/>
                <w:szCs w:val="24"/>
                <w:color w:val="auto"/>
              </w:rPr>
            </w:pPr>
          </w:p>
        </w:tc>
        <w:tc>
          <w:tcPr>
            <w:tcW w:w="6400" w:type="dxa"/>
            <w:vAlign w:val="bottom"/>
            <w:tcBorders>
              <w:top w:val="single" w:sz="8" w:color="CFF0FC"/>
            </w:tcBorders>
          </w:tcPr>
          <w:p>
            <w:pPr>
              <w:ind w:left="508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-864870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-847725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-864870</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-847725</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3" w:name="page84"/>
    <w:bookmarkEnd w:id="83"/>
    <w:p>
      <w:pPr>
        <w:jc w:val="both"/>
        <w:ind w:left="520" w:right="28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68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we did not have any unfunded commitments to fund investments to new borrowers that were not current portfolio companies as of such date.</w:t>
      </w:r>
    </w:p>
    <w:p>
      <w:pPr>
        <w:spacing w:after="0" w:line="54"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2024 and December 31, 2023, management was not aware of any material pending or threatened litigation that would require accounting recognition or financial statement disclosure.</w:t>
      </w:r>
    </w:p>
    <w:p>
      <w:pPr>
        <w:spacing w:after="0" w:line="68"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54"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2024 is as follows:</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0"/>
                <w:szCs w:val="10"/>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r>
              <w:rPr>
                <w:rFonts w:ascii="Times New Roman" w:cs="Times New Roman" w:eastAsia="Times New Roman" w:hAnsi="Times New Roman"/>
                <w:sz w:val="18"/>
                <w:szCs w:val="18"/>
                <w:u w:val="single" w:color="auto"/>
                <w:color w:val="auto"/>
              </w:rPr>
              <w:t>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r>
              <w:rPr>
                <w:rFonts w:ascii="Times New Roman" w:cs="Times New Roman" w:eastAsia="Times New Roman" w:hAnsi="Times New Roman"/>
                <w:sz w:val="18"/>
                <w:szCs w:val="18"/>
                <w:u w:val="single" w:color="auto"/>
                <w:color w:val="auto"/>
              </w:rPr>
              <w:t>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r>
              <w:rPr>
                <w:rFonts w:ascii="Times New Roman" w:cs="Times New Roman" w:eastAsia="Times New Roman" w:hAnsi="Times New Roman"/>
                <w:sz w:val="18"/>
                <w:szCs w:val="18"/>
                <w:u w:val="single" w:color="auto"/>
                <w:color w:val="auto"/>
              </w:rPr>
              <w:t>0</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220" w:hanging="257"/>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280" w:hanging="257"/>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shareholders) generally will not be subject to U.S. federal income tax on investment company taxable income and net capital gains that we distribute to our shareholders.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84" w:name="page85"/>
    <w:bookmarkEnd w:id="84"/>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w:t>
      </w:r>
      <w:r>
        <w:rPr>
          <w:rFonts w:ascii="Times New Roman" w:cs="Times New Roman" w:eastAsia="Times New Roman" w:hAnsi="Times New Roman"/>
          <w:sz w:val="18"/>
          <w:szCs w:val="18"/>
          <w:i w:val="1"/>
          <w:iCs w:val="1"/>
          <w:color w:val="auto"/>
        </w:rPr>
        <w:t>"ITEM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ind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54" w:lineRule="exact"/>
        <w:rPr>
          <w:sz w:val="20"/>
          <w:szCs w:val="20"/>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value of the portfolio company’s net debt and equity);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17" w:lineRule="exact"/>
        <w:rPr>
          <w:rFonts w:ascii="Times New Roman" w:cs="Times New Roman" w:eastAsia="Times New Roman" w:hAnsi="Times New Roman"/>
          <w:sz w:val="18"/>
          <w:szCs w:val="18"/>
          <w:color w:val="auto"/>
        </w:rPr>
      </w:pPr>
    </w:p>
    <w:p>
      <w:pPr>
        <w:ind w:left="520" w:right="240" w:hanging="257"/>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hanging="257"/>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2024,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17" w:lineRule="exact"/>
        <w:rPr>
          <w:rFonts w:ascii="Times New Roman" w:cs="Times New Roman" w:eastAsia="Times New Roman" w:hAnsi="Times New Roman"/>
          <w:sz w:val="18"/>
          <w:szCs w:val="18"/>
          <w:color w:val="auto"/>
        </w:rPr>
      </w:pPr>
    </w:p>
    <w:p>
      <w:pPr>
        <w:ind w:left="520" w:right="500" w:hanging="257"/>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86" w:name="page87"/>
    <w:bookmarkEnd w:id="86"/>
    <w:p>
      <w:pPr>
        <w:ind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4 to our consolidated financial statements included in this Form 10-K for more information on the fair value of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have also elected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p>
    <w:p>
      <w:pPr>
        <w:spacing w:after="0" w:line="180"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the Company did not have any uncertain tax positions that met the recognition or measurement criteria, nor did the Company have any unrecognized tax benefits. Our 2023 and 2022 tax year returns remain subject to examination by the relevant federal, state, and local tax authorities.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50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96.5% of our debt investments based on fair value in our portfolio bore interest at floating rates, with 100% of these subject to interest rate floors. Our Credit Facilities also bear interest at floating rates.</w:t>
      </w:r>
    </w:p>
    <w:p>
      <w:pPr>
        <w:spacing w:after="0" w:line="16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300" w:type="dxa"/>
            <w:vAlign w:val="bottom"/>
            <w:vMerge w:val="restart"/>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 300 basis points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200 basis points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tcPr>
          <w:p>
            <w:pPr>
              <w:spacing w:after="0"/>
              <w:rPr>
                <w:sz w:val="18"/>
                <w:szCs w:val="18"/>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 100 basis points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 25 basis points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(7.5 )</w:t>
            </w: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Down 50 basis points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(21.7 )</w:t>
            </w:r>
          </w:p>
        </w:tc>
        <w:tc>
          <w:tcPr>
            <w:tcW w:w="500" w:type="dxa"/>
            <w:vAlign w:val="bottom"/>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80" w:type="dxa"/>
            <w:vAlign w:val="bottom"/>
            <w:gridSpan w:val="7"/>
            <w:vMerge w:val="restart"/>
          </w:tcPr>
          <w:p>
            <w:pPr>
              <w:spacing w:after="0"/>
              <w:rPr>
                <w:sz w:val="14"/>
                <w:szCs w:val="14"/>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4"/>
        </w:trPr>
        <w:tc>
          <w:tcPr>
            <w:tcW w:w="4240" w:type="dxa"/>
            <w:vAlign w:val="bottom"/>
            <w:tcBorders>
              <w:bottom w:val="single" w:sz="8" w:color="0000FF"/>
            </w:tcBorders>
            <w:gridSpan w:val="5"/>
            <w:vMerge w:val="continue"/>
          </w:tcPr>
          <w:p>
            <w:pPr>
              <w:spacing w:after="0"/>
              <w:rPr>
                <w:sz w:val="14"/>
                <w:szCs w:val="14"/>
                <w:color w:val="auto"/>
              </w:rPr>
            </w:pPr>
          </w:p>
        </w:tc>
        <w:tc>
          <w:tcPr>
            <w:tcW w:w="5880" w:type="dxa"/>
            <w:vAlign w:val="bottom"/>
            <w:gridSpan w:val="7"/>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18"/>
        </w:trPr>
        <w:tc>
          <w:tcPr>
            <w:tcW w:w="566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 as of December 31, 2024 and December 31, 2023</w:t>
            </w:r>
          </w:p>
        </w:tc>
        <w:tc>
          <w:tcPr>
            <w:tcW w:w="20" w:type="dxa"/>
            <w:vAlign w:val="bottom"/>
            <w:tcBorders>
              <w:bottom w:val="single" w:sz="8" w:color="0000EE"/>
            </w:tcBorders>
          </w:tcPr>
          <w:p>
            <w:pPr>
              <w:spacing w:after="0"/>
              <w:rPr>
                <w:sz w:val="24"/>
                <w:szCs w:val="24"/>
                <w:color w:val="auto"/>
              </w:rPr>
            </w:pPr>
          </w:p>
        </w:tc>
        <w:tc>
          <w:tcPr>
            <w:tcW w:w="444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18"/>
        </w:trPr>
        <w:tc>
          <w:tcPr>
            <w:tcW w:w="96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 of Operations for the Years Ended December 31, 2024, December 31, 2023 and for the period April 5, 2022</w:t>
            </w:r>
          </w:p>
        </w:tc>
        <w:tc>
          <w:tcPr>
            <w:tcW w:w="52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1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(Inception) through December 31, 2022</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4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Schedule of Investments as of December 31, 2024 and December 31, 2023</w:t>
            </w:r>
          </w:p>
        </w:tc>
        <w:tc>
          <w:tcPr>
            <w:tcW w:w="36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18"/>
        </w:trPr>
        <w:tc>
          <w:tcPr>
            <w:tcW w:w="982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Changes in Net Assets for the Years Ended December 31, 2024, December 31, 2023 and for the period from</w:t>
            </w:r>
          </w:p>
        </w:tc>
        <w:tc>
          <w:tcPr>
            <w:tcW w:w="30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April 5, 2022 (Inception) through December 31, 2022</w:t>
            </w:r>
          </w:p>
        </w:tc>
        <w:tc>
          <w:tcPr>
            <w:tcW w:w="20" w:type="dxa"/>
            <w:vAlign w:val="bottom"/>
            <w:tcBorders>
              <w:bottom w:val="single" w:sz="8" w:color="0000EE"/>
            </w:tcBorders>
          </w:tcPr>
          <w:p>
            <w:pPr>
              <w:spacing w:after="0"/>
              <w:rPr>
                <w:sz w:val="17"/>
                <w:szCs w:val="17"/>
                <w:color w:val="auto"/>
              </w:rPr>
            </w:pPr>
          </w:p>
        </w:tc>
        <w:tc>
          <w:tcPr>
            <w:tcW w:w="620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F-15</w:t>
            </w:r>
          </w:p>
        </w:tc>
        <w:tc>
          <w:tcPr>
            <w:tcW w:w="0" w:type="dxa"/>
            <w:vAlign w:val="bottom"/>
          </w:tcPr>
          <w:p>
            <w:pPr>
              <w:spacing w:after="0"/>
              <w:rPr>
                <w:sz w:val="1"/>
                <w:szCs w:val="1"/>
                <w:color w:val="auto"/>
              </w:rPr>
            </w:pPr>
          </w:p>
        </w:tc>
      </w:tr>
      <w:tr>
        <w:trPr>
          <w:trHeight w:val="318"/>
        </w:trPr>
        <w:tc>
          <w:tcPr>
            <w:tcW w:w="101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Cash Flows for the Year Ended December 31, 2024, December 31, 2023 and for the period from April 5, 2022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tcBorders>
              <w:left w:val="single" w:sz="8" w:color="0000FF"/>
              <w:right w:val="single" w:sz="8" w:color="0000FF"/>
            </w:tcBorders>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20" w:type="dxa"/>
            <w:vAlign w:val="bottom"/>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(Inception) through December 31, 2022</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20"/>
        </w:trPr>
        <w:tc>
          <w:tcPr>
            <w:tcW w:w="29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885"/>
        </w:trPr>
        <w:tc>
          <w:tcPr>
            <w:tcW w:w="29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80" w:type="dxa"/>
            <w:vAlign w:val="bottom"/>
            <w:gridSpan w:val="7"/>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Sixth Street Lending Partners and subsidiaries (the Company), including the consolidated schedules of investments, as of December 31, 2024 and 2023, the related consolidated statements of operations, changes in net assets, and cash flows for each of the years in the two-year period ended December 31, 2024 and for the period from April 5, 2022 (inception) to December 31, 2022,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and for the period from April 5, 2022 (inception) to December 31, 2022,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2024 and 2023,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$7,079,994 and $3,037,826, respectively)</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7,244,282</w:t>
            </w:r>
          </w:p>
        </w:tc>
        <w:tc>
          <w:tcPr>
            <w:tcW w:w="5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3,099,151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$43,371 and $0, respectively)</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1,198,013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67,896</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3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8,513,442</w:t>
            </w:r>
          </w:p>
        </w:tc>
        <w:tc>
          <w:tcPr>
            <w:tcW w:w="560" w:type="dxa"/>
            <w:vAlign w:val="bottom"/>
            <w:gridSpan w:val="2"/>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3,138,265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2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$28,306 and $8,153, respectively)</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4,288,601</w:t>
            </w:r>
          </w:p>
        </w:tc>
        <w:tc>
          <w:tcPr>
            <w:tcW w:w="5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1,239,862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16,232</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93,939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42,605</w:t>
            </w:r>
          </w:p>
        </w:tc>
        <w:tc>
          <w:tcPr>
            <w:tcW w:w="2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4,476,972</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1,321,198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shares, $0.001 par value; unlimited shares authorized (140,208,028 and 65,478,775, shares issued and</w:t>
            </w:r>
          </w:p>
        </w:tc>
        <w:tc>
          <w:tcPr>
            <w:tcW w:w="28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respectively)</w:t>
            </w:r>
          </w:p>
        </w:tc>
        <w:tc>
          <w:tcPr>
            <w:tcW w:w="28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3,923,739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28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112,591</w:t>
            </w:r>
          </w:p>
        </w:tc>
        <w:tc>
          <w:tcPr>
            <w:tcW w:w="2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82,576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4,036,470</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1,817,067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8,513,442</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3,138,265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20" w:type="dxa"/>
            <w:vAlign w:val="bottom"/>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28.79</w:t>
            </w:r>
          </w:p>
        </w:tc>
        <w:tc>
          <w:tcPr>
            <w:tcW w:w="560" w:type="dxa"/>
            <w:vAlign w:val="bottom"/>
            <w:gridSpan w:val="2"/>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-1807845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-1791335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-1028065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-350520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-145415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ind w:left="44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7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5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592,789</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222,295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5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Pr>
          <w:p>
            <w:pPr>
              <w:spacing w:after="0"/>
              <w:rPr>
                <w:sz w:val="14"/>
                <w:szCs w:val="14"/>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35,987</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9,352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680" w:type="dxa"/>
            <w:vAlign w:val="bottom"/>
            <w:tcBorders>
              <w:top w:val="single" w:sz="8" w:color="CFF0FC"/>
              <w:bottom w:val="single" w:sz="8" w:color="CFF0FC"/>
            </w:tcBorders>
            <w:shd w:val="clear" w:color="auto" w:fill="CFF0FC"/>
          </w:tcPr>
          <w:p>
            <w:pPr>
              <w:ind w:left="560"/>
              <w:spacing w:after="0" w:line="136"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144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668,764</w:t>
            </w:r>
          </w:p>
        </w:tc>
        <w:tc>
          <w:tcPr>
            <w:tcW w:w="340" w:type="dxa"/>
            <w:vAlign w:val="bottom"/>
            <w:tcBorders>
              <w:top w:val="single" w:sz="8" w:color="CFF0FC"/>
              <w:bottom w:val="single" w:sz="8" w:color="CFF0FC"/>
            </w:tcBorders>
            <w:shd w:val="clear" w:color="auto" w:fill="CFF0FC"/>
          </w:tcPr>
          <w:p>
            <w:pPr>
              <w:spacing w:after="0"/>
              <w:rPr>
                <w:sz w:val="11"/>
                <w:szCs w:val="11"/>
                <w:color w:val="auto"/>
              </w:rPr>
            </w:pPr>
          </w:p>
        </w:tc>
        <w:tc>
          <w:tcPr>
            <w:tcW w:w="180" w:type="dxa"/>
            <w:vAlign w:val="bottom"/>
            <w:tcBorders>
              <w:top w:val="single" w:sz="8" w:color="CFF0FC"/>
              <w:bottom w:val="single" w:sz="8" w:color="auto"/>
            </w:tcBorders>
            <w:shd w:val="clear" w:color="auto" w:fill="CFF0FC"/>
          </w:tcPr>
          <w:p>
            <w:pPr>
              <w:spacing w:after="0"/>
              <w:rPr>
                <w:sz w:val="11"/>
                <w:szCs w:val="11"/>
                <w:color w:val="auto"/>
              </w:rPr>
            </w:pPr>
          </w:p>
        </w:tc>
        <w:tc>
          <w:tcPr>
            <w:tcW w:w="1520" w:type="dxa"/>
            <w:vAlign w:val="bottom"/>
            <w:tcBorders>
              <w:top w:val="single" w:sz="8" w:color="CFF0FC"/>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246,073</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148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17,154</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191,989</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72,356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67,847</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54,664</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(losses)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Organizational expense</w:t>
            </w:r>
          </w:p>
        </w:tc>
        <w:tc>
          <w:tcPr>
            <w:tcW w:w="14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expense</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5,563</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Trustees’ fees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5,839</w:t>
            </w:r>
          </w:p>
        </w:tc>
        <w:tc>
          <w:tcPr>
            <w:tcW w:w="3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4,304</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345,543</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133,036</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fees waived (Note 3)</w:t>
            </w:r>
          </w:p>
        </w:tc>
        <w:tc>
          <w:tcPr>
            <w:tcW w:w="14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(43,796 )</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(16,742 )</w:t>
            </w:r>
          </w:p>
        </w:tc>
        <w:tc>
          <w:tcPr>
            <w:tcW w:w="1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(1,992 )</w:t>
            </w:r>
          </w:p>
        </w:tc>
        <w:tc>
          <w:tcPr>
            <w:tcW w:w="0" w:type="dxa"/>
            <w:vAlign w:val="bottom"/>
          </w:tcPr>
          <w:p>
            <w:pPr>
              <w:spacing w:after="0"/>
              <w:rPr>
                <w:sz w:val="1"/>
                <w:szCs w:val="1"/>
                <w:color w:val="auto"/>
              </w:rPr>
            </w:pPr>
          </w:p>
        </w:tc>
      </w:tr>
      <w:tr>
        <w:trPr>
          <w:trHeight w:val="142"/>
        </w:trPr>
        <w:tc>
          <w:tcPr>
            <w:tcW w:w="568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301,747</w:t>
            </w:r>
          </w:p>
        </w:tc>
        <w:tc>
          <w:tcPr>
            <w:tcW w:w="34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116,294</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367,017</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129,779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364,848</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128,279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102,963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31,061</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(4,799 )</w:t>
            </w:r>
          </w:p>
        </w:tc>
        <w:tc>
          <w:tcPr>
            <w:tcW w:w="1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(1,434 )</w:t>
            </w:r>
          </w:p>
        </w:tc>
        <w:tc>
          <w:tcPr>
            <w:tcW w:w="0" w:type="dxa"/>
            <w:vAlign w:val="bottom"/>
          </w:tcPr>
          <w:p>
            <w:pPr>
              <w:spacing w:after="0"/>
              <w:rPr>
                <w:sz w:val="1"/>
                <w:szCs w:val="1"/>
                <w:color w:val="auto"/>
              </w:rPr>
            </w:pPr>
          </w:p>
        </w:tc>
      </w:tr>
      <w:tr>
        <w:trPr>
          <w:trHeight w:val="142"/>
        </w:trPr>
        <w:tc>
          <w:tcPr>
            <w:tcW w:w="56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134,024</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56,755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42"/>
        </w:trPr>
        <w:tc>
          <w:tcPr>
            <w:tcW w:w="5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(1,045 )</w:t>
            </w:r>
          </w:p>
        </w:tc>
        <w:tc>
          <w:tcPr>
            <w:tcW w:w="1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1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7,068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(1,045 )</w:t>
            </w:r>
          </w:p>
        </w:tc>
        <w:tc>
          <w:tcPr>
            <w:tcW w:w="140" w:type="dxa"/>
            <w:vAlign w:val="bottom"/>
          </w:tcPr>
          <w:p>
            <w:pPr>
              <w:spacing w:after="0"/>
              <w:rPr>
                <w:sz w:val="12"/>
                <w:szCs w:val="12"/>
                <w:color w:val="auto"/>
              </w:rPr>
            </w:pPr>
          </w:p>
        </w:tc>
        <w:tc>
          <w:tcPr>
            <w:tcW w:w="1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shd w:val="clear" w:color="auto" w:fill="CFF0FC"/>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141,092</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55,710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(1,743 )</w:t>
            </w:r>
          </w:p>
        </w:tc>
        <w:tc>
          <w:tcPr>
            <w:tcW w:w="0" w:type="dxa"/>
            <w:vAlign w:val="bottom"/>
          </w:tcPr>
          <w:p>
            <w:pPr>
              <w:spacing w:after="0"/>
              <w:rPr>
                <w:sz w:val="1"/>
                <w:szCs w:val="1"/>
                <w:color w:val="auto"/>
              </w:rPr>
            </w:pPr>
          </w:p>
        </w:tc>
      </w:tr>
      <w:tr>
        <w:trPr>
          <w:trHeight w:val="142"/>
        </w:trPr>
        <w:tc>
          <w:tcPr>
            <w:tcW w:w="5680" w:type="dxa"/>
            <w:vAlign w:val="bottom"/>
            <w:tcBorders>
              <w:top w:val="single" w:sz="8" w:color="CFF0FC"/>
            </w:tcBorders>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505,940</w:t>
            </w:r>
          </w:p>
        </w:tc>
        <w:tc>
          <w:tcPr>
            <w:tcW w:w="34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183,989</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3,847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80" w:type="dxa"/>
            <w:vAlign w:val="bottom"/>
            <w:vMerge w:val="continue"/>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5.61</w:t>
            </w:r>
          </w:p>
        </w:tc>
        <w:tc>
          <w:tcPr>
            <w:tcW w:w="340" w:type="dxa"/>
            <w:vAlign w:val="bottom"/>
          </w:tcPr>
          <w:p>
            <w:pPr>
              <w:spacing w:after="0"/>
              <w:rPr>
                <w:sz w:val="8"/>
                <w:szCs w:val="8"/>
                <w:color w:val="auto"/>
              </w:rPr>
            </w:pPr>
          </w:p>
        </w:tc>
        <w:tc>
          <w:tcPr>
            <w:tcW w:w="180" w:type="dxa"/>
            <w:vAlign w:val="bottom"/>
          </w:tcPr>
          <w:p>
            <w:pPr>
              <w:jc w:val="right"/>
              <w:ind w:right="1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5.30</w:t>
            </w:r>
          </w:p>
        </w:tc>
        <w:tc>
          <w:tcPr>
            <w:tcW w:w="22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0.55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4"/>
                <w:szCs w:val="14"/>
                <w:color w:val="auto"/>
              </w:rPr>
              <w:t xml:space="preserve">7,034,869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90,180,335</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34,746,777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-2987040</wp:posOffset>
            </wp:positionV>
            <wp:extent cx="10223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235"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-2870835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-2987040</wp:posOffset>
            </wp:positionV>
            <wp:extent cx="9398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-1919605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-1713865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-946150</wp:posOffset>
            </wp:positionV>
            <wp:extent cx="102235" cy="136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-946150</wp:posOffset>
            </wp:positionV>
            <wp:extent cx="93980" cy="136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-946150</wp:posOffset>
            </wp:positionV>
            <wp:extent cx="93980" cy="1365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-539115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-334010</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of Common Shares outstanding are calculated from the Commencement of Operations through December 31, 2022.</w:t>
      </w:r>
    </w:p>
    <w:p>
      <w:pPr>
        <w:spacing w:after="0" w:line="225"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93" w:name="page94"/>
    <w:bookmarkEnd w:id="93"/>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00" w:type="dxa"/>
            <w:vAlign w:val="bottom"/>
          </w:tcPr>
          <w:p>
            <w:pPr>
              <w:spacing w:after="0"/>
              <w:rPr>
                <w:sz w:val="16"/>
                <w:szCs w:val="16"/>
                <w:color w:val="auto"/>
              </w:rPr>
            </w:pPr>
          </w:p>
        </w:tc>
        <w:tc>
          <w:tcPr>
            <w:tcW w:w="2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0" w:type="dxa"/>
            <w:vAlign w:val="bottom"/>
          </w:tcPr>
          <w:p>
            <w:pPr>
              <w:spacing w:after="0"/>
              <w:rPr>
                <w:sz w:val="1"/>
                <w:szCs w:val="1"/>
                <w:color w:val="auto"/>
              </w:rPr>
            </w:pPr>
          </w:p>
        </w:tc>
      </w:tr>
      <w:tr>
        <w:trPr>
          <w:trHeight w:val="108"/>
        </w:trPr>
        <w:tc>
          <w:tcPr>
            <w:tcW w:w="18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Debt Investments</w:t>
            </w:r>
          </w:p>
        </w:tc>
        <w:tc>
          <w:tcPr>
            <w:tcW w:w="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Truck-Lite Co., LLC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2"/>
                <w:szCs w:val="12"/>
                <w:color w:val="auto"/>
              </w:rPr>
            </w:pPr>
          </w:p>
        </w:tc>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First-lien loan ($280,937 par, due 2/2031)</w:t>
            </w:r>
          </w:p>
        </w:tc>
        <w:tc>
          <w:tcPr>
            <w:tcW w:w="0" w:type="dxa"/>
            <w:vAlign w:val="bottom"/>
          </w:tcPr>
          <w:p>
            <w:pPr>
              <w:spacing w:after="0"/>
              <w:rPr>
                <w:sz w:val="1"/>
                <w:szCs w:val="1"/>
                <w:color w:val="auto"/>
              </w:rPr>
            </w:pPr>
          </w:p>
        </w:tc>
      </w:tr>
      <w:tr>
        <w:trPr>
          <w:trHeight w:val="128"/>
        </w:trPr>
        <w:tc>
          <w:tcPr>
            <w:tcW w:w="1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2"/>
                <w:szCs w:val="12"/>
                <w:color w:val="auto"/>
              </w:rPr>
            </w:pPr>
          </w:p>
        </w:tc>
        <w:tc>
          <w:tcPr>
            <w:tcW w:w="24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First-lien loan ($114,848 par, due 11/2029)</w:t>
            </w: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51,863 par, due 11/2029)</w:t>
            </w:r>
          </w:p>
        </w:tc>
        <w:tc>
          <w:tcPr>
            <w:tcW w:w="0" w:type="dxa"/>
            <w:vAlign w:val="bottom"/>
          </w:tcPr>
          <w:p>
            <w:pPr>
              <w:spacing w:after="0"/>
              <w:rPr>
                <w:sz w:val="1"/>
                <w:szCs w:val="1"/>
                <w:color w:val="auto"/>
              </w:rPr>
            </w:pPr>
          </w:p>
        </w:tc>
      </w:tr>
      <w:tr>
        <w:trPr>
          <w:trHeight w:val="232"/>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Azurite Intermediate Holdings, Inc.</w:t>
            </w:r>
          </w:p>
        </w:tc>
        <w:tc>
          <w:tcPr>
            <w:tcW w:w="1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($213,750 par, due 3/2031)</w:t>
            </w:r>
          </w:p>
        </w:tc>
        <w:tc>
          <w:tcPr>
            <w:tcW w:w="0" w:type="dxa"/>
            <w:vAlign w:val="bottom"/>
          </w:tcPr>
          <w:p>
            <w:pPr>
              <w:spacing w:after="0"/>
              <w:rPr>
                <w:sz w:val="1"/>
                <w:szCs w:val="1"/>
                <w:color w:val="auto"/>
              </w:rPr>
            </w:pPr>
          </w:p>
        </w:tc>
      </w:tr>
      <w:tr>
        <w:trPr>
          <w:trHeight w:val="92"/>
        </w:trPr>
        <w:tc>
          <w:tcPr>
            <w:tcW w:w="1860" w:type="dxa"/>
            <w:vAlign w:val="bottom"/>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 xml:space="preserve">BCTO Ignition Purchaser, Inc.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2"/>
                <w:szCs w:val="12"/>
                <w:color w:val="auto"/>
              </w:rPr>
            </w:pPr>
          </w:p>
        </w:tc>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First-lien holdco loan ($120,769 par, due</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tc>
        <w:tc>
          <w:tcPr>
            <w:tcW w:w="25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10/2030)</w:t>
            </w:r>
          </w:p>
        </w:tc>
        <w:tc>
          <w:tcPr>
            <w:tcW w:w="0" w:type="dxa"/>
            <w:vAlign w:val="bottom"/>
          </w:tcPr>
          <w:p>
            <w:pPr>
              <w:spacing w:after="0"/>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First-lien loan ($154,281 par, due 11/2030)</w:t>
            </w:r>
          </w:p>
        </w:tc>
        <w:tc>
          <w:tcPr>
            <w:tcW w:w="0" w:type="dxa"/>
            <w:vAlign w:val="bottom"/>
          </w:tcPr>
          <w:p>
            <w:pPr>
              <w:spacing w:after="0"/>
              <w:rPr>
                <w:sz w:val="1"/>
                <w:szCs w:val="1"/>
                <w:color w:val="auto"/>
              </w:rPr>
            </w:pPr>
          </w:p>
        </w:tc>
      </w:tr>
      <w:tr>
        <w:trPr>
          <w:trHeight w:val="135"/>
        </w:trPr>
        <w:tc>
          <w:tcPr>
            <w:tcW w:w="18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5"/>
                <w:szCs w:val="15"/>
                <w:color w:val="auto"/>
                <w:vertAlign w:val="superscript"/>
              </w:rPr>
              <w:t>(3)(4)(12)</w:t>
            </w:r>
          </w:p>
        </w:tc>
        <w:tc>
          <w:tcPr>
            <w:tcW w:w="100" w:type="dxa"/>
            <w:vAlign w:val="bottom"/>
          </w:tcPr>
          <w:p>
            <w:pPr>
              <w:spacing w:after="0"/>
              <w:rPr>
                <w:sz w:val="11"/>
                <w:szCs w:val="11"/>
                <w:color w:val="auto"/>
              </w:rPr>
            </w:pPr>
          </w:p>
        </w:tc>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First-lien loan ($955 par, due 4/2031)</w:t>
            </w:r>
          </w:p>
        </w:tc>
        <w:tc>
          <w:tcPr>
            <w:tcW w:w="0" w:type="dxa"/>
            <w:vAlign w:val="bottom"/>
          </w:tcPr>
          <w:p>
            <w:pPr>
              <w:spacing w:after="0"/>
              <w:rPr>
                <w:sz w:val="1"/>
                <w:szCs w:val="1"/>
                <w:color w:val="auto"/>
              </w:rPr>
            </w:pPr>
          </w:p>
        </w:tc>
      </w:tr>
      <w:tr>
        <w:trPr>
          <w:trHeight w:val="220"/>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1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($45,917 par, due 4/2031)</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(GBP 115,946 par, due 4/2031)</w:t>
            </w:r>
          </w:p>
        </w:tc>
        <w:tc>
          <w:tcPr>
            <w:tcW w:w="0" w:type="dxa"/>
            <w:vAlign w:val="bottom"/>
          </w:tcPr>
          <w:p>
            <w:pPr>
              <w:spacing w:after="0"/>
              <w:rPr>
                <w:sz w:val="1"/>
                <w:szCs w:val="1"/>
                <w:color w:val="auto"/>
              </w:rPr>
            </w:pPr>
          </w:p>
        </w:tc>
      </w:tr>
      <w:tr>
        <w:trPr>
          <w:trHeight w:val="241"/>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($149,549 par, due 5/2030)</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First-lien revolving loan ($10,769 par, due</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6"/>
                <w:szCs w:val="16"/>
                <w:color w:val="auto"/>
                <w:vertAlign w:val="superscript"/>
              </w:rPr>
              <w:t>(3)(4)</w:t>
            </w:r>
          </w:p>
        </w:tc>
        <w:tc>
          <w:tcPr>
            <w:tcW w:w="25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5/2030)</w:t>
            </w:r>
          </w:p>
        </w:tc>
        <w:tc>
          <w:tcPr>
            <w:tcW w:w="0" w:type="dxa"/>
            <w:vAlign w:val="bottom"/>
          </w:tcPr>
          <w:p>
            <w:pPr>
              <w:spacing w:after="0"/>
              <w:rPr>
                <w:sz w:val="1"/>
                <w:szCs w:val="1"/>
                <w:color w:val="auto"/>
              </w:rPr>
            </w:pPr>
          </w:p>
        </w:tc>
      </w:tr>
      <w:tr>
        <w:trPr>
          <w:trHeight w:val="209"/>
        </w:trPr>
        <w:tc>
          <w:tcPr>
            <w:tcW w:w="1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($39,996 par, due 7/2031)</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16,816 par, due 7/2031)</w:t>
            </w:r>
          </w:p>
        </w:tc>
        <w:tc>
          <w:tcPr>
            <w:tcW w:w="0" w:type="dxa"/>
            <w:vAlign w:val="bottom"/>
          </w:tcPr>
          <w:p>
            <w:pPr>
              <w:spacing w:after="0"/>
              <w:rPr>
                <w:sz w:val="1"/>
                <w:szCs w:val="1"/>
                <w:color w:val="auto"/>
              </w:rPr>
            </w:pPr>
          </w:p>
        </w:tc>
      </w:tr>
      <w:tr>
        <w:trPr>
          <w:trHeight w:val="315"/>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1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41"/>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($103,491 par, due 4/2031)</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First-lien revolving loan ($4,122 par, due</w:t>
            </w: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25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4/2030)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0"/>
              </w:rPr>
              <w:t xml:space="preserve">Fair Value </w:t>
            </w:r>
            <w:r>
              <w:rPr>
                <w:rFonts w:ascii="Times New Roman" w:cs="Times New Roman" w:eastAsia="Times New Roman" w:hAnsi="Times New Roman"/>
                <w:sz w:val="16"/>
                <w:szCs w:val="16"/>
                <w:b w:val="1"/>
                <w:bCs w:val="1"/>
                <w:color w:val="auto"/>
                <w:w w:val="90"/>
                <w:vertAlign w:val="superscript"/>
              </w:rPr>
              <w:t>(6)</w:t>
            </w:r>
          </w:p>
        </w:tc>
        <w:tc>
          <w:tcPr>
            <w:tcW w:w="200" w:type="dxa"/>
            <w:vAlign w:val="bottom"/>
          </w:tcPr>
          <w:p>
            <w:pPr>
              <w:spacing w:after="0"/>
              <w:rPr>
                <w:sz w:val="11"/>
                <w:szCs w:val="11"/>
                <w:color w:val="auto"/>
              </w:rPr>
            </w:pPr>
          </w:p>
        </w:tc>
        <w:tc>
          <w:tcPr>
            <w:tcW w:w="10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8"/>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+ 5.75%</w:t>
            </w:r>
          </w:p>
        </w:tc>
        <w:tc>
          <w:tcPr>
            <w:tcW w:w="17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10.27 %  $</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281,792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+ 7.00%</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11.39 %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114,848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10.05 %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54,775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53,704</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51,863)</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+ 6.50%</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10.86 %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212,562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4/18/2023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+ 8.50%</w:t>
            </w:r>
          </w:p>
        </w:tc>
        <w:tc>
          <w:tcPr>
            <w:tcW w:w="220" w:type="dxa"/>
            <w:vAlign w:val="bottom"/>
          </w:tcPr>
          <w:p>
            <w:pPr>
              <w:spacing w:after="0"/>
              <w:rPr>
                <w:sz w:val="19"/>
                <w:szCs w:val="19"/>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13.13% PIK</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123,184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+ 6.75%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11.11 %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150,499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155,553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+ 4.10%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8.43 %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964</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+ 4.97%</w:t>
            </w:r>
          </w:p>
        </w:tc>
        <w:tc>
          <w:tcPr>
            <w:tcW w:w="220" w:type="dxa"/>
            <w:vAlign w:val="bottom"/>
          </w:tcPr>
          <w:p>
            <w:pPr>
              <w:spacing w:after="0"/>
              <w:rPr>
                <w:sz w:val="11"/>
                <w:szCs w:val="11"/>
                <w:color w:val="auto"/>
              </w:rPr>
            </w:pPr>
          </w:p>
        </w:tc>
        <w:tc>
          <w:tcPr>
            <w:tcW w:w="154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9.33% (incl. 1.97%</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45,546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45,917</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 + 5.25%</w:t>
            </w:r>
          </w:p>
        </w:tc>
        <w:tc>
          <w:tcPr>
            <w:tcW w:w="220" w:type="dxa"/>
            <w:vAlign w:val="bottom"/>
          </w:tcPr>
          <w:p>
            <w:pPr>
              <w:spacing w:after="0"/>
              <w:rPr>
                <w:sz w:val="11"/>
                <w:szCs w:val="11"/>
                <w:color w:val="auto"/>
              </w:rPr>
            </w:pPr>
          </w:p>
        </w:tc>
        <w:tc>
          <w:tcPr>
            <w:tcW w:w="154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9.95% (incl. 2.25%</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144,105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145,210</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3.6 %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3"/>
              </w:rPr>
              <w:t>(GBP 115,946)</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10.08 %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146,131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149,549</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10.08 %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+ 7.11%</w:t>
            </w:r>
          </w:p>
        </w:tc>
        <w:tc>
          <w:tcPr>
            <w:tcW w:w="220" w:type="dxa"/>
            <w:vAlign w:val="bottom"/>
          </w:tcPr>
          <w:p>
            <w:pPr>
              <w:spacing w:after="0"/>
              <w:rPr>
                <w:sz w:val="20"/>
                <w:szCs w:val="20"/>
                <w:color w:val="auto"/>
              </w:rPr>
            </w:pP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11.75% (incl. 5.61%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38,963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+ 7.11%</w:t>
            </w:r>
          </w:p>
        </w:tc>
        <w:tc>
          <w:tcPr>
            <w:tcW w:w="220" w:type="dxa"/>
            <w:vAlign w:val="bottom"/>
          </w:tcPr>
          <w:p>
            <w:pPr>
              <w:spacing w:after="0"/>
              <w:rPr>
                <w:sz w:val="11"/>
                <w:szCs w:val="11"/>
                <w:color w:val="auto"/>
              </w:rPr>
            </w:pPr>
          </w:p>
        </w:tc>
        <w:tc>
          <w:tcPr>
            <w:tcW w:w="154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10.38% (incl. 5.61%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17,822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17,196</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16,606)</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10/27/2023</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10.06 %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947</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915)</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12/19/2024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+ 6.25%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9.12 %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887)</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9.62 %</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103,491</w:t>
            </w: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9.59 %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-2552065</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-2380615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-2209165</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-1951990</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-1635125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-1463675</wp:posOffset>
            </wp:positionV>
            <wp:extent cx="713232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-1120775</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-863600</wp:posOffset>
            </wp:positionV>
            <wp:extent cx="713232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-520700</wp:posOffset>
            </wp:positionV>
            <wp:extent cx="713232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-177800</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440" w:space="100"/>
            <w:col w:w="6700"/>
          </w:cols>
          <w:pgMar w:left="320" w:top="969" w:right="339" w:bottom="1440" w:gutter="0" w:footer="0" w:header="0"/>
        </w:sectPr>
      </w:pPr>
    </w:p>
    <w:tbl>
      <w:tblPr>
        <w:tblLayout w:type="fixed"/>
        <w:tblInd w:w="0" w:type="dxa"/>
        <w:tblCellMar>
          <w:top w:w="0" w:type="dxa"/>
          <w:left w:w="0" w:type="dxa"/>
          <w:bottom w:w="0" w:type="dxa"/>
          <w:right w:w="0" w:type="dxa"/>
        </w:tblCellMar>
      </w:tblPr>
      <w:tr>
        <w:trPr>
          <w:trHeight w:val="21"/>
        </w:trPr>
        <w:tc>
          <w:tcPr>
            <w:tcW w:w="1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9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27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($123,938 par, due 9/2029)</w:t>
            </w:r>
          </w:p>
        </w:tc>
        <w:tc>
          <w:tcPr>
            <w:tcW w:w="88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060" w:type="dxa"/>
            <w:vAlign w:val="bottom"/>
            <w:shd w:val="clear" w:color="auto" w:fill="CFF0FC"/>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46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10.38 %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121,342</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125,501</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3.1 %</w:t>
            </w:r>
          </w:p>
        </w:tc>
      </w:tr>
      <w:tr>
        <w:trPr>
          <w:trHeight w:val="20"/>
        </w:trPr>
        <w:tc>
          <w:tcPr>
            <w:tcW w:w="190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19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1,279,337</w:t>
            </w: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1,303,618</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32.3 %</w:t>
            </w:r>
          </w:p>
        </w:tc>
      </w:tr>
      <w:tr>
        <w:trPr>
          <w:trHeight w:val="128"/>
        </w:trPr>
        <w:tc>
          <w:tcPr>
            <w:tcW w:w="19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9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27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8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6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10.06 %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6,961</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7,650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0.3 %</w:t>
            </w:r>
          </w:p>
        </w:tc>
      </w:tr>
      <w:tr>
        <w:trPr>
          <w:trHeight w:val="153"/>
        </w:trPr>
        <w:tc>
          <w:tcPr>
            <w:tcW w:w="1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7,388)</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900" w:type="dxa"/>
            <w:vAlign w:val="bottom"/>
            <w:shd w:val="clear" w:color="auto" w:fill="CFF0FC"/>
          </w:tcPr>
          <w:p>
            <w:pPr>
              <w:spacing w:after="0"/>
              <w:rPr>
                <w:sz w:val="10"/>
                <w:szCs w:val="10"/>
                <w:color w:val="auto"/>
              </w:rPr>
            </w:pPr>
          </w:p>
        </w:tc>
        <w:tc>
          <w:tcPr>
            <w:tcW w:w="27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19,592 par, due 9/2028)</w:t>
            </w:r>
          </w:p>
        </w:tc>
        <w:tc>
          <w:tcPr>
            <w:tcW w:w="88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6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6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11.70 %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23,039</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24,904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0.6 %</w:t>
            </w:r>
          </w:p>
        </w:tc>
      </w:tr>
      <w:tr>
        <w:trPr>
          <w:trHeight w:val="153"/>
        </w:trPr>
        <w:tc>
          <w:tcPr>
            <w:tcW w:w="190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19,885)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900" w:type="dxa"/>
            <w:vAlign w:val="bottom"/>
          </w:tcPr>
          <w:p>
            <w:pPr>
              <w:spacing w:after="0"/>
              <w:rPr>
                <w:sz w:val="10"/>
                <w:szCs w:val="10"/>
                <w:color w:val="auto"/>
              </w:rPr>
            </w:pPr>
          </w:p>
        </w:tc>
        <w:tc>
          <w:tcPr>
            <w:tcW w:w="27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(NOK 7,427 par, due 9/2028)</w:t>
            </w:r>
          </w:p>
        </w:tc>
        <w:tc>
          <w:tcPr>
            <w:tcW w:w="88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N + 7.00%</w:t>
            </w:r>
          </w:p>
        </w:tc>
        <w:tc>
          <w:tcPr>
            <w:tcW w:w="146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11.69 %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711</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664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r>
      <w:tr>
        <w:trPr>
          <w:trHeight w:val="153"/>
        </w:trPr>
        <w:tc>
          <w:tcPr>
            <w:tcW w:w="1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(NOK 7,538)</w:t>
            </w:r>
          </w:p>
        </w:tc>
        <w:tc>
          <w:tcPr>
            <w:tcW w:w="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9"/>
        </w:trPr>
        <w:tc>
          <w:tcPr>
            <w:tcW w:w="19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30,711</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33,218</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0.9 %</w:t>
            </w:r>
          </w:p>
        </w:tc>
      </w:tr>
      <w:tr>
        <w:trPr>
          <w:trHeight w:val="128"/>
        </w:trPr>
        <w:tc>
          <w:tcPr>
            <w:tcW w:w="19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27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60" w:type="dxa"/>
            <w:vAlign w:val="bottom"/>
            <w:tcBorders>
              <w:top w:val="single" w:sz="8" w:color="CFF0FC"/>
            </w:tcBorders>
          </w:tcPr>
          <w:p>
            <w:pPr>
              <w:spacing w:after="0"/>
              <w:rPr>
                <w:sz w:val="11"/>
                <w:szCs w:val="11"/>
                <w:color w:val="auto"/>
              </w:rPr>
            </w:pPr>
          </w:p>
        </w:tc>
        <w:tc>
          <w:tcPr>
            <w:tcW w:w="14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08"/>
        </w:trPr>
        <w:tc>
          <w:tcPr>
            <w:tcW w:w="19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Aurelia Netherlands MidCo 2 B.V.</w:t>
            </w:r>
          </w:p>
        </w:tc>
        <w:tc>
          <w:tcPr>
            <w:tcW w:w="27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201,909 par, due 5/2031)</w:t>
            </w:r>
          </w:p>
        </w:tc>
        <w:tc>
          <w:tcPr>
            <w:tcW w:w="88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5/22/2024</w:t>
            </w:r>
          </w:p>
        </w:tc>
        <w:tc>
          <w:tcPr>
            <w:tcW w:w="106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E + 5.75%</w:t>
            </w:r>
          </w:p>
        </w:tc>
        <w:tc>
          <w:tcPr>
            <w:tcW w:w="1460" w:type="dxa"/>
            <w:vAlign w:val="bottom"/>
            <w:shd w:val="clear" w:color="auto" w:fill="CFF0FC"/>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8.93 %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214,655</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209,599</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5.2 %</w:t>
            </w:r>
          </w:p>
        </w:tc>
      </w:tr>
      <w:tr>
        <w:trPr>
          <w:trHeight w:val="142"/>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7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(EUR 202,414)</w:t>
            </w:r>
          </w:p>
        </w:tc>
        <w:tc>
          <w:tcPr>
            <w:tcW w:w="2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35"/>
        </w:trPr>
        <w:tc>
          <w:tcPr>
            <w:tcW w:w="1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5"/>
                <w:szCs w:val="15"/>
                <w:color w:val="auto"/>
                <w:vertAlign w:val="superscript"/>
              </w:rPr>
              <w:t>(3)(4)</w:t>
            </w:r>
          </w:p>
        </w:tc>
        <w:tc>
          <w:tcPr>
            <w:tcW w:w="27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($89,521 par, due 1/2031)</w:t>
            </w:r>
          </w:p>
        </w:tc>
        <w:tc>
          <w:tcPr>
            <w:tcW w:w="8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1/26/2024</w:t>
            </w:r>
          </w:p>
        </w:tc>
        <w:tc>
          <w:tcPr>
            <w:tcW w:w="1060" w:type="dxa"/>
            <w:vAlign w:val="bottom"/>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10.37 %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86,906</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89,521</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2.2 %</w:t>
            </w:r>
          </w:p>
        </w:tc>
      </w:tr>
      <w:tr>
        <w:trPr>
          <w:trHeight w:val="108"/>
        </w:trPr>
        <w:tc>
          <w:tcPr>
            <w:tcW w:w="19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12"/>
                <w:szCs w:val="12"/>
                <w:color w:val="auto"/>
                <w:vertAlign w:val="superscript"/>
              </w:rPr>
              <w:t>(3)</w:t>
            </w:r>
          </w:p>
        </w:tc>
        <w:tc>
          <w:tcPr>
            <w:tcW w:w="27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($78,771 par, due 10/2026)</w:t>
            </w:r>
          </w:p>
        </w:tc>
        <w:tc>
          <w:tcPr>
            <w:tcW w:w="88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1/27/2023</w:t>
            </w:r>
          </w:p>
        </w:tc>
        <w:tc>
          <w:tcPr>
            <w:tcW w:w="106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SOFR + 7.35%</w:t>
            </w:r>
          </w:p>
        </w:tc>
        <w:tc>
          <w:tcPr>
            <w:tcW w:w="1460" w:type="dxa"/>
            <w:vAlign w:val="bottom"/>
            <w:shd w:val="clear" w:color="auto" w:fill="CFF0FC"/>
          </w:tcPr>
          <w:p>
            <w:pPr>
              <w:jc w:val="right"/>
              <w:ind w:right="58"/>
              <w:spacing w:after="0" w:line="108" w:lineRule="exact"/>
              <w:rPr>
                <w:sz w:val="20"/>
                <w:szCs w:val="20"/>
                <w:color w:val="auto"/>
              </w:rPr>
            </w:pPr>
            <w:r>
              <w:rPr>
                <w:rFonts w:ascii="Times New Roman" w:cs="Times New Roman" w:eastAsia="Times New Roman" w:hAnsi="Times New Roman"/>
                <w:sz w:val="12"/>
                <w:szCs w:val="12"/>
                <w:color w:val="auto"/>
              </w:rPr>
              <w:t>11.71 %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77,563</w:t>
            </w:r>
          </w:p>
        </w:tc>
        <w:tc>
          <w:tcPr>
            <w:tcW w:w="11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80,347</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2.0 %</w:t>
            </w:r>
          </w:p>
        </w:tc>
      </w:tr>
      <w:tr>
        <w:trPr>
          <w:trHeight w:val="122"/>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27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r>
      <w:tr>
        <w:trPr>
          <w:trHeight w:val="135"/>
        </w:trPr>
        <w:tc>
          <w:tcPr>
            <w:tcW w:w="1900" w:type="dxa"/>
            <w:vAlign w:val="bottom"/>
          </w:tcPr>
          <w:p>
            <w:pPr>
              <w:spacing w:after="0"/>
              <w:rPr>
                <w:sz w:val="11"/>
                <w:szCs w:val="11"/>
                <w:color w:val="auto"/>
              </w:rPr>
            </w:pPr>
          </w:p>
        </w:tc>
        <w:tc>
          <w:tcPr>
            <w:tcW w:w="27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($80,227 par, due 10/2026)</w:t>
            </w:r>
          </w:p>
        </w:tc>
        <w:tc>
          <w:tcPr>
            <w:tcW w:w="88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1/26/2024</w:t>
            </w:r>
          </w:p>
        </w:tc>
        <w:tc>
          <w:tcPr>
            <w:tcW w:w="1060" w:type="dxa"/>
            <w:vAlign w:val="bottom"/>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10.61 %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78,839</w:t>
            </w: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82,969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2.1 %</w:t>
            </w:r>
          </w:p>
        </w:tc>
      </w:tr>
      <w:tr>
        <w:trPr>
          <w:trHeight w:val="20"/>
        </w:trPr>
        <w:tc>
          <w:tcPr>
            <w:tcW w:w="1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9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457,963</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462,436</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11.5 %</w:t>
            </w:r>
          </w:p>
        </w:tc>
      </w:tr>
      <w:tr>
        <w:trPr>
          <w:trHeight w:val="128"/>
        </w:trPr>
        <w:tc>
          <w:tcPr>
            <w:tcW w:w="19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27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60" w:type="dxa"/>
            <w:vAlign w:val="bottom"/>
            <w:tcBorders>
              <w:top w:val="single" w:sz="8" w:color="CFF0FC"/>
            </w:tcBorders>
          </w:tcPr>
          <w:p>
            <w:pPr>
              <w:spacing w:after="0"/>
              <w:rPr>
                <w:sz w:val="11"/>
                <w:szCs w:val="11"/>
                <w:color w:val="auto"/>
              </w:rPr>
            </w:pPr>
          </w:p>
        </w:tc>
        <w:tc>
          <w:tcPr>
            <w:tcW w:w="14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9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27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88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11/2/2023</w:t>
            </w:r>
          </w:p>
        </w:tc>
        <w:tc>
          <w:tcPr>
            <w:tcW w:w="1060" w:type="dxa"/>
            <w:vAlign w:val="bottom"/>
            <w:shd w:val="clear" w:color="auto" w:fill="CFF0FC"/>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6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10.66 %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153,281</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158,400</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3.9 %</w:t>
            </w:r>
          </w:p>
        </w:tc>
      </w:tr>
      <w:tr>
        <w:trPr>
          <w:trHeight w:val="117"/>
        </w:trPr>
        <w:tc>
          <w:tcPr>
            <w:tcW w:w="19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27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($216,386 par, due 10/2031)</w:t>
            </w:r>
          </w:p>
        </w:tc>
        <w:tc>
          <w:tcPr>
            <w:tcW w:w="88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10/1/2024</w:t>
            </w:r>
          </w:p>
        </w:tc>
        <w:tc>
          <w:tcPr>
            <w:tcW w:w="10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SOFR + 5.00%</w:t>
            </w:r>
          </w:p>
        </w:tc>
        <w:tc>
          <w:tcPr>
            <w:tcW w:w="1460" w:type="dxa"/>
            <w:vAlign w:val="bottom"/>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9.36% (incl. 2.25%</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216,124</w:t>
            </w:r>
          </w:p>
        </w:tc>
        <w:tc>
          <w:tcPr>
            <w:tcW w:w="11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216,386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5.4 %</w:t>
            </w:r>
          </w:p>
        </w:tc>
      </w:tr>
      <w:tr>
        <w:trPr>
          <w:trHeight w:val="140"/>
        </w:trPr>
        <w:tc>
          <w:tcPr>
            <w:tcW w:w="1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jc w:val="right"/>
              <w:ind w:right="198"/>
              <w:spacing w:after="0" w:line="140" w:lineRule="exact"/>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8"/>
        </w:trPr>
        <w:tc>
          <w:tcPr>
            <w:tcW w:w="19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369,405</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374,786</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9.3 %</w:t>
            </w:r>
          </w:p>
        </w:tc>
      </w:tr>
      <w:tr>
        <w:trPr>
          <w:trHeight w:val="129"/>
        </w:trPr>
        <w:tc>
          <w:tcPr>
            <w:tcW w:w="19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27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060" w:type="dxa"/>
            <w:vAlign w:val="bottom"/>
            <w:tcBorders>
              <w:top w:val="single" w:sz="8" w:color="CFF0FC"/>
            </w:tcBorders>
          </w:tcPr>
          <w:p>
            <w:pPr>
              <w:spacing w:after="0"/>
              <w:rPr>
                <w:sz w:val="11"/>
                <w:szCs w:val="11"/>
                <w:color w:val="auto"/>
              </w:rPr>
            </w:pPr>
          </w:p>
        </w:tc>
        <w:tc>
          <w:tcPr>
            <w:tcW w:w="14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9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Sapphire Software Buyer, Inc. </w:t>
            </w:r>
            <w:r>
              <w:rPr>
                <w:rFonts w:ascii="Times New Roman" w:cs="Times New Roman" w:eastAsia="Times New Roman" w:hAnsi="Times New Roman"/>
                <w:sz w:val="13"/>
                <w:szCs w:val="13"/>
                <w:color w:val="auto"/>
                <w:vertAlign w:val="superscript"/>
              </w:rPr>
              <w:t>(3)</w:t>
            </w:r>
          </w:p>
        </w:tc>
        <w:tc>
          <w:tcPr>
            <w:tcW w:w="27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($224,683 par, due 9/2031)</w:t>
            </w:r>
          </w:p>
        </w:tc>
        <w:tc>
          <w:tcPr>
            <w:tcW w:w="88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06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460" w:type="dxa"/>
            <w:vAlign w:val="bottom"/>
            <w:shd w:val="clear" w:color="auto" w:fill="CFF0FC"/>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9.75% (incl. 3.0%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222,271</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223,424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5.5 %</w:t>
            </w:r>
          </w:p>
        </w:tc>
      </w:tr>
      <w:tr>
        <w:trPr>
          <w:trHeight w:val="153"/>
        </w:trPr>
        <w:tc>
          <w:tcPr>
            <w:tcW w:w="190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19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19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27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8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106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6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8.51 %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759</w:t>
            </w:r>
          </w:p>
        </w:tc>
        <w:tc>
          <w:tcPr>
            <w:tcW w:w="11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765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r>
      <w:tr>
        <w:trPr>
          <w:trHeight w:val="153"/>
        </w:trPr>
        <w:tc>
          <w:tcPr>
            <w:tcW w:w="190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739)</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220"/>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BCTO Bluebill Buyer, Inc. </w:t>
            </w:r>
            <w:r>
              <w:rPr>
                <w:rFonts w:ascii="Times New Roman" w:cs="Times New Roman" w:eastAsia="Times New Roman" w:hAnsi="Times New Roman"/>
                <w:sz w:val="16"/>
                <w:szCs w:val="16"/>
                <w:color w:val="auto"/>
                <w:vertAlign w:val="superscript"/>
              </w:rPr>
              <w:t>(3)(5)</w:t>
            </w:r>
          </w:p>
        </w:tc>
        <w:tc>
          <w:tcPr>
            <w:tcW w:w="2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($7,656 par, due 7/2029)</w:t>
            </w: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7/20/2023</w:t>
            </w:r>
          </w:p>
        </w:tc>
        <w:tc>
          <w:tcPr>
            <w:tcW w:w="10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SOFR + 6.25%</w:t>
            </w: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10.84 %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-2573655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-2573655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-2573655</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-1776095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-1776095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-1776095</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-1099185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-1099185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-1099185</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-661670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-661670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-661670</wp:posOffset>
            </wp:positionV>
            <wp:extent cx="939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1"/>
        </w:trPr>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($146,948 par, due 12/2028)</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12/16/2022</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+ 7.25%</w:t>
            </w:r>
          </w:p>
        </w:tc>
        <w:tc>
          <w:tcPr>
            <w:tcW w:w="1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11.61 %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144,062</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148,418</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3.7 %</w:t>
            </w:r>
          </w:p>
        </w:tc>
      </w:tr>
      <w:tr>
        <w:trPr>
          <w:trHeight w:val="117"/>
        </w:trPr>
        <w:tc>
          <w:tcPr>
            <w:tcW w:w="1760" w:type="dxa"/>
            <w:vAlign w:val="bottom"/>
          </w:tcPr>
          <w:p>
            <w:pPr>
              <w:spacing w:after="0"/>
              <w:rPr>
                <w:sz w:val="10"/>
                <w:szCs w:val="10"/>
                <w:color w:val="auto"/>
              </w:rPr>
            </w:pP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revolving loan ($5,422 par, due</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12/16/2022</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+ 7.25%</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11.76 %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5,136</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5,566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r>
      <w:tr>
        <w:trPr>
          <w:trHeight w:val="153"/>
        </w:trPr>
        <w:tc>
          <w:tcPr>
            <w:tcW w:w="1760" w:type="dxa"/>
            <w:vAlign w:val="bottom"/>
          </w:tcPr>
          <w:p>
            <w:pPr>
              <w:spacing w:after="0"/>
              <w:rPr>
                <w:sz w:val="13"/>
                <w:szCs w:val="13"/>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12/2028)</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5"/>
                <w:szCs w:val="15"/>
                <w:color w:val="auto"/>
                <w:vertAlign w:val="superscript"/>
              </w:rPr>
              <w:t>(3)(4)</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($97,902 par, due 11/2027)</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+ 8.50%</w:t>
            </w:r>
          </w:p>
        </w:tc>
        <w:tc>
          <w:tcPr>
            <w:tcW w:w="1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12.83 %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96,512</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98,147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2.4 %</w:t>
            </w:r>
          </w:p>
        </w:tc>
      </w:tr>
      <w:tr>
        <w:trPr>
          <w:trHeight w:val="117"/>
        </w:trPr>
        <w:tc>
          <w:tcPr>
            <w:tcW w:w="1760" w:type="dxa"/>
            <w:vAlign w:val="bottom"/>
          </w:tcPr>
          <w:p>
            <w:pPr>
              <w:spacing w:after="0"/>
              <w:rPr>
                <w:sz w:val="10"/>
                <w:szCs w:val="10"/>
                <w:color w:val="auto"/>
              </w:rPr>
            </w:pP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Second-lien loan ($83,916 par, due 11/2028)</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1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16.33 %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78,758</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83,916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2.1 %</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12.00%</w:t>
            </w: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($97,412 par, due 11/2029)</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+ 8.38%</w:t>
            </w:r>
          </w:p>
        </w:tc>
        <w:tc>
          <w:tcPr>
            <w:tcW w:w="1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12.89 %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94,446</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98,367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2.4 %</w:t>
            </w: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GreenShoot BidCo B.V. </w:t>
            </w:r>
            <w:r>
              <w:rPr>
                <w:rFonts w:ascii="Times New Roman" w:cs="Times New Roman" w:eastAsia="Times New Roman" w:hAnsi="Times New Roman"/>
                <w:sz w:val="13"/>
                <w:szCs w:val="13"/>
                <w:color w:val="auto"/>
                <w:vertAlign w:val="superscript"/>
              </w:rPr>
              <w:t>(3)(4)</w:t>
            </w: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loan (EUR 5,107 par, due 5/2030)</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5/28/2024</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8.66 %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5,413</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5,246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5,066)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($3,072 par, due 9/2028)</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1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16.50 %</w:t>
            </w:r>
          </w:p>
        </w:tc>
        <w:tc>
          <w:tcPr>
            <w:tcW w:w="1440" w:type="dxa"/>
            <w:vAlign w:val="bottom"/>
            <w:shd w:val="clear" w:color="auto" w:fill="CFF0FC"/>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3,063</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3,141</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0.1 %</w:t>
            </w:r>
          </w:p>
        </w:tc>
      </w:tr>
      <w:tr>
        <w:trPr>
          <w:trHeight w:val="20"/>
        </w:trPr>
        <w:tc>
          <w:tcPr>
            <w:tcW w:w="176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1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435,584</w:t>
            </w:r>
          </w:p>
        </w:tc>
        <w:tc>
          <w:tcPr>
            <w:tcW w:w="2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451,299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11.1 %</w:t>
            </w:r>
          </w:p>
        </w:tc>
      </w:tr>
      <w:tr>
        <w:trPr>
          <w:trHeight w:val="128"/>
        </w:trPr>
        <w:tc>
          <w:tcPr>
            <w:tcW w:w="17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7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3"/>
                <w:szCs w:val="13"/>
                <w:color w:val="auto"/>
                <w:vertAlign w:val="superscript"/>
              </w:rPr>
              <w:t>(3)(4)(5)</w:t>
            </w: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loan (EUR 5,947 par, due 2/2029)</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+ 6.75%</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9.43 %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6,219</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6,284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6,068)</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5"/>
                <w:szCs w:val="15"/>
                <w:color w:val="auto"/>
                <w:vertAlign w:val="superscript"/>
              </w:rPr>
              <w:t>(3)</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($48,470 par, due 11/2030)</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9.86 %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47,668</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47,854</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17"/>
        </w:trPr>
        <w:tc>
          <w:tcPr>
            <w:tcW w:w="1760" w:type="dxa"/>
            <w:vAlign w:val="bottom"/>
          </w:tcPr>
          <w:p>
            <w:pPr>
              <w:spacing w:after="0"/>
              <w:rPr>
                <w:sz w:val="10"/>
                <w:szCs w:val="10"/>
                <w:color w:val="auto"/>
              </w:rPr>
            </w:pP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revolving loan ($873 par, due</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11/1/2024</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10.03 %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778</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808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r>
      <w:tr>
        <w:trPr>
          <w:trHeight w:val="153"/>
        </w:trPr>
        <w:tc>
          <w:tcPr>
            <w:tcW w:w="1760" w:type="dxa"/>
            <w:vAlign w:val="bottom"/>
          </w:tcPr>
          <w:p>
            <w:pPr>
              <w:spacing w:after="0"/>
              <w:rPr>
                <w:sz w:val="13"/>
                <w:szCs w:val="13"/>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11/2030)</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(3)(5)</w:t>
            </w: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($114,842 par, due 3/2029)</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2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10.61 %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112,062</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116,332</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2.9 %</w:t>
            </w: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5"/>
                <w:szCs w:val="15"/>
                <w:color w:val="auto"/>
                <w:vertAlign w:val="superscript"/>
              </w:rPr>
              <w:t>(3)(5)</w:t>
            </w:r>
          </w:p>
        </w:tc>
        <w:tc>
          <w:tcPr>
            <w:tcW w:w="27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First-lien loan ($3,742 par, due 7/2029)</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1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SOFR + 7.75%</w:t>
            </w:r>
          </w:p>
        </w:tc>
        <w:tc>
          <w:tcPr>
            <w:tcW w:w="1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12.34 %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3,613</w:t>
            </w: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3,719</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0.1 %</w:t>
            </w:r>
          </w:p>
        </w:tc>
      </w:tr>
      <w:tr>
        <w:trPr>
          <w:trHeight w:val="20"/>
        </w:trPr>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760" w:type="dxa"/>
            <w:vAlign w:val="bottom"/>
            <w:shd w:val="clear" w:color="auto" w:fill="CFF0FC"/>
          </w:tcPr>
          <w:p>
            <w:pPr>
              <w:spacing w:after="0"/>
              <w:rPr>
                <w:sz w:val="11"/>
                <w:szCs w:val="11"/>
                <w:color w:val="auto"/>
              </w:rPr>
            </w:pPr>
          </w:p>
        </w:tc>
        <w:tc>
          <w:tcPr>
            <w:tcW w:w="27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170,340</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174,997</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4.4 %</w:t>
            </w:r>
          </w:p>
        </w:tc>
      </w:tr>
      <w:tr>
        <w:trPr>
          <w:trHeight w:val="128"/>
        </w:trPr>
        <w:tc>
          <w:tcPr>
            <w:tcW w:w="176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760" w:type="dxa"/>
            <w:vAlign w:val="bottom"/>
            <w:tcBorders>
              <w:top w:val="single" w:sz="8" w:color="CFF0FC"/>
            </w:tcBorders>
          </w:tcPr>
          <w:p>
            <w:pPr>
              <w:spacing w:after="0"/>
              <w:rPr>
                <w:sz w:val="11"/>
                <w:szCs w:val="11"/>
                <w:color w:val="auto"/>
              </w:rPr>
            </w:pPr>
          </w:p>
        </w:tc>
        <w:tc>
          <w:tcPr>
            <w:tcW w:w="9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7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AVSC Holding Corp. </w:t>
            </w:r>
            <w:r>
              <w:rPr>
                <w:rFonts w:ascii="Times New Roman" w:cs="Times New Roman" w:eastAsia="Times New Roman" w:hAnsi="Times New Roman"/>
                <w:sz w:val="13"/>
                <w:szCs w:val="13"/>
                <w:color w:val="auto"/>
                <w:vertAlign w:val="superscript"/>
              </w:rPr>
              <w:t>(3)</w:t>
            </w:r>
          </w:p>
        </w:tc>
        <w:tc>
          <w:tcPr>
            <w:tcW w:w="2760" w:type="dxa"/>
            <w:vAlign w:val="bottom"/>
            <w:shd w:val="clear" w:color="auto" w:fill="CFF0FC"/>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loan ($316,171 par, due 12/2031)</w:t>
            </w:r>
          </w:p>
        </w:tc>
        <w:tc>
          <w:tcPr>
            <w:tcW w:w="94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12/5/2024</w:t>
            </w:r>
          </w:p>
        </w:tc>
        <w:tc>
          <w:tcPr>
            <w:tcW w:w="112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9.36 %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309,228</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310,046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7.7 %</w:t>
            </w:r>
          </w:p>
        </w:tc>
      </w:tr>
      <w:tr>
        <w:trPr>
          <w:trHeight w:val="153"/>
        </w:trPr>
        <w:tc>
          <w:tcPr>
            <w:tcW w:w="176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5.00%</w:t>
            </w:r>
          </w:p>
        </w:tc>
        <w:tc>
          <w:tcPr>
            <w:tcW w:w="14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Equinox Holdings, Inc.</w:t>
            </w: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($198,362 par, due 3/2029) </w:t>
            </w:r>
            <w:r>
              <w:rPr>
                <w:rFonts w:ascii="Times New Roman" w:cs="Times New Roman" w:eastAsia="Times New Roman" w:hAnsi="Times New Roman"/>
                <w:sz w:val="13"/>
                <w:szCs w:val="13"/>
                <w:color w:val="auto"/>
                <w:vertAlign w:val="superscript"/>
              </w:rPr>
              <w:t>(3)</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3/8/2024</w:t>
            </w:r>
          </w:p>
        </w:tc>
        <w:tc>
          <w:tcPr>
            <w:tcW w:w="1120" w:type="dxa"/>
            <w:vAlign w:val="bottom"/>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SOFR + 8.25%</w:t>
            </w:r>
          </w:p>
        </w:tc>
        <w:tc>
          <w:tcPr>
            <w:tcW w:w="144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12.58% (incl. 4.13%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195,737</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198,858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4.9 %</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760" w:type="dxa"/>
            <w:vAlign w:val="bottom"/>
            <w:shd w:val="clear" w:color="auto" w:fill="CFF0FC"/>
          </w:tcPr>
          <w:p>
            <w:pPr>
              <w:spacing w:after="0"/>
              <w:rPr>
                <w:sz w:val="11"/>
                <w:szCs w:val="11"/>
                <w:color w:val="auto"/>
              </w:rPr>
            </w:pPr>
          </w:p>
        </w:tc>
        <w:tc>
          <w:tcPr>
            <w:tcW w:w="276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Second-lien loan ($9,388 par, due 6/2027)</w:t>
            </w:r>
          </w:p>
        </w:tc>
        <w:tc>
          <w:tcPr>
            <w:tcW w:w="9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3/13/2024</w:t>
            </w:r>
          </w:p>
        </w:tc>
        <w:tc>
          <w:tcPr>
            <w:tcW w:w="11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16.00 %</w:t>
            </w:r>
          </w:p>
        </w:tc>
        <w:tc>
          <w:tcPr>
            <w:tcW w:w="1440" w:type="dxa"/>
            <w:vAlign w:val="bottom"/>
            <w:shd w:val="clear" w:color="auto" w:fill="CFF0FC"/>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16.00%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9,191</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9,553</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0.2 %</w:t>
            </w: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QSR Acquisition Co. </w:t>
            </w:r>
            <w:r>
              <w:rPr>
                <w:rFonts w:ascii="Times New Roman" w:cs="Times New Roman" w:eastAsia="Times New Roman" w:hAnsi="Times New Roman"/>
                <w:sz w:val="13"/>
                <w:szCs w:val="13"/>
                <w:color w:val="auto"/>
                <w:vertAlign w:val="superscript"/>
              </w:rPr>
              <w:t>(3)(5)</w:t>
            </w:r>
          </w:p>
        </w:tc>
        <w:tc>
          <w:tcPr>
            <w:tcW w:w="27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loan ($10,000 par, due 10/2030)</w:t>
            </w:r>
          </w:p>
        </w:tc>
        <w:tc>
          <w:tcPr>
            <w:tcW w:w="94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10/31/2024</w:t>
            </w:r>
          </w:p>
        </w:tc>
        <w:tc>
          <w:tcPr>
            <w:tcW w:w="11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9.84 %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9,820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9,850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r>
      <w:tr>
        <w:trPr>
          <w:trHeight w:val="153"/>
        </w:trPr>
        <w:tc>
          <w:tcPr>
            <w:tcW w:w="1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5.25%</w:t>
            </w: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7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3"/>
                <w:szCs w:val="13"/>
                <w:color w:val="auto"/>
                <w:vertAlign w:val="superscript"/>
              </w:rPr>
              <w:t>(3)(4)</w:t>
            </w:r>
          </w:p>
        </w:tc>
        <w:tc>
          <w:tcPr>
            <w:tcW w:w="2760" w:type="dxa"/>
            <w:vAlign w:val="bottom"/>
            <w:shd w:val="clear" w:color="auto" w:fill="CFF0FC"/>
          </w:tcPr>
          <w:p>
            <w:pPr>
              <w:ind w:left="220"/>
              <w:spacing w:after="0" w:line="117" w:lineRule="exact"/>
              <w:rPr>
                <w:sz w:val="20"/>
                <w:szCs w:val="20"/>
                <w:color w:val="auto"/>
              </w:rPr>
            </w:pPr>
            <w:r>
              <w:rPr>
                <w:rFonts w:ascii="Times New Roman" w:cs="Times New Roman" w:eastAsia="Times New Roman" w:hAnsi="Times New Roman"/>
                <w:sz w:val="13"/>
                <w:szCs w:val="13"/>
                <w:color w:val="auto"/>
              </w:rPr>
              <w:t>First-lien loan (EUR 4,494 par, due 4/2030)</w:t>
            </w:r>
          </w:p>
        </w:tc>
        <w:tc>
          <w:tcPr>
            <w:tcW w:w="94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20" w:type="dxa"/>
            <w:vAlign w:val="bottom"/>
            <w:shd w:val="clear" w:color="auto" w:fill="CFF0FC"/>
          </w:tcPr>
          <w:p>
            <w:pPr>
              <w:jc w:val="right"/>
              <w:ind w:right="19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44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10.15% (incl. 3.88%</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4,712</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4,601</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r>
      <w:tr>
        <w:trPr>
          <w:trHeight w:val="153"/>
        </w:trPr>
        <w:tc>
          <w:tcPr>
            <w:tcW w:w="176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CFF0FC"/>
            </w:tcBorders>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4,443)</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38"/>
        </w:trPr>
        <w:tc>
          <w:tcPr>
            <w:tcW w:w="1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528,688</w:t>
            </w:r>
          </w:p>
        </w:tc>
        <w:tc>
          <w:tcPr>
            <w:tcW w:w="10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532,908</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13.1 %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-1848485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-1848485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-1848485</wp:posOffset>
            </wp:positionV>
            <wp:extent cx="93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-965200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-965200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-965200</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-99695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-99695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-99695</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-5080</wp:posOffset>
            </wp:positionV>
            <wp:extent cx="19545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p>
      <w:pPr>
        <w:ind w:left="20"/>
        <w:spacing w:after="0" w:line="216" w:lineRule="auto"/>
        <w:rPr>
          <w:sz w:val="20"/>
          <w:szCs w:val="20"/>
          <w:color w:val="auto"/>
        </w:rPr>
      </w:pPr>
      <w:r>
        <w:rPr>
          <w:rFonts w:ascii="Times New Roman" w:cs="Times New Roman" w:eastAsia="Times New Roman" w:hAnsi="Times New Roman"/>
          <w:sz w:val="13"/>
          <w:szCs w:val="13"/>
          <w:b w:val="1"/>
          <w:bCs w:val="1"/>
          <w:color w:val="auto"/>
        </w:rPr>
        <w:t>Human Resource Support</w:t>
      </w:r>
    </w:p>
    <w:p>
      <w:pPr>
        <w:ind w:left="20"/>
        <w:spacing w:after="0" w:line="190" w:lineRule="auto"/>
        <w:rPr>
          <w:sz w:val="20"/>
          <w:szCs w:val="20"/>
          <w:color w:val="auto"/>
        </w:rPr>
      </w:pPr>
      <w:r>
        <w:rPr>
          <w:rFonts w:ascii="Times New Roman" w:cs="Times New Roman" w:eastAsia="Times New Roman" w:hAnsi="Times New Roman"/>
          <w:sz w:val="13"/>
          <w:szCs w:val="13"/>
          <w:b w:val="1"/>
          <w:bCs w:val="1"/>
          <w:color w:val="auto"/>
        </w:rPr>
        <w:t>Services</w:t>
      </w:r>
    </w:p>
    <w:p>
      <w:pPr>
        <w:ind w:left="20"/>
        <w:spacing w:after="0" w:line="229" w:lineRule="auto"/>
        <w:tabs>
          <w:tab w:leader="none" w:pos="1960" w:val="left"/>
        </w:tabs>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r>
        <w:rPr>
          <w:sz w:val="20"/>
          <w:szCs w:val="20"/>
          <w:color w:val="auto"/>
        </w:rPr>
        <w:tab/>
      </w:r>
      <w:r>
        <w:rPr>
          <w:rFonts w:ascii="Times New Roman" w:cs="Times New Roman" w:eastAsia="Times New Roman" w:hAnsi="Times New Roman"/>
          <w:sz w:val="12"/>
          <w:szCs w:val="12"/>
          <w:color w:val="auto"/>
        </w:rPr>
        <w:t>First-lien loan ($139,546 par, due 11/2028)</w:t>
      </w:r>
    </w:p>
    <w:p>
      <w:pPr>
        <w:ind w:left="20"/>
        <w:spacing w:after="0"/>
        <w:tabs>
          <w:tab w:leader="none" w:pos="1960" w:val="left"/>
        </w:tabs>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6"/>
          <w:szCs w:val="16"/>
          <w:color w:val="auto"/>
          <w:vertAlign w:val="superscript"/>
        </w:rPr>
        <w:t>(3)</w:t>
      </w:r>
      <w:r>
        <w:rPr>
          <w:sz w:val="20"/>
          <w:szCs w:val="20"/>
          <w:color w:val="auto"/>
        </w:rPr>
        <w:tab/>
      </w:r>
      <w:r>
        <w:rPr>
          <w:rFonts w:ascii="Times New Roman" w:cs="Times New Roman" w:eastAsia="Times New Roman" w:hAnsi="Times New Roman"/>
          <w:sz w:val="12"/>
          <w:szCs w:val="12"/>
          <w:color w:val="auto"/>
        </w:rPr>
        <w:t>First-lien loan ($109,778 par, due 5/2029)</w:t>
      </w:r>
    </w:p>
    <w:p>
      <w:pPr>
        <w:ind w:left="1980"/>
        <w:spacing w:after="0" w:line="217" w:lineRule="auto"/>
        <w:rPr>
          <w:sz w:val="20"/>
          <w:szCs w:val="20"/>
          <w:color w:val="auto"/>
        </w:rPr>
      </w:pPr>
      <w:r>
        <w:rPr>
          <w:rFonts w:ascii="Times New Roman" w:cs="Times New Roman" w:eastAsia="Times New Roman" w:hAnsi="Times New Roman"/>
          <w:sz w:val="13"/>
          <w:szCs w:val="13"/>
          <w:color w:val="auto"/>
        </w:rPr>
        <w:t>First-lien revolving loan ($8,972 par, due</w:t>
      </w:r>
    </w:p>
    <w:p>
      <w:pPr>
        <w:ind w:left="1980"/>
        <w:spacing w:after="0" w:line="189" w:lineRule="auto"/>
        <w:rPr>
          <w:sz w:val="20"/>
          <w:szCs w:val="20"/>
          <w:color w:val="auto"/>
        </w:rPr>
      </w:pPr>
      <w:r>
        <w:rPr>
          <w:rFonts w:ascii="Times New Roman" w:cs="Times New Roman" w:eastAsia="Times New Roman" w:hAnsi="Times New Roman"/>
          <w:sz w:val="13"/>
          <w:szCs w:val="13"/>
          <w:color w:val="auto"/>
        </w:rPr>
        <w:t>5/2029)</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0"/>
              </w:rPr>
              <w:t>11/7/2022</w:t>
            </w:r>
          </w:p>
        </w:tc>
        <w:tc>
          <w:tcPr>
            <w:tcW w:w="1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+ 6.38%</w:t>
            </w: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11.05 %</w:t>
            </w: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136,424</w:t>
            </w: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141,639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35"/>
        </w:trPr>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SOFR + 6.75%</w:t>
            </w:r>
          </w:p>
        </w:tc>
        <w:tc>
          <w:tcPr>
            <w:tcW w:w="12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11.34 %</w:t>
            </w:r>
          </w:p>
        </w:tc>
        <w:tc>
          <w:tcPr>
            <w:tcW w:w="102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107,466</w:t>
            </w:r>
          </w:p>
        </w:tc>
        <w:tc>
          <w:tcPr>
            <w:tcW w:w="122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111,150</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2.8 %</w:t>
            </w:r>
          </w:p>
        </w:tc>
      </w:tr>
      <w:tr>
        <w:trPr>
          <w:trHeight w:val="164"/>
        </w:trPr>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+ 6.75%</w:t>
            </w: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11.30 %</w:t>
            </w: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8,675</w:t>
            </w: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9,148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-434975</wp:posOffset>
            </wp:positionV>
            <wp:extent cx="713232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-177800</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160" w:space="700"/>
            <w:col w:w="6380"/>
          </w:cols>
          <w:pgMar w:left="320" w:top="982" w:right="3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1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5"/>
        </w:trPr>
        <w:tc>
          <w:tcPr>
            <w:tcW w:w="1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5"/>
                <w:szCs w:val="15"/>
                <w:color w:val="auto"/>
                <w:vertAlign w:val="superscript"/>
              </w:rPr>
              <w:t>(3)(5)</w:t>
            </w:r>
          </w:p>
        </w:tc>
        <w:tc>
          <w:tcPr>
            <w:tcW w:w="268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($2,475 par, due 12/2026)</w:t>
            </w:r>
          </w:p>
        </w:tc>
        <w:tc>
          <w:tcPr>
            <w:tcW w:w="90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12/15/2023</w:t>
            </w:r>
          </w:p>
        </w:tc>
        <w:tc>
          <w:tcPr>
            <w:tcW w:w="112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+ 6.10%</w:t>
            </w:r>
          </w:p>
        </w:tc>
        <w:tc>
          <w:tcPr>
            <w:tcW w:w="14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10.35 %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2,435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2,475</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0.1 %</w:t>
            </w:r>
          </w:p>
        </w:tc>
      </w:tr>
      <w:tr>
        <w:trPr>
          <w:trHeight w:val="20"/>
        </w:trPr>
        <w:tc>
          <w:tcPr>
            <w:tcW w:w="188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9"/>
        </w:trPr>
        <w:tc>
          <w:tcPr>
            <w:tcW w:w="18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255,000</w:t>
            </w:r>
          </w:p>
        </w:tc>
        <w:tc>
          <w:tcPr>
            <w:tcW w:w="2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264,412</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6.6 %</w:t>
            </w:r>
          </w:p>
        </w:tc>
      </w:tr>
      <w:tr>
        <w:trPr>
          <w:trHeight w:val="128"/>
        </w:trPr>
        <w:tc>
          <w:tcPr>
            <w:tcW w:w="18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26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Disco Parent, Inc.</w:t>
            </w:r>
            <w:r>
              <w:rPr>
                <w:rFonts w:ascii="Times New Roman" w:cs="Times New Roman" w:eastAsia="Times New Roman" w:hAnsi="Times New Roman"/>
                <w:sz w:val="15"/>
                <w:szCs w:val="15"/>
                <w:color w:val="auto"/>
                <w:vertAlign w:val="superscript"/>
              </w:rPr>
              <w:t>(3)</w:t>
            </w:r>
          </w:p>
        </w:tc>
        <w:tc>
          <w:tcPr>
            <w:tcW w:w="26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($67,583 par, due 3/2029)</w:t>
            </w:r>
          </w:p>
        </w:tc>
        <w:tc>
          <w:tcPr>
            <w:tcW w:w="90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3/30/2023</w:t>
            </w:r>
          </w:p>
        </w:tc>
        <w:tc>
          <w:tcPr>
            <w:tcW w:w="112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+ 7.50%</w:t>
            </w:r>
          </w:p>
        </w:tc>
        <w:tc>
          <w:tcPr>
            <w:tcW w:w="14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12.01 %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66,272</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68,317</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1.7 %</w:t>
            </w:r>
          </w:p>
        </w:tc>
      </w:tr>
      <w:tr>
        <w:trPr>
          <w:trHeight w:val="135"/>
        </w:trPr>
        <w:tc>
          <w:tcPr>
            <w:tcW w:w="1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6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5"/>
        </w:trPr>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6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($128,565 par, due 7/2030)</w:t>
            </w:r>
          </w:p>
        </w:tc>
        <w:tc>
          <w:tcPr>
            <w:tcW w:w="90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6/30/2023</w:t>
            </w:r>
          </w:p>
        </w:tc>
        <w:tc>
          <w:tcPr>
            <w:tcW w:w="112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10.08 %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125,651</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130,424</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3.2 %</w:t>
            </w:r>
          </w:p>
        </w:tc>
      </w:tr>
      <w:tr>
        <w:trPr>
          <w:trHeight w:val="135"/>
        </w:trPr>
        <w:tc>
          <w:tcPr>
            <w:tcW w:w="1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($128,925 par, due 2/2030)</w:t>
            </w:r>
          </w:p>
        </w:tc>
        <w:tc>
          <w:tcPr>
            <w:tcW w:w="90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2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9.84 %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126,291</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131,165</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3.2 %</w:t>
            </w:r>
          </w:p>
        </w:tc>
      </w:tr>
      <w:tr>
        <w:trPr>
          <w:trHeight w:val="135"/>
        </w:trPr>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Flight Intermediate HoldCo, Inc.</w:t>
            </w:r>
          </w:p>
        </w:tc>
        <w:tc>
          <w:tcPr>
            <w:tcW w:w="26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($46,500 par, due 4/2030)</w:t>
            </w:r>
          </w:p>
        </w:tc>
        <w:tc>
          <w:tcPr>
            <w:tcW w:w="90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10/3/2024</w:t>
            </w:r>
          </w:p>
        </w:tc>
        <w:tc>
          <w:tcPr>
            <w:tcW w:w="112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11.50 %</w:t>
            </w:r>
          </w:p>
        </w:tc>
        <w:tc>
          <w:tcPr>
            <w:tcW w:w="14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11.50 %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45,164</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45,221</w:t>
            </w:r>
          </w:p>
        </w:tc>
        <w:tc>
          <w:tcPr>
            <w:tcW w:w="12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1.1 %</w:t>
            </w:r>
          </w:p>
        </w:tc>
      </w:tr>
      <w:tr>
        <w:trPr>
          <w:trHeight w:val="117"/>
        </w:trPr>
        <w:tc>
          <w:tcPr>
            <w:tcW w:w="188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Hippo XPA Bidco AB </w:t>
            </w:r>
            <w:r>
              <w:rPr>
                <w:rFonts w:ascii="Times New Roman" w:cs="Times New Roman" w:eastAsia="Times New Roman" w:hAnsi="Times New Roman"/>
                <w:sz w:val="13"/>
                <w:szCs w:val="13"/>
                <w:color w:val="auto"/>
                <w:vertAlign w:val="superscript"/>
              </w:rPr>
              <w:t>(3)(4)</w:t>
            </w:r>
          </w:p>
        </w:tc>
        <w:tc>
          <w:tcPr>
            <w:tcW w:w="268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(SEK 80,225 par, due 2/2031)</w:t>
            </w:r>
          </w:p>
        </w:tc>
        <w:tc>
          <w:tcPr>
            <w:tcW w:w="90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STIBOR +</w:t>
            </w:r>
          </w:p>
        </w:tc>
        <w:tc>
          <w:tcPr>
            <w:tcW w:w="1440" w:type="dxa"/>
            <w:vAlign w:val="bottom"/>
            <w:shd w:val="clear" w:color="auto" w:fill="CFF0FC"/>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9.16% (incl. 3.50%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7,557</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7,238</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r>
      <w:tr>
        <w:trPr>
          <w:trHeight w:val="153"/>
        </w:trPr>
        <w:tc>
          <w:tcPr>
            <w:tcW w:w="188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6.50%</w:t>
            </w:r>
          </w:p>
        </w:tc>
        <w:tc>
          <w:tcPr>
            <w:tcW w:w="14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(SEK 79,977)</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80" w:type="dxa"/>
            <w:vAlign w:val="bottom"/>
          </w:tcPr>
          <w:p>
            <w:pPr>
              <w:spacing w:after="0"/>
              <w:rPr>
                <w:sz w:val="10"/>
                <w:szCs w:val="10"/>
                <w:color w:val="auto"/>
              </w:rPr>
            </w:pPr>
          </w:p>
        </w:tc>
        <w:tc>
          <w:tcPr>
            <w:tcW w:w="26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(EUR 2,472 par, due 2/2031)</w:t>
            </w:r>
          </w:p>
        </w:tc>
        <w:tc>
          <w:tcPr>
            <w:tcW w:w="90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440" w:type="dxa"/>
            <w:vAlign w:val="bottom"/>
          </w:tcPr>
          <w:p>
            <w:pPr>
              <w:jc w:val="right"/>
              <w:ind w:right="238"/>
              <w:spacing w:after="0" w:line="117" w:lineRule="exact"/>
              <w:rPr>
                <w:sz w:val="20"/>
                <w:szCs w:val="20"/>
                <w:color w:val="auto"/>
              </w:rPr>
            </w:pPr>
            <w:r>
              <w:rPr>
                <w:rFonts w:ascii="Times New Roman" w:cs="Times New Roman" w:eastAsia="Times New Roman" w:hAnsi="Times New Roman"/>
                <w:sz w:val="13"/>
                <w:szCs w:val="13"/>
                <w:color w:val="auto"/>
              </w:rPr>
              <w:t>9.87% (incl. 3.50%</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2,636</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2,554</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r>
      <w:tr>
        <w:trPr>
          <w:trHeight w:val="153"/>
        </w:trPr>
        <w:tc>
          <w:tcPr>
            <w:tcW w:w="1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jc w:val="right"/>
              <w:ind w:right="21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2,466)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Kryptona BidCo US, LLC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($134,959 par, due 12/2031)</w:t>
            </w:r>
          </w:p>
        </w:tc>
        <w:tc>
          <w:tcPr>
            <w:tcW w:w="90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12/18/2024</w:t>
            </w:r>
          </w:p>
        </w:tc>
        <w:tc>
          <w:tcPr>
            <w:tcW w:w="112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10.10 %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131,979</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132,340</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3.3 %</w:t>
            </w:r>
          </w:p>
        </w:tc>
      </w:tr>
      <w:tr>
        <w:trPr>
          <w:trHeight w:val="117"/>
        </w:trPr>
        <w:tc>
          <w:tcPr>
            <w:tcW w:w="1880" w:type="dxa"/>
            <w:vAlign w:val="bottom"/>
          </w:tcPr>
          <w:p>
            <w:pPr>
              <w:spacing w:after="0"/>
              <w:rPr>
                <w:sz w:val="10"/>
                <w:szCs w:val="10"/>
                <w:color w:val="auto"/>
              </w:rPr>
            </w:pPr>
          </w:p>
        </w:tc>
        <w:tc>
          <w:tcPr>
            <w:tcW w:w="26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(EUR 31,233 par, due 12/2031)</w:t>
            </w:r>
          </w:p>
        </w:tc>
        <w:tc>
          <w:tcPr>
            <w:tcW w:w="90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12/18/2024</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8.61 %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32,055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31,775</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0.8 %</w:t>
            </w:r>
          </w:p>
        </w:tc>
      </w:tr>
      <w:tr>
        <w:trPr>
          <w:trHeight w:val="153"/>
        </w:trPr>
        <w:tc>
          <w:tcPr>
            <w:tcW w:w="1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30,686)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08"/>
        </w:trPr>
        <w:tc>
          <w:tcPr>
            <w:tcW w:w="1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Merit Software Finance Holdings,</w:t>
            </w:r>
          </w:p>
        </w:tc>
        <w:tc>
          <w:tcPr>
            <w:tcW w:w="268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2"/>
                <w:szCs w:val="12"/>
                <w:color w:val="auto"/>
              </w:rPr>
              <w:t>First-lien loan ($11,786 par, due 6/2029)</w:t>
            </w:r>
          </w:p>
        </w:tc>
        <w:tc>
          <w:tcPr>
            <w:tcW w:w="90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6/20/2024</w:t>
            </w:r>
          </w:p>
        </w:tc>
        <w:tc>
          <w:tcPr>
            <w:tcW w:w="1120" w:type="dxa"/>
            <w:vAlign w:val="bottom"/>
            <w:shd w:val="clear" w:color="auto" w:fill="CFF0FC"/>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SOFR + 7.50%</w:t>
            </w:r>
          </w:p>
        </w:tc>
        <w:tc>
          <w:tcPr>
            <w:tcW w:w="144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11.85 %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11,438</w:t>
            </w:r>
          </w:p>
        </w:tc>
        <w:tc>
          <w:tcPr>
            <w:tcW w:w="10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11,561</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0.3 %</w:t>
            </w:r>
          </w:p>
        </w:tc>
      </w:tr>
      <w:tr>
        <w:trPr>
          <w:trHeight w:val="162"/>
        </w:trPr>
        <w:tc>
          <w:tcPr>
            <w:tcW w:w="18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(3)</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08"/>
        </w:trPr>
        <w:tc>
          <w:tcPr>
            <w:tcW w:w="188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SMA Technologies Holdings, LLC</w:t>
            </w:r>
          </w:p>
        </w:tc>
        <w:tc>
          <w:tcPr>
            <w:tcW w:w="268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First-lien loan ($31,009 par, due 10/2028)</w:t>
            </w:r>
          </w:p>
        </w:tc>
        <w:tc>
          <w:tcPr>
            <w:tcW w:w="90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10/31/2022</w:t>
            </w:r>
          </w:p>
        </w:tc>
        <w:tc>
          <w:tcPr>
            <w:tcW w:w="1120" w:type="dxa"/>
            <w:vAlign w:val="bottom"/>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SOFR + 6.50%</w:t>
            </w:r>
          </w:p>
        </w:tc>
        <w:tc>
          <w:tcPr>
            <w:tcW w:w="144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11.01 %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30,371</w:t>
            </w:r>
          </w:p>
        </w:tc>
        <w:tc>
          <w:tcPr>
            <w:tcW w:w="10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31,447</w:t>
            </w:r>
          </w:p>
        </w:tc>
        <w:tc>
          <w:tcPr>
            <w:tcW w:w="12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0.8 %</w:t>
            </w:r>
          </w:p>
        </w:tc>
      </w:tr>
      <w:tr>
        <w:trPr>
          <w:trHeight w:val="108"/>
        </w:trPr>
        <w:tc>
          <w:tcPr>
            <w:tcW w:w="1880" w:type="dxa"/>
            <w:vAlign w:val="bottom"/>
          </w:tcPr>
          <w:p>
            <w:pPr>
              <w:ind w:left="20"/>
              <w:spacing w:after="0"/>
              <w:rPr>
                <w:sz w:val="20"/>
                <w:szCs w:val="20"/>
                <w:color w:val="auto"/>
              </w:rPr>
            </w:pPr>
            <w:r>
              <w:rPr>
                <w:rFonts w:ascii="Times New Roman" w:cs="Times New Roman" w:eastAsia="Times New Roman" w:hAnsi="Times New Roman"/>
                <w:sz w:val="8"/>
                <w:szCs w:val="8"/>
                <w:color w:val="auto"/>
              </w:rPr>
              <w:t>(3)(5)</w:t>
            </w:r>
          </w:p>
        </w:tc>
        <w:tc>
          <w:tcPr>
            <w:tcW w:w="2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1880" w:type="dxa"/>
            <w:vAlign w:val="bottom"/>
            <w:shd w:val="clear" w:color="auto" w:fill="CFF0FC"/>
          </w:tcPr>
          <w:p>
            <w:pPr>
              <w:spacing w:after="0"/>
              <w:rPr>
                <w:sz w:val="11"/>
                <w:szCs w:val="11"/>
                <w:color w:val="auto"/>
              </w:rPr>
            </w:pPr>
          </w:p>
        </w:tc>
        <w:tc>
          <w:tcPr>
            <w:tcW w:w="26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513,142</w:t>
            </w: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523,725</w:t>
            </w:r>
          </w:p>
        </w:tc>
        <w:tc>
          <w:tcPr>
            <w:tcW w:w="126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13.0 %</w:t>
            </w:r>
          </w:p>
        </w:tc>
      </w:tr>
      <w:tr>
        <w:trPr>
          <w:trHeight w:val="128"/>
        </w:trPr>
        <w:tc>
          <w:tcPr>
            <w:tcW w:w="188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68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Aptean, Inc. </w:t>
            </w:r>
            <w:r>
              <w:rPr>
                <w:rFonts w:ascii="Times New Roman" w:cs="Times New Roman" w:eastAsia="Times New Roman" w:hAnsi="Times New Roman"/>
                <w:sz w:val="15"/>
                <w:szCs w:val="15"/>
                <w:color w:val="auto"/>
                <w:vertAlign w:val="superscript"/>
              </w:rPr>
              <w:t>(3)</w:t>
            </w:r>
          </w:p>
        </w:tc>
        <w:tc>
          <w:tcPr>
            <w:tcW w:w="268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($123,688 par, due 1/2031)</w:t>
            </w:r>
          </w:p>
        </w:tc>
        <w:tc>
          <w:tcPr>
            <w:tcW w:w="90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1/30/2024</w:t>
            </w:r>
          </w:p>
        </w:tc>
        <w:tc>
          <w:tcPr>
            <w:tcW w:w="112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9.58 %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122,468</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124,037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3.2 %</w:t>
            </w:r>
          </w:p>
        </w:tc>
      </w:tr>
      <w:tr>
        <w:trPr>
          <w:trHeight w:val="131"/>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ASP Unifrax Holdings, Inc. </w:t>
            </w:r>
            <w:r>
              <w:rPr>
                <w:rFonts w:ascii="Times New Roman" w:cs="Times New Roman" w:eastAsia="Times New Roman" w:hAnsi="Times New Roman"/>
                <w:sz w:val="15"/>
                <w:szCs w:val="15"/>
                <w:color w:val="auto"/>
                <w:vertAlign w:val="superscript"/>
              </w:rPr>
              <w:t>(12)</w:t>
            </w:r>
          </w:p>
        </w:tc>
        <w:tc>
          <w:tcPr>
            <w:tcW w:w="26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 xml:space="preserve">First-lien loan ($3,449 par, due 9/2029) </w:t>
            </w:r>
            <w:r>
              <w:rPr>
                <w:rFonts w:ascii="Times New Roman" w:cs="Times New Roman" w:eastAsia="Times New Roman" w:hAnsi="Times New Roman"/>
                <w:sz w:val="15"/>
                <w:szCs w:val="15"/>
                <w:color w:val="auto"/>
                <w:vertAlign w:val="superscript"/>
              </w:rPr>
              <w:t>(3)</w:t>
            </w:r>
          </w:p>
        </w:tc>
        <w:tc>
          <w:tcPr>
            <w:tcW w:w="900" w:type="dxa"/>
            <w:vAlign w:val="bottom"/>
          </w:tcPr>
          <w:p>
            <w:pPr>
              <w:jc w:val="right"/>
              <w:ind w:right="38"/>
              <w:spacing w:after="0" w:line="131" w:lineRule="exact"/>
              <w:rPr>
                <w:sz w:val="20"/>
                <w:szCs w:val="20"/>
                <w:color w:val="auto"/>
              </w:rPr>
            </w:pPr>
            <w:r>
              <w:rPr>
                <w:rFonts w:ascii="Times New Roman" w:cs="Times New Roman" w:eastAsia="Times New Roman" w:hAnsi="Times New Roman"/>
                <w:sz w:val="13"/>
                <w:szCs w:val="13"/>
                <w:color w:val="auto"/>
              </w:rPr>
              <w:t>9/30/2024</w:t>
            </w:r>
          </w:p>
        </w:tc>
        <w:tc>
          <w:tcPr>
            <w:tcW w:w="112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3"/>
                <w:szCs w:val="13"/>
                <w:color w:val="auto"/>
              </w:rPr>
              <w:t>SOFR + 7.75%</w:t>
            </w:r>
          </w:p>
        </w:tc>
        <w:tc>
          <w:tcPr>
            <w:tcW w:w="1440" w:type="dxa"/>
            <w:vAlign w:val="bottom"/>
          </w:tcPr>
          <w:p>
            <w:pPr>
              <w:jc w:val="right"/>
              <w:ind w:right="238"/>
              <w:spacing w:after="0" w:line="131" w:lineRule="exact"/>
              <w:rPr>
                <w:sz w:val="20"/>
                <w:szCs w:val="20"/>
                <w:color w:val="auto"/>
              </w:rPr>
            </w:pPr>
            <w:r>
              <w:rPr>
                <w:rFonts w:ascii="Times New Roman" w:cs="Times New Roman" w:eastAsia="Times New Roman" w:hAnsi="Times New Roman"/>
                <w:sz w:val="13"/>
                <w:szCs w:val="13"/>
                <w:color w:val="auto"/>
              </w:rPr>
              <w:t>12.08% (incl. 4.75%</w:t>
            </w: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3,376</w:t>
            </w:r>
          </w:p>
        </w:tc>
        <w:tc>
          <w:tcPr>
            <w:tcW w:w="10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3,484</w:t>
            </w:r>
          </w:p>
        </w:tc>
        <w:tc>
          <w:tcPr>
            <w:tcW w:w="1260" w:type="dxa"/>
            <w:vAlign w:val="bottom"/>
            <w:gridSpan w:val="3"/>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-1882775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-1882775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-1882775</wp:posOffset>
            </wp:positionV>
            <wp:extent cx="93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-262255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-262255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-262255</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3"/>
          <w:szCs w:val="13"/>
          <w:color w:val="auto"/>
        </w:rPr>
        <w:t>PIK)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95" w:name="page96"/>
    <w:bookmarkEnd w:id="95"/>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p>
      <w:pPr>
        <w:ind w:left="20"/>
        <w:spacing w:after="0" w:line="205" w:lineRule="auto"/>
        <w:rPr>
          <w:sz w:val="20"/>
          <w:szCs w:val="20"/>
          <w:color w:val="auto"/>
        </w:rPr>
      </w:pPr>
      <w:r>
        <w:rPr>
          <w:rFonts w:ascii="Times New Roman" w:cs="Times New Roman" w:eastAsia="Times New Roman" w:hAnsi="Times New Roman"/>
          <w:sz w:val="12"/>
          <w:szCs w:val="12"/>
          <w:color w:val="auto"/>
        </w:rPr>
        <w:t>Heritage Environmental Services,</w:t>
      </w:r>
    </w:p>
    <w:p>
      <w:pPr>
        <w:ind w:left="20"/>
        <w:spacing w:after="0"/>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Skylark UK DebtCo Limited </w:t>
      </w:r>
      <w:r>
        <w:rPr>
          <w:rFonts w:ascii="Times New Roman" w:cs="Times New Roman" w:eastAsia="Times New Roman" w:hAnsi="Times New Roman"/>
          <w:sz w:val="15"/>
          <w:szCs w:val="15"/>
          <w:color w:val="auto"/>
          <w:vertAlign w:val="superscript"/>
        </w:rPr>
        <w:t>(3)(4)</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Varinem German BidCo GmbH </w:t>
      </w:r>
      <w:r>
        <w:rPr>
          <w:rFonts w:ascii="Times New Roman" w:cs="Times New Roman" w:eastAsia="Times New Roman" w:hAnsi="Times New Roman"/>
          <w:sz w:val="15"/>
          <w:szCs w:val="15"/>
          <w:color w:val="auto"/>
          <w:vertAlign w:val="superscript"/>
        </w:rPr>
        <w:t>(3)</w:t>
      </w:r>
    </w:p>
    <w:p>
      <w:pPr>
        <w:ind w:left="20"/>
        <w:spacing w:after="0"/>
        <w:rPr>
          <w:sz w:val="20"/>
          <w:szCs w:val="20"/>
          <w:color w:val="auto"/>
        </w:rPr>
      </w:pPr>
      <w:r>
        <w:rPr>
          <w:rFonts w:ascii="Times New Roman" w:cs="Times New Roman" w:eastAsia="Times New Roman" w:hAnsi="Times New Roman"/>
          <w:sz w:val="8"/>
          <w:szCs w:val="8"/>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Second-lien note ($1,999 par, due 9/2029)</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8/31/2023</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7.10 %</w:t>
            </w:r>
          </w:p>
        </w:tc>
        <w:tc>
          <w:tcPr>
            <w:tcW w:w="15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7.10% (incl. 1.25%</w:t>
            </w: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1,513</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1,309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r>
      <w:tr>
        <w:trPr>
          <w:trHeight w:val="135"/>
        </w:trPr>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($136,364 par, due 10/2028)</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10/19/2022</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5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10.58 %</w:t>
            </w:r>
          </w:p>
        </w:tc>
        <w:tc>
          <w:tcPr>
            <w:tcW w:w="8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133,991</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137,489</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3.4 %</w:t>
            </w:r>
          </w:p>
        </w:tc>
      </w:tr>
      <w:tr>
        <w:trPr>
          <w:trHeight w:val="16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($131,681 par, due 1/2031)</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1/31/2024</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+ 5.25%</w:t>
            </w:r>
          </w:p>
        </w:tc>
        <w:tc>
          <w:tcPr>
            <w:tcW w:w="15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9.84 %</w:t>
            </w: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130,976</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133,195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241"/>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($16,608 par, due 1/2031)</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1/31/2024</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+ 5.00%</w:t>
            </w:r>
          </w:p>
        </w:tc>
        <w:tc>
          <w:tcPr>
            <w:tcW w:w="15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9.33 %</w:t>
            </w: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16,529</w:t>
            </w: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16,608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($56,651 par, due 9/2030)</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SOFR + 5.66%</w:t>
            </w:r>
          </w:p>
        </w:tc>
        <w:tc>
          <w:tcPr>
            <w:tcW w:w="15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9.99 %</w:t>
            </w:r>
          </w:p>
        </w:tc>
        <w:tc>
          <w:tcPr>
            <w:tcW w:w="8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55,303</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1.4 %</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(GBP 57,691 par, due 9/2030)</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 + 5.66%</w:t>
            </w:r>
          </w:p>
        </w:tc>
        <w:tc>
          <w:tcPr>
            <w:tcW w:w="15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10.36 %</w:t>
            </w:r>
          </w:p>
        </w:tc>
        <w:tc>
          <w:tcPr>
            <w:tcW w:w="8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69,740</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73,215</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1.8 %</w:t>
            </w:r>
          </w:p>
        </w:tc>
      </w:tr>
      <w:tr>
        <w:trPr>
          <w:trHeight w:val="135"/>
        </w:trPr>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(GBP 58,460)</w:t>
            </w:r>
          </w:p>
        </w:tc>
        <w:tc>
          <w:tcPr>
            <w:tcW w:w="800" w:type="dxa"/>
            <w:vAlign w:val="bottom"/>
          </w:tcPr>
          <w:p>
            <w:pPr>
              <w:spacing w:after="0"/>
              <w:rPr>
                <w:sz w:val="11"/>
                <w:szCs w:val="11"/>
                <w:color w:val="auto"/>
              </w:rPr>
            </w:pP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16,819 par, due 9/2030)</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E + 5.66%</w:t>
            </w:r>
          </w:p>
        </w:tc>
        <w:tc>
          <w:tcPr>
            <w:tcW w:w="15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8.35 %</w:t>
            </w:r>
          </w:p>
        </w:tc>
        <w:tc>
          <w:tcPr>
            <w:tcW w:w="8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17,580</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17,590</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0.4 %</w:t>
            </w:r>
          </w:p>
        </w:tc>
      </w:tr>
      <w:tr>
        <w:trPr>
          <w:trHeight w:val="135"/>
        </w:trPr>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(EUR 16,987)</w:t>
            </w:r>
          </w:p>
        </w:tc>
        <w:tc>
          <w:tcPr>
            <w:tcW w:w="800" w:type="dxa"/>
            <w:vAlign w:val="bottom"/>
          </w:tcPr>
          <w:p>
            <w:pPr>
              <w:spacing w:after="0"/>
              <w:rPr>
                <w:sz w:val="11"/>
                <w:szCs w:val="11"/>
                <w:color w:val="auto"/>
              </w:rPr>
            </w:pP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12,696 par, due 7/2031)</w:t>
            </w:r>
          </w:p>
        </w:tc>
        <w:tc>
          <w:tcPr>
            <w:tcW w:w="9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7/11/2024</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E + 5.75%</w:t>
            </w:r>
          </w:p>
        </w:tc>
        <w:tc>
          <w:tcPr>
            <w:tcW w:w="15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9.42 %</w:t>
            </w:r>
          </w:p>
        </w:tc>
        <w:tc>
          <w:tcPr>
            <w:tcW w:w="8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13,681</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13,105</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0.3 %</w:t>
            </w:r>
          </w:p>
        </w:tc>
      </w:tr>
      <w:tr>
        <w:trPr>
          <w:trHeight w:val="153"/>
        </w:trPr>
        <w:tc>
          <w:tcPr>
            <w:tcW w:w="2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(EUR 12,656)</w:t>
            </w:r>
          </w:p>
        </w:tc>
        <w:tc>
          <w:tcPr>
            <w:tcW w:w="8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-1113790</wp:posOffset>
            </wp:positionV>
            <wp:extent cx="713232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-856615</wp:posOffset>
            </wp:positionV>
            <wp:extent cx="713232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-599440</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-342265</wp:posOffset>
            </wp:positionV>
            <wp:extent cx="71323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60" w:space="220"/>
            <w:col w:w="9260"/>
          </w:cols>
          <w:pgMar w:left="320" w:top="971"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8"/>
        </w:trPr>
        <w:tc>
          <w:tcPr>
            <w:tcW w:w="18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565,157</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577,249</w:t>
            </w:r>
          </w:p>
        </w:tc>
        <w:tc>
          <w:tcPr>
            <w:tcW w:w="20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2"/>
                <w:szCs w:val="12"/>
                <w:color w:val="auto"/>
              </w:rPr>
              <w:t>14.3 %</w:t>
            </w:r>
          </w:p>
        </w:tc>
      </w:tr>
      <w:tr>
        <w:trPr>
          <w:trHeight w:val="128"/>
        </w:trPr>
        <w:tc>
          <w:tcPr>
            <w:tcW w:w="18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72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18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7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2/21/2023</w:t>
            </w:r>
          </w:p>
        </w:tc>
        <w:tc>
          <w:tcPr>
            <w:tcW w:w="1440" w:type="dxa"/>
            <w:vAlign w:val="bottom"/>
            <w:shd w:val="clear" w:color="auto" w:fill="CFF0FC"/>
          </w:tcPr>
          <w:p>
            <w:pPr>
              <w:jc w:val="right"/>
              <w:ind w:right="517"/>
              <w:spacing w:after="0" w:line="135" w:lineRule="exact"/>
              <w:rPr>
                <w:sz w:val="20"/>
                <w:szCs w:val="20"/>
                <w:color w:val="auto"/>
              </w:rPr>
            </w:pPr>
            <w:r>
              <w:rPr>
                <w:rFonts w:ascii="Times New Roman" w:cs="Times New Roman" w:eastAsia="Times New Roman" w:hAnsi="Times New Roman"/>
                <w:sz w:val="13"/>
                <w:szCs w:val="13"/>
                <w:color w:val="auto"/>
              </w:rPr>
              <w:t>SOFR + 7.10%</w:t>
            </w:r>
          </w:p>
        </w:tc>
        <w:tc>
          <w:tcPr>
            <w:tcW w:w="11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11.46 %</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96,519</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98,537</w:t>
            </w:r>
          </w:p>
        </w:tc>
        <w:tc>
          <w:tcPr>
            <w:tcW w:w="126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2.4 %</w:t>
            </w: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Mach Natural Resources LP </w:t>
            </w:r>
            <w:r>
              <w:rPr>
                <w:rFonts w:ascii="Times New Roman" w:cs="Times New Roman" w:eastAsia="Times New Roman" w:hAnsi="Times New Roman"/>
                <w:sz w:val="15"/>
                <w:szCs w:val="15"/>
                <w:color w:val="auto"/>
                <w:vertAlign w:val="superscript"/>
              </w:rPr>
              <w:t>(3)(4)</w:t>
            </w:r>
          </w:p>
        </w:tc>
        <w:tc>
          <w:tcPr>
            <w:tcW w:w="27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($115,625 par, due 12/2026)</w:t>
            </w: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12/28/2023</w:t>
            </w:r>
          </w:p>
        </w:tc>
        <w:tc>
          <w:tcPr>
            <w:tcW w:w="144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3"/>
                <w:szCs w:val="13"/>
                <w:color w:val="auto"/>
              </w:rPr>
              <w:t>SOFR + 6.65%</w:t>
            </w:r>
          </w:p>
        </w:tc>
        <w:tc>
          <w:tcPr>
            <w:tcW w:w="11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10.98 %</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114,031</w:t>
            </w: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116,492</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3.0 %</w:t>
            </w:r>
          </w:p>
        </w:tc>
      </w:tr>
      <w:tr>
        <w:trPr>
          <w:trHeight w:val="20"/>
        </w:trPr>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210,550</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215,029</w:t>
            </w:r>
          </w:p>
        </w:tc>
        <w:tc>
          <w:tcPr>
            <w:tcW w:w="2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5.4 %</w:t>
            </w:r>
          </w:p>
        </w:tc>
      </w:tr>
      <w:tr>
        <w:trPr>
          <w:trHeight w:val="128"/>
        </w:trPr>
        <w:tc>
          <w:tcPr>
            <w:tcW w:w="18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272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14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Scorpio Bidco </w:t>
            </w:r>
            <w:r>
              <w:rPr>
                <w:rFonts w:ascii="Times New Roman" w:cs="Times New Roman" w:eastAsia="Times New Roman" w:hAnsi="Times New Roman"/>
                <w:sz w:val="13"/>
                <w:szCs w:val="13"/>
                <w:color w:val="auto"/>
                <w:vertAlign w:val="superscript"/>
              </w:rPr>
              <w:t>(3)(4)</w:t>
            </w:r>
          </w:p>
        </w:tc>
        <w:tc>
          <w:tcPr>
            <w:tcW w:w="272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75,326 par, due 4/2031)</w:t>
            </w:r>
          </w:p>
        </w:tc>
        <w:tc>
          <w:tcPr>
            <w:tcW w:w="9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4/4/2024</w:t>
            </w:r>
          </w:p>
        </w:tc>
        <w:tc>
          <w:tcPr>
            <w:tcW w:w="1440" w:type="dxa"/>
            <w:vAlign w:val="bottom"/>
            <w:shd w:val="clear" w:color="auto" w:fill="CFF0FC"/>
          </w:tcPr>
          <w:p>
            <w:pPr>
              <w:jc w:val="right"/>
              <w:ind w:right="51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8.43 %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80,131</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77,534</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1.9 %</w:t>
            </w:r>
          </w:p>
        </w:tc>
      </w:tr>
      <w:tr>
        <w:trPr>
          <w:trHeight w:val="153"/>
        </w:trPr>
        <w:tc>
          <w:tcPr>
            <w:tcW w:w="184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74,876)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Sky Bidco S.p.A. </w:t>
            </w:r>
            <w:r>
              <w:rPr>
                <w:rFonts w:ascii="Times New Roman" w:cs="Times New Roman" w:eastAsia="Times New Roman" w:hAnsi="Times New Roman"/>
                <w:sz w:val="13"/>
                <w:szCs w:val="13"/>
                <w:color w:val="auto"/>
                <w:vertAlign w:val="superscript"/>
              </w:rPr>
              <w:t>(3)(4)</w:t>
            </w:r>
          </w:p>
        </w:tc>
        <w:tc>
          <w:tcPr>
            <w:tcW w:w="272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note (EUR 52,053 par, due 10/2031)</w:t>
            </w:r>
          </w:p>
        </w:tc>
        <w:tc>
          <w:tcPr>
            <w:tcW w:w="9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440" w:type="dxa"/>
            <w:vAlign w:val="bottom"/>
          </w:tcPr>
          <w:p>
            <w:pPr>
              <w:jc w:val="right"/>
              <w:ind w:right="51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1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8.20 %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54,529</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52,439</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1.3 %</w:t>
            </w:r>
          </w:p>
        </w:tc>
      </w:tr>
      <w:tr>
        <w:trPr>
          <w:trHeight w:val="153"/>
        </w:trPr>
        <w:tc>
          <w:tcPr>
            <w:tcW w:w="1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50,641)</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spacing w:after="0"/>
              <w:rPr>
                <w:sz w:val="10"/>
                <w:szCs w:val="10"/>
                <w:color w:val="auto"/>
              </w:rPr>
            </w:pPr>
          </w:p>
        </w:tc>
        <w:tc>
          <w:tcPr>
            <w:tcW w:w="272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note ($115,131 par, due 10/2031)</w:t>
            </w:r>
          </w:p>
        </w:tc>
        <w:tc>
          <w:tcPr>
            <w:tcW w:w="90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440" w:type="dxa"/>
            <w:vAlign w:val="bottom"/>
            <w:shd w:val="clear" w:color="auto" w:fill="CFF0FC"/>
          </w:tcPr>
          <w:p>
            <w:pPr>
              <w:jc w:val="right"/>
              <w:ind w:right="5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10.51 %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112,884</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113,116</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2.8 %</w:t>
            </w:r>
          </w:p>
        </w:tc>
      </w:tr>
      <w:tr>
        <w:trPr>
          <w:trHeight w:val="140"/>
        </w:trPr>
        <w:tc>
          <w:tcPr>
            <w:tcW w:w="1840" w:type="dxa"/>
            <w:vAlign w:val="bottom"/>
            <w:tcBorders>
              <w:bottom w:val="single" w:sz="8" w:color="CFF0FC"/>
            </w:tcBorders>
            <w:shd w:val="clear" w:color="auto" w:fill="CFF0FC"/>
          </w:tcPr>
          <w:p>
            <w:pPr>
              <w:spacing w:after="0"/>
              <w:rPr>
                <w:sz w:val="12"/>
                <w:szCs w:val="12"/>
                <w:color w:val="auto"/>
              </w:rPr>
            </w:pPr>
          </w:p>
        </w:tc>
        <w:tc>
          <w:tcPr>
            <w:tcW w:w="27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CFF0FC"/>
            </w:tcBorders>
            <w:shd w:val="clear" w:color="auto" w:fill="CFF0FC"/>
          </w:tcPr>
          <w:p>
            <w:pPr>
              <w:jc w:val="right"/>
              <w:ind w:right="517"/>
              <w:spacing w:after="0" w:line="140" w:lineRule="exact"/>
              <w:rPr>
                <w:sz w:val="20"/>
                <w:szCs w:val="20"/>
                <w:color w:val="auto"/>
              </w:rPr>
            </w:pPr>
            <w:r>
              <w:rPr>
                <w:rFonts w:ascii="Times New Roman" w:cs="Times New Roman" w:eastAsia="Times New Roman" w:hAnsi="Times New Roman"/>
                <w:sz w:val="13"/>
                <w:szCs w:val="13"/>
                <w:color w:val="auto"/>
              </w:rPr>
              <w:t>5.25%</w:t>
            </w:r>
          </w:p>
        </w:tc>
        <w:tc>
          <w:tcPr>
            <w:tcW w:w="1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38"/>
        </w:trPr>
        <w:tc>
          <w:tcPr>
            <w:tcW w:w="1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247,544</w:t>
            </w:r>
          </w:p>
        </w:tc>
        <w:tc>
          <w:tcPr>
            <w:tcW w:w="10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243,089</w:t>
            </w:r>
          </w:p>
        </w:tc>
        <w:tc>
          <w:tcPr>
            <w:tcW w:w="12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-1059815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-1059815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-1059815</wp:posOffset>
            </wp:positionV>
            <wp:extent cx="939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-699770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-699770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-699770</wp:posOffset>
            </wp:positionV>
            <wp:extent cx="939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-99695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-99695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-99695</wp:posOffset>
            </wp:positionV>
            <wp:extent cx="939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-5080</wp:posOffset>
            </wp:positionV>
            <wp:extent cx="19545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p>
      <w:pPr>
        <w:ind w:left="20"/>
        <w:spacing w:after="0" w:line="189" w:lineRule="auto"/>
        <w:rPr>
          <w:sz w:val="20"/>
          <w:szCs w:val="20"/>
          <w:color w:val="auto"/>
        </w:rPr>
      </w:pPr>
      <w:r>
        <w:rPr>
          <w:rFonts w:ascii="Times New Roman" w:cs="Times New Roman" w:eastAsia="Times New Roman" w:hAnsi="Times New Roman"/>
          <w:sz w:val="13"/>
          <w:szCs w:val="13"/>
          <w:b w:val="1"/>
          <w:bCs w:val="1"/>
          <w:color w:val="auto"/>
        </w:rPr>
        <w:t>Pharmaceuticals</w:t>
      </w:r>
    </w:p>
    <w:p>
      <w:pPr>
        <w:ind w:left="20"/>
        <w:spacing w:after="0"/>
        <w:rPr>
          <w:sz w:val="20"/>
          <w:szCs w:val="20"/>
          <w:color w:val="auto"/>
        </w:rPr>
      </w:pPr>
      <w:r>
        <w:rPr>
          <w:rFonts w:ascii="Times New Roman" w:cs="Times New Roman" w:eastAsia="Times New Roman" w:hAnsi="Times New Roman"/>
          <w:sz w:val="12"/>
          <w:szCs w:val="12"/>
          <w:color w:val="auto"/>
        </w:rPr>
        <w:t xml:space="preserve">Apellis Pharmaceuticals, Inc. </w:t>
      </w:r>
      <w:r>
        <w:rPr>
          <w:rFonts w:ascii="Times New Roman" w:cs="Times New Roman" w:eastAsia="Times New Roman" w:hAnsi="Times New Roman"/>
          <w:sz w:val="15"/>
          <w:szCs w:val="15"/>
          <w:color w:val="auto"/>
          <w:vertAlign w:val="superscript"/>
        </w:rPr>
        <w:t>(3)(4)</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5"/>
          <w:szCs w:val="15"/>
          <w:color w:val="auto"/>
          <w:vertAlign w:val="superscript"/>
        </w:rPr>
        <w:t>(4)</w:t>
      </w:r>
    </w:p>
    <w:p>
      <w:pPr>
        <w:ind w:left="20"/>
        <w:spacing w:after="0"/>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6"/>
          <w:szCs w:val="16"/>
          <w:color w:val="auto"/>
          <w:vertAlign w:val="superscript"/>
        </w:rPr>
        <w:t>(3)(4)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($157,895 par, due 5/2030)</w:t>
            </w: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5/13/2024</w:t>
            </w:r>
          </w:p>
        </w:tc>
        <w:tc>
          <w:tcPr>
            <w:tcW w:w="1380" w:type="dxa"/>
            <w:vAlign w:val="bottom"/>
          </w:tcPr>
          <w:p>
            <w:pPr>
              <w:jc w:val="right"/>
              <w:ind w:right="597"/>
              <w:spacing w:after="0"/>
              <w:rPr>
                <w:sz w:val="20"/>
                <w:szCs w:val="20"/>
                <w:color w:val="auto"/>
              </w:rPr>
            </w:pPr>
            <w:r>
              <w:rPr>
                <w:rFonts w:ascii="Times New Roman" w:cs="Times New Roman" w:eastAsia="Times New Roman" w:hAnsi="Times New Roman"/>
                <w:sz w:val="13"/>
                <w:szCs w:val="13"/>
                <w:color w:val="auto"/>
              </w:rPr>
              <w:t>SOFR +</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10.08 %</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157,895</w:t>
            </w:r>
          </w:p>
        </w:tc>
        <w:tc>
          <w:tcPr>
            <w:tcW w:w="14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159,395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35"/>
        </w:trPr>
        <w:tc>
          <w:tcPr>
            <w:tcW w:w="2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5.75%</w:t>
            </w: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($139,864 par, due 8/2031)</w:t>
            </w:r>
          </w:p>
        </w:tc>
        <w:tc>
          <w:tcPr>
            <w:tcW w:w="10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8/7/2024</w:t>
            </w:r>
          </w:p>
        </w:tc>
        <w:tc>
          <w:tcPr>
            <w:tcW w:w="13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15.00 %</w:t>
            </w:r>
          </w:p>
        </w:tc>
        <w:tc>
          <w:tcPr>
            <w:tcW w:w="12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15.00 %</w:t>
            </w: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138,589</w:t>
            </w:r>
          </w:p>
        </w:tc>
        <w:tc>
          <w:tcPr>
            <w:tcW w:w="14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186,719</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4.6 %</w:t>
            </w:r>
          </w:p>
        </w:tc>
      </w:tr>
      <w:tr>
        <w:trPr>
          <w:trHeight w:val="135"/>
        </w:trPr>
        <w:tc>
          <w:tcPr>
            <w:tcW w:w="2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139,148 par, due 12/2030)</w:t>
            </w:r>
          </w:p>
        </w:tc>
        <w:tc>
          <w:tcPr>
            <w:tcW w:w="10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12/11/2024</w:t>
            </w:r>
          </w:p>
        </w:tc>
        <w:tc>
          <w:tcPr>
            <w:tcW w:w="138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E + 7.25%</w:t>
            </w:r>
          </w:p>
        </w:tc>
        <w:tc>
          <w:tcPr>
            <w:tcW w:w="12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10.07 %</w:t>
            </w:r>
          </w:p>
        </w:tc>
        <w:tc>
          <w:tcPr>
            <w:tcW w:w="8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142,331</w:t>
            </w:r>
          </w:p>
        </w:tc>
        <w:tc>
          <w:tcPr>
            <w:tcW w:w="14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140,846</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3.5 %</w:t>
            </w:r>
          </w:p>
        </w:tc>
      </w:tr>
      <w:tr>
        <w:trPr>
          <w:trHeight w:val="149"/>
        </w:trPr>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(EUR 136,017)</w:t>
            </w:r>
          </w:p>
        </w:tc>
        <w:tc>
          <w:tcPr>
            <w:tcW w:w="8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-511175</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-254000</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20" w:space="160"/>
            <w:col w:w="9260"/>
          </w:cols>
          <w:pgMar w:left="320" w:top="971"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840" w:type="dxa"/>
            <w:vAlign w:val="bottom"/>
            <w:shd w:val="clear" w:color="auto" w:fill="CFF0FC"/>
          </w:tcPr>
          <w:p>
            <w:pPr>
              <w:spacing w:after="0"/>
              <w:rPr>
                <w:sz w:val="10"/>
                <w:szCs w:val="10"/>
                <w:color w:val="auto"/>
              </w:rPr>
            </w:pPr>
          </w:p>
        </w:tc>
        <w:tc>
          <w:tcPr>
            <w:tcW w:w="2760" w:type="dxa"/>
            <w:vAlign w:val="bottom"/>
            <w:shd w:val="clear" w:color="auto" w:fill="CFF0FC"/>
          </w:tcPr>
          <w:p>
            <w:pPr>
              <w:ind w:left="140"/>
              <w:spacing w:after="0" w:line="121" w:lineRule="exact"/>
              <w:rPr>
                <w:sz w:val="20"/>
                <w:szCs w:val="20"/>
                <w:color w:val="auto"/>
              </w:rPr>
            </w:pPr>
            <w:r>
              <w:rPr>
                <w:rFonts w:ascii="Times New Roman" w:cs="Times New Roman" w:eastAsia="Times New Roman" w:hAnsi="Times New Roman"/>
                <w:sz w:val="13"/>
                <w:szCs w:val="13"/>
                <w:color w:val="auto"/>
              </w:rPr>
              <w:t>First-lien loan (GBP 77,006 par, due 12/2030)</w:t>
            </w:r>
          </w:p>
        </w:tc>
        <w:tc>
          <w:tcPr>
            <w:tcW w:w="980" w:type="dxa"/>
            <w:vAlign w:val="bottom"/>
            <w:shd w:val="clear" w:color="auto" w:fill="CFF0FC"/>
          </w:tcPr>
          <w:p>
            <w:pPr>
              <w:jc w:val="right"/>
              <w:ind w:right="157"/>
              <w:spacing w:after="0" w:line="121" w:lineRule="exact"/>
              <w:rPr>
                <w:sz w:val="20"/>
                <w:szCs w:val="20"/>
                <w:color w:val="auto"/>
              </w:rPr>
            </w:pPr>
            <w:r>
              <w:rPr>
                <w:rFonts w:ascii="Times New Roman" w:cs="Times New Roman" w:eastAsia="Times New Roman" w:hAnsi="Times New Roman"/>
                <w:sz w:val="13"/>
                <w:szCs w:val="13"/>
                <w:color w:val="auto"/>
              </w:rPr>
              <w:t>12/11/2024</w:t>
            </w:r>
          </w:p>
        </w:tc>
        <w:tc>
          <w:tcPr>
            <w:tcW w:w="920" w:type="dxa"/>
            <w:vAlign w:val="bottom"/>
            <w:shd w:val="clear" w:color="auto" w:fill="CFF0FC"/>
          </w:tcPr>
          <w:p>
            <w:pPr>
              <w:jc w:val="right"/>
              <w:ind w:right="117"/>
              <w:spacing w:after="0" w:line="121" w:lineRule="exact"/>
              <w:rPr>
                <w:sz w:val="20"/>
                <w:szCs w:val="20"/>
                <w:color w:val="auto"/>
              </w:rPr>
            </w:pPr>
            <w:r>
              <w:rPr>
                <w:rFonts w:ascii="Times New Roman" w:cs="Times New Roman" w:eastAsia="Times New Roman" w:hAnsi="Times New Roman"/>
                <w:sz w:val="13"/>
                <w:szCs w:val="13"/>
                <w:color w:val="auto"/>
              </w:rPr>
              <w:t>S + 7.25%</w:t>
            </w:r>
          </w:p>
        </w:tc>
        <w:tc>
          <w:tcPr>
            <w:tcW w:w="1520" w:type="dxa"/>
            <w:vAlign w:val="bottom"/>
            <w:shd w:val="clear" w:color="auto" w:fill="CFF0FC"/>
          </w:tcPr>
          <w:p>
            <w:pPr>
              <w:jc w:val="right"/>
              <w:ind w:right="77"/>
              <w:spacing w:after="0" w:line="121" w:lineRule="exact"/>
              <w:rPr>
                <w:sz w:val="20"/>
                <w:szCs w:val="20"/>
                <w:color w:val="auto"/>
              </w:rPr>
            </w:pPr>
            <w:r>
              <w:rPr>
                <w:rFonts w:ascii="Times New Roman" w:cs="Times New Roman" w:eastAsia="Times New Roman" w:hAnsi="Times New Roman"/>
                <w:sz w:val="13"/>
                <w:szCs w:val="13"/>
                <w:color w:val="auto"/>
              </w:rPr>
              <w:t>11.95 %</w:t>
            </w:r>
          </w:p>
        </w:tc>
        <w:tc>
          <w:tcPr>
            <w:tcW w:w="8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95,685</w:t>
            </w:r>
          </w:p>
        </w:tc>
        <w:tc>
          <w:tcPr>
            <w:tcW w:w="108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93,839</w:t>
            </w:r>
          </w:p>
        </w:tc>
        <w:tc>
          <w:tcPr>
            <w:tcW w:w="12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3"/>
                <w:szCs w:val="13"/>
                <w:color w:val="auto"/>
              </w:rPr>
              <w:t>2.3 %</w:t>
            </w:r>
          </w:p>
        </w:tc>
      </w:tr>
      <w:tr>
        <w:trPr>
          <w:trHeight w:val="153"/>
        </w:trPr>
        <w:tc>
          <w:tcPr>
            <w:tcW w:w="184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74,927)</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29"/>
        </w:trPr>
        <w:tc>
          <w:tcPr>
            <w:tcW w:w="18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534,500</w:t>
            </w:r>
          </w:p>
        </w:tc>
        <w:tc>
          <w:tcPr>
            <w:tcW w:w="10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580,799</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14.3 %</w:t>
            </w:r>
          </w:p>
        </w:tc>
      </w:tr>
      <w:tr>
        <w:trPr>
          <w:trHeight w:val="128"/>
        </w:trPr>
        <w:tc>
          <w:tcPr>
            <w:tcW w:w="18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Cirrus (BidCo) Limited </w:t>
            </w:r>
            <w:r>
              <w:rPr>
                <w:rFonts w:ascii="Times New Roman" w:cs="Times New Roman" w:eastAsia="Times New Roman" w:hAnsi="Times New Roman"/>
                <w:sz w:val="13"/>
                <w:szCs w:val="13"/>
                <w:color w:val="auto"/>
                <w:vertAlign w:val="superscript"/>
              </w:rPr>
              <w:t>(3)(4)(5)</w:t>
            </w: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(GBP 675 par, due 8/2030)</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8/9/2024</w:t>
            </w:r>
          </w:p>
        </w:tc>
        <w:tc>
          <w:tcPr>
            <w:tcW w:w="92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 + 6.25%</w:t>
            </w:r>
          </w:p>
        </w:tc>
        <w:tc>
          <w:tcPr>
            <w:tcW w:w="152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10.95% (incl. 3.00%</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836</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836</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667)</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8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vertAlign w:val="subscript"/>
              </w:rPr>
              <w:t>Acosta</w:t>
            </w:r>
            <w:r>
              <w:rPr>
                <w:rFonts w:ascii="Times New Roman" w:cs="Times New Roman" w:eastAsia="Times New Roman" w:hAnsi="Times New Roman"/>
                <w:sz w:val="6"/>
                <w:szCs w:val="6"/>
                <w:color w:val="auto"/>
              </w:rPr>
              <w:t xml:space="preserve"> (3)(12)</w:t>
            </w: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($140,000 par, due 8/2031)</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8/20/2024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10.12 %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137,318</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138,950</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3.4 %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5.60%</w:t>
            </w: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3"/>
                <w:szCs w:val="13"/>
                <w:color w:val="auto"/>
                <w:vertAlign w:val="superscript"/>
              </w:rPr>
              <w:t>(3)(11)</w:t>
            </w:r>
          </w:p>
        </w:tc>
        <w:tc>
          <w:tcPr>
            <w:tcW w:w="276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ABL FILO term loan ($16,352 par, due 8/2027)</w:t>
            </w:r>
          </w:p>
        </w:tc>
        <w:tc>
          <w:tcPr>
            <w:tcW w:w="98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9/2/2022</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14.26 %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16,104</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14,962</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0.4 %</w:t>
            </w:r>
          </w:p>
        </w:tc>
      </w:tr>
      <w:tr>
        <w:trPr>
          <w:trHeight w:val="153"/>
        </w:trPr>
        <w:tc>
          <w:tcPr>
            <w:tcW w:w="184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9.90%</w:t>
            </w:r>
          </w:p>
        </w:tc>
        <w:tc>
          <w:tcPr>
            <w:tcW w:w="15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40" w:type="dxa"/>
            <w:vAlign w:val="bottom"/>
          </w:tcPr>
          <w:p>
            <w:pPr>
              <w:spacing w:after="0"/>
              <w:rPr>
                <w:sz w:val="10"/>
                <w:szCs w:val="10"/>
                <w:color w:val="auto"/>
              </w:rPr>
            </w:pP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Roll Up DIP term loan ($45,317 par)</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12.26% PIK</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45,317</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41,465</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7.90%</w:t>
            </w: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spacing w:after="0"/>
              <w:rPr>
                <w:sz w:val="10"/>
                <w:szCs w:val="10"/>
                <w:color w:val="auto"/>
              </w:rPr>
            </w:pPr>
          </w:p>
        </w:tc>
        <w:tc>
          <w:tcPr>
            <w:tcW w:w="276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Super-Priority DIP term loan ($7,251 par)</w:t>
            </w:r>
          </w:p>
        </w:tc>
        <w:tc>
          <w:tcPr>
            <w:tcW w:w="98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12.26 %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7,251</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6,635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r>
      <w:tr>
        <w:trPr>
          <w:trHeight w:val="153"/>
        </w:trPr>
        <w:tc>
          <w:tcPr>
            <w:tcW w:w="184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7.90%</w:t>
            </w:r>
          </w:p>
        </w:tc>
        <w:tc>
          <w:tcPr>
            <w:tcW w:w="15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Belk, Inc. </w:t>
            </w:r>
            <w:r>
              <w:rPr>
                <w:rFonts w:ascii="Times New Roman" w:cs="Times New Roman" w:eastAsia="Times New Roman" w:hAnsi="Times New Roman"/>
                <w:sz w:val="13"/>
                <w:szCs w:val="13"/>
                <w:color w:val="auto"/>
                <w:vertAlign w:val="superscript"/>
              </w:rPr>
              <w:t>(3)</w:t>
            </w: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($192,563 par, due 7/2029)</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7/22/2024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11.51 %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189,683</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191,118</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4.7 %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7.00%</w:t>
            </w: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Commercehub, Inc. </w:t>
            </w:r>
            <w:r>
              <w:rPr>
                <w:rFonts w:ascii="Times New Roman" w:cs="Times New Roman" w:eastAsia="Times New Roman" w:hAnsi="Times New Roman"/>
                <w:sz w:val="13"/>
                <w:szCs w:val="13"/>
                <w:color w:val="auto"/>
                <w:vertAlign w:val="superscript"/>
              </w:rPr>
              <w:t>(3)</w:t>
            </w:r>
          </w:p>
        </w:tc>
        <w:tc>
          <w:tcPr>
            <w:tcW w:w="276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($147,000 par, due 12/2027)</w:t>
            </w:r>
          </w:p>
        </w:tc>
        <w:tc>
          <w:tcPr>
            <w:tcW w:w="98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11/15/2022</w:t>
            </w:r>
          </w:p>
        </w:tc>
        <w:tc>
          <w:tcPr>
            <w:tcW w:w="92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10.90 %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140,246</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143,325</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3.6 %</w:t>
            </w:r>
          </w:p>
        </w:tc>
      </w:tr>
      <w:tr>
        <w:trPr>
          <w:trHeight w:val="153"/>
        </w:trPr>
        <w:tc>
          <w:tcPr>
            <w:tcW w:w="184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6.25%</w:t>
            </w:r>
          </w:p>
        </w:tc>
        <w:tc>
          <w:tcPr>
            <w:tcW w:w="15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PDI TA Holdings, Inc. </w:t>
            </w:r>
            <w:r>
              <w:rPr>
                <w:rFonts w:ascii="Times New Roman" w:cs="Times New Roman" w:eastAsia="Times New Roman" w:hAnsi="Times New Roman"/>
                <w:sz w:val="13"/>
                <w:szCs w:val="13"/>
                <w:color w:val="auto"/>
                <w:vertAlign w:val="superscript"/>
              </w:rPr>
              <w:t>(3)</w:t>
            </w: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($146,333 par, due 2/2031)</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10.09 %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144,076</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147,197</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3.6 %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5.50%</w:t>
            </w: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08"/>
        </w:trPr>
        <w:tc>
          <w:tcPr>
            <w:tcW w:w="18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Rapid Data GmbH</w:t>
            </w:r>
          </w:p>
        </w:tc>
        <w:tc>
          <w:tcPr>
            <w:tcW w:w="2760" w:type="dxa"/>
            <w:vAlign w:val="bottom"/>
            <w:shd w:val="clear" w:color="auto" w:fill="CFF0FC"/>
          </w:tcPr>
          <w:p>
            <w:pPr>
              <w:ind w:left="140"/>
              <w:spacing w:after="0" w:line="108" w:lineRule="exact"/>
              <w:rPr>
                <w:sz w:val="20"/>
                <w:szCs w:val="20"/>
                <w:color w:val="auto"/>
              </w:rPr>
            </w:pPr>
            <w:r>
              <w:rPr>
                <w:rFonts w:ascii="Times New Roman" w:cs="Times New Roman" w:eastAsia="Times New Roman" w:hAnsi="Times New Roman"/>
                <w:sz w:val="12"/>
                <w:szCs w:val="12"/>
                <w:color w:val="auto"/>
              </w:rPr>
              <w:t>First-lien loan (EUR 7,378 par, due 7/2029)</w:t>
            </w:r>
          </w:p>
        </w:tc>
        <w:tc>
          <w:tcPr>
            <w:tcW w:w="980" w:type="dxa"/>
            <w:vAlign w:val="bottom"/>
            <w:shd w:val="clear" w:color="auto" w:fill="CFF0FC"/>
          </w:tcPr>
          <w:p>
            <w:pPr>
              <w:jc w:val="right"/>
              <w:ind w:right="157"/>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920" w:type="dxa"/>
            <w:vAlign w:val="bottom"/>
            <w:shd w:val="clear" w:color="auto" w:fill="CFF0FC"/>
          </w:tcPr>
          <w:p>
            <w:pPr>
              <w:jc w:val="right"/>
              <w:ind w:right="117"/>
              <w:spacing w:after="0" w:line="108" w:lineRule="exact"/>
              <w:rPr>
                <w:sz w:val="20"/>
                <w:szCs w:val="20"/>
                <w:color w:val="auto"/>
              </w:rPr>
            </w:pPr>
            <w:r>
              <w:rPr>
                <w:rFonts w:ascii="Times New Roman" w:cs="Times New Roman" w:eastAsia="Times New Roman" w:hAnsi="Times New Roman"/>
                <w:sz w:val="12"/>
                <w:szCs w:val="12"/>
                <w:color w:val="auto"/>
              </w:rPr>
              <w:t>E + 6.25%</w:t>
            </w:r>
          </w:p>
        </w:tc>
        <w:tc>
          <w:tcPr>
            <w:tcW w:w="1520" w:type="dxa"/>
            <w:vAlign w:val="bottom"/>
            <w:shd w:val="clear" w:color="auto" w:fill="CFF0FC"/>
          </w:tcPr>
          <w:p>
            <w:pPr>
              <w:jc w:val="right"/>
              <w:ind w:right="237"/>
              <w:spacing w:after="0" w:line="108" w:lineRule="exact"/>
              <w:rPr>
                <w:sz w:val="20"/>
                <w:szCs w:val="20"/>
                <w:color w:val="auto"/>
              </w:rPr>
            </w:pPr>
            <w:r>
              <w:rPr>
                <w:rFonts w:ascii="Times New Roman" w:cs="Times New Roman" w:eastAsia="Times New Roman" w:hAnsi="Times New Roman"/>
                <w:sz w:val="12"/>
                <w:szCs w:val="12"/>
                <w:color w:val="auto"/>
              </w:rPr>
              <w:t>9.47% (incl. 3.00%</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7,885</w:t>
            </w:r>
          </w:p>
        </w:tc>
        <w:tc>
          <w:tcPr>
            <w:tcW w:w="10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7,685</w:t>
            </w:r>
          </w:p>
        </w:tc>
        <w:tc>
          <w:tcPr>
            <w:tcW w:w="126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0.2 %</w:t>
            </w:r>
          </w:p>
        </w:tc>
      </w:tr>
      <w:tr>
        <w:trPr>
          <w:trHeight w:val="162"/>
        </w:trPr>
        <w:tc>
          <w:tcPr>
            <w:tcW w:w="184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7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7,422)</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r>
      <w:tr>
        <w:trPr>
          <w:trHeight w:val="128"/>
        </w:trPr>
        <w:tc>
          <w:tcPr>
            <w:tcW w:w="18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687,880</w:t>
            </w:r>
          </w:p>
        </w:tc>
        <w:tc>
          <w:tcPr>
            <w:tcW w:w="10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691,337</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17.1 %</w:t>
            </w:r>
          </w:p>
        </w:tc>
      </w:tr>
      <w:tr>
        <w:trPr>
          <w:trHeight w:val="129"/>
        </w:trPr>
        <w:tc>
          <w:tcPr>
            <w:tcW w:w="18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Ben Nevis Midco Limited </w:t>
            </w:r>
            <w:r>
              <w:rPr>
                <w:rFonts w:ascii="Times New Roman" w:cs="Times New Roman" w:eastAsia="Times New Roman" w:hAnsi="Times New Roman"/>
                <w:sz w:val="13"/>
                <w:szCs w:val="13"/>
                <w:color w:val="auto"/>
                <w:vertAlign w:val="superscript"/>
              </w:rPr>
              <w:t>(3)(4)</w:t>
            </w:r>
          </w:p>
        </w:tc>
        <w:tc>
          <w:tcPr>
            <w:tcW w:w="276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($72,693 par, due 3/2028)</w:t>
            </w:r>
          </w:p>
        </w:tc>
        <w:tc>
          <w:tcPr>
            <w:tcW w:w="98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3/26/2024</w:t>
            </w:r>
          </w:p>
        </w:tc>
        <w:tc>
          <w:tcPr>
            <w:tcW w:w="9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5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9.81 %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71,599</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72,193</w:t>
            </w:r>
          </w:p>
        </w:tc>
        <w:tc>
          <w:tcPr>
            <w:tcW w:w="12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1.8 %</w:t>
            </w:r>
          </w:p>
        </w:tc>
      </w:tr>
      <w:tr>
        <w:trPr>
          <w:trHeight w:val="153"/>
        </w:trPr>
        <w:tc>
          <w:tcPr>
            <w:tcW w:w="1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5.25%</w:t>
            </w: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Shiftmove GmbH </w:t>
            </w:r>
            <w:r>
              <w:rPr>
                <w:rFonts w:ascii="Times New Roman" w:cs="Times New Roman" w:eastAsia="Times New Roman" w:hAnsi="Times New Roman"/>
                <w:sz w:val="13"/>
                <w:szCs w:val="13"/>
                <w:color w:val="auto"/>
                <w:vertAlign w:val="superscript"/>
              </w:rPr>
              <w:t>(3)(4)(5)</w:t>
            </w:r>
          </w:p>
        </w:tc>
        <w:tc>
          <w:tcPr>
            <w:tcW w:w="276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14,167 par, due 9/2030)</w:t>
            </w:r>
          </w:p>
        </w:tc>
        <w:tc>
          <w:tcPr>
            <w:tcW w:w="98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92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+ 6.00%</w:t>
            </w:r>
          </w:p>
        </w:tc>
        <w:tc>
          <w:tcPr>
            <w:tcW w:w="15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8.68 %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15,337</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14,307</w:t>
            </w:r>
          </w:p>
        </w:tc>
        <w:tc>
          <w:tcPr>
            <w:tcW w:w="126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0.4 %</w:t>
            </w:r>
          </w:p>
        </w:tc>
      </w:tr>
      <w:tr>
        <w:trPr>
          <w:trHeight w:val="153"/>
        </w:trPr>
        <w:tc>
          <w:tcPr>
            <w:tcW w:w="184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13,817)</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r>
      <w:tr>
        <w:trPr>
          <w:trHeight w:val="128"/>
        </w:trPr>
        <w:tc>
          <w:tcPr>
            <w:tcW w:w="18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86,936</w:t>
            </w:r>
          </w:p>
        </w:tc>
        <w:tc>
          <w:tcPr>
            <w:tcW w:w="10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86,500</w:t>
            </w:r>
          </w:p>
        </w:tc>
        <w:tc>
          <w:tcPr>
            <w:tcW w:w="12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2.2 %</w:t>
            </w:r>
          </w:p>
        </w:tc>
      </w:tr>
      <w:tr>
        <w:trPr>
          <w:trHeight w:val="128"/>
        </w:trPr>
        <w:tc>
          <w:tcPr>
            <w:tcW w:w="184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15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r>
      <w:tr>
        <w:trPr>
          <w:trHeight w:val="129"/>
        </w:trPr>
        <w:tc>
          <w:tcPr>
            <w:tcW w:w="18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6,939,967</w:t>
            </w:r>
          </w:p>
        </w:tc>
        <w:tc>
          <w:tcPr>
            <w:tcW w:w="2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7,089,771</w:t>
            </w:r>
          </w:p>
        </w:tc>
        <w:tc>
          <w:tcPr>
            <w:tcW w:w="20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175.7 %</w:t>
            </w:r>
          </w:p>
        </w:tc>
      </w:tr>
      <w:tr>
        <w:trPr>
          <w:trHeight w:val="20"/>
        </w:trPr>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-2639695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-2639695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-2639695</wp:posOffset>
            </wp:positionV>
            <wp:extent cx="93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-822325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-822325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-822325</wp:posOffset>
            </wp:positionV>
            <wp:extent cx="939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-290830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-290830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-290830</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-102235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-102235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-102235</wp:posOffset>
            </wp:positionV>
            <wp:extent cx="939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48"/>
        </w:trPr>
        <w:tc>
          <w:tcPr>
            <w:tcW w:w="1920" w:type="dxa"/>
            <w:vAlign w:val="bottom"/>
            <w:tcBorders>
              <w:top w:val="single" w:sz="8" w:color="CFF0FC"/>
            </w:tcBorders>
            <w:gridSpan w:val="2"/>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Clarience Technologies, LLC </w:t>
            </w:r>
            <w:r>
              <w:rPr>
                <w:rFonts w:ascii="Times New Roman" w:cs="Times New Roman" w:eastAsia="Times New Roman" w:hAnsi="Times New Roman"/>
                <w:sz w:val="15"/>
                <w:szCs w:val="15"/>
                <w:color w:val="auto"/>
                <w:vertAlign w:val="superscript"/>
              </w:rPr>
              <w:t>(8)(10)</w:t>
            </w:r>
          </w:p>
        </w:tc>
        <w:tc>
          <w:tcPr>
            <w:tcW w:w="17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 Units (2,666 units)</w:t>
            </w:r>
          </w:p>
        </w:tc>
        <w:tc>
          <w:tcPr>
            <w:tcW w:w="1020" w:type="dxa"/>
            <w:vAlign w:val="bottom"/>
          </w:tcPr>
          <w:p>
            <w:pPr>
              <w:spacing w:after="0"/>
              <w:rPr>
                <w:sz w:val="11"/>
                <w:szCs w:val="11"/>
                <w:color w:val="auto"/>
              </w:rPr>
            </w:pPr>
          </w:p>
        </w:tc>
        <w:tc>
          <w:tcPr>
            <w:tcW w:w="92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2/12/2024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6,557</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6,557</w:t>
            </w:r>
          </w:p>
        </w:tc>
        <w:tc>
          <w:tcPr>
            <w:tcW w:w="13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(8)</w:t>
            </w:r>
          </w:p>
        </w:tc>
        <w:tc>
          <w:tcPr>
            <w:tcW w:w="860" w:type="dxa"/>
            <w:vAlign w:val="bottom"/>
            <w:shd w:val="clear" w:color="auto" w:fill="CFF0FC"/>
          </w:tcPr>
          <w:p>
            <w:pPr>
              <w:spacing w:after="0"/>
              <w:rPr>
                <w:sz w:val="11"/>
                <w:szCs w:val="11"/>
                <w:color w:val="auto"/>
              </w:rPr>
            </w:pPr>
          </w:p>
        </w:tc>
        <w:tc>
          <w:tcPr>
            <w:tcW w:w="2720" w:type="dxa"/>
            <w:vAlign w:val="bottom"/>
            <w:gridSpan w:val="5"/>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920" w:type="dxa"/>
            <w:vAlign w:val="bottom"/>
            <w:gridSpan w:val="2"/>
            <w:shd w:val="clear" w:color="auto" w:fill="CFF0FC"/>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6,602</w:t>
            </w:r>
          </w:p>
        </w:tc>
        <w:tc>
          <w:tcPr>
            <w:tcW w:w="1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08"/>
        </w:trPr>
        <w:tc>
          <w:tcPr>
            <w:tcW w:w="19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Insight Hideaway Aggregator, L.P.</w:t>
            </w:r>
          </w:p>
        </w:tc>
        <w:tc>
          <w:tcPr>
            <w:tcW w:w="2720" w:type="dxa"/>
            <w:vAlign w:val="bottom"/>
            <w:gridSpan w:val="5"/>
          </w:tcPr>
          <w:p>
            <w:pPr>
              <w:ind w:left="60"/>
              <w:spacing w:after="0" w:line="108" w:lineRule="exact"/>
              <w:rPr>
                <w:sz w:val="20"/>
                <w:szCs w:val="20"/>
                <w:color w:val="auto"/>
              </w:rPr>
            </w:pPr>
            <w:r>
              <w:rPr>
                <w:rFonts w:ascii="Times New Roman" w:cs="Times New Roman" w:eastAsia="Times New Roman" w:hAnsi="Times New Roman"/>
                <w:sz w:val="12"/>
                <w:szCs w:val="12"/>
                <w:color w:val="auto"/>
              </w:rPr>
              <w:t>Partnership Interest (2,170,139 units)</w:t>
            </w:r>
          </w:p>
        </w:tc>
        <w:tc>
          <w:tcPr>
            <w:tcW w:w="920" w:type="dxa"/>
            <w:vAlign w:val="bottom"/>
            <w:gridSpan w:val="2"/>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3/19/2024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21,701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w w:val="90"/>
              </w:rPr>
              <w:t>21,702</w:t>
            </w:r>
          </w:p>
        </w:tc>
        <w:tc>
          <w:tcPr>
            <w:tcW w:w="13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0.5 %</w:t>
            </w:r>
          </w:p>
        </w:tc>
        <w:tc>
          <w:tcPr>
            <w:tcW w:w="0" w:type="dxa"/>
            <w:vAlign w:val="bottom"/>
          </w:tcPr>
          <w:p>
            <w:pPr>
              <w:spacing w:after="0"/>
              <w:rPr>
                <w:sz w:val="1"/>
                <w:szCs w:val="1"/>
                <w:color w:val="auto"/>
              </w:rPr>
            </w:pPr>
          </w:p>
        </w:tc>
      </w:tr>
      <w:tr>
        <w:trPr>
          <w:trHeight w:val="114"/>
        </w:trPr>
        <w:tc>
          <w:tcPr>
            <w:tcW w:w="1060" w:type="dxa"/>
            <w:vAlign w:val="bottom"/>
          </w:tcPr>
          <w:p>
            <w:pPr>
              <w:ind w:left="20"/>
              <w:spacing w:after="0"/>
              <w:rPr>
                <w:sz w:val="20"/>
                <w:szCs w:val="20"/>
                <w:color w:val="auto"/>
              </w:rPr>
            </w:pPr>
            <w:r>
              <w:rPr>
                <w:rFonts w:ascii="Times New Roman" w:cs="Times New Roman" w:eastAsia="Times New Roman" w:hAnsi="Times New Roman"/>
                <w:sz w:val="8"/>
                <w:szCs w:val="8"/>
                <w:color w:val="auto"/>
              </w:rPr>
              <w:t>(8)(10)</w:t>
            </w: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Newark FP Co-Invest, L.P. </w:t>
            </w:r>
            <w:r>
              <w:rPr>
                <w:rFonts w:ascii="Times New Roman" w:cs="Times New Roman" w:eastAsia="Times New Roman" w:hAnsi="Times New Roman"/>
                <w:sz w:val="16"/>
                <w:szCs w:val="16"/>
                <w:color w:val="auto"/>
                <w:vertAlign w:val="superscript"/>
              </w:rPr>
              <w:t>(8)</w:t>
            </w:r>
          </w:p>
        </w:tc>
        <w:tc>
          <w:tcPr>
            <w:tcW w:w="1700" w:type="dxa"/>
            <w:vAlign w:val="bottom"/>
            <w:gridSpan w:val="4"/>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Partnership (8,555,356 units)</w:t>
            </w:r>
          </w:p>
        </w:tc>
        <w:tc>
          <w:tcPr>
            <w:tcW w:w="10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9"/>
              <w:spacing w:after="0" w:line="143" w:lineRule="exact"/>
              <w:rPr>
                <w:sz w:val="20"/>
                <w:szCs w:val="20"/>
                <w:color w:val="auto"/>
              </w:rPr>
            </w:pPr>
            <w:r>
              <w:rPr>
                <w:rFonts w:ascii="Times New Roman" w:cs="Times New Roman" w:eastAsia="Times New Roman" w:hAnsi="Times New Roman"/>
                <w:sz w:val="13"/>
                <w:szCs w:val="13"/>
                <w:color w:val="auto"/>
              </w:rPr>
              <w:t>11/8/2023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7,629</w:t>
            </w:r>
          </w:p>
        </w:tc>
        <w:tc>
          <w:tcPr>
            <w:tcW w:w="1300" w:type="dxa"/>
            <w:vAlign w:val="bottom"/>
            <w:gridSpan w:val="3"/>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35"/>
        </w:trPr>
        <w:tc>
          <w:tcPr>
            <w:tcW w:w="1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Warrior TopCo LP</w:t>
            </w:r>
          </w:p>
        </w:tc>
        <w:tc>
          <w:tcPr>
            <w:tcW w:w="860" w:type="dxa"/>
            <w:vAlign w:val="bottom"/>
          </w:tcPr>
          <w:p>
            <w:pPr>
              <w:spacing w:after="0"/>
              <w:rPr>
                <w:sz w:val="11"/>
                <w:szCs w:val="11"/>
                <w:color w:val="auto"/>
              </w:rPr>
            </w:pPr>
          </w:p>
        </w:tc>
        <w:tc>
          <w:tcPr>
            <w:tcW w:w="17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Class A Units (9,576,271 units)</w:t>
            </w:r>
          </w:p>
        </w:tc>
        <w:tc>
          <w:tcPr>
            <w:tcW w:w="1020" w:type="dxa"/>
            <w:vAlign w:val="bottom"/>
          </w:tcPr>
          <w:p>
            <w:pPr>
              <w:spacing w:after="0"/>
              <w:rPr>
                <w:sz w:val="11"/>
                <w:szCs w:val="11"/>
                <w:color w:val="auto"/>
              </w:rPr>
            </w:pPr>
          </w:p>
        </w:tc>
        <w:tc>
          <w:tcPr>
            <w:tcW w:w="92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83"/>
              </w:rPr>
              <w:t>13,646</w:t>
            </w:r>
          </w:p>
        </w:tc>
        <w:tc>
          <w:tcPr>
            <w:tcW w:w="22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47,732</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83"/>
              </w:rPr>
              <w:t>49,579</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29"/>
        </w:trPr>
        <w:tc>
          <w:tcPr>
            <w:tcW w:w="106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860" w:type="dxa"/>
            <w:vAlign w:val="bottom"/>
            <w:tcBorders>
              <w:top w:val="single" w:sz="8" w:color="CFF0FC"/>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(8)</w:t>
            </w:r>
          </w:p>
        </w:tc>
        <w:tc>
          <w:tcPr>
            <w:tcW w:w="2720" w:type="dxa"/>
            <w:vAlign w:val="bottom"/>
            <w:gridSpan w:val="5"/>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Partnership Units (337,024 units)</w:t>
            </w:r>
          </w:p>
        </w:tc>
        <w:tc>
          <w:tcPr>
            <w:tcW w:w="920" w:type="dxa"/>
            <w:vAlign w:val="bottom"/>
            <w:gridSpan w:val="2"/>
            <w:shd w:val="clear" w:color="auto" w:fill="CFF0FC"/>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83"/>
              </w:rPr>
              <w:t>13,011</w:t>
            </w:r>
          </w:p>
        </w:tc>
        <w:tc>
          <w:tcPr>
            <w:tcW w:w="1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CLGF Holdings, L.P. </w:t>
            </w:r>
            <w:r>
              <w:rPr>
                <w:rFonts w:ascii="Times New Roman" w:cs="Times New Roman" w:eastAsia="Times New Roman" w:hAnsi="Times New Roman"/>
                <w:sz w:val="15"/>
                <w:szCs w:val="15"/>
                <w:color w:val="auto"/>
                <w:vertAlign w:val="superscript"/>
              </w:rPr>
              <w:t>(4)(8)</w:t>
            </w:r>
          </w:p>
        </w:tc>
        <w:tc>
          <w:tcPr>
            <w:tcW w:w="17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Warrants (8,358,075 warrants)</w:t>
            </w:r>
          </w:p>
        </w:tc>
        <w:tc>
          <w:tcPr>
            <w:tcW w:w="1020" w:type="dxa"/>
            <w:vAlign w:val="bottom"/>
          </w:tcPr>
          <w:p>
            <w:pPr>
              <w:spacing w:after="0"/>
              <w:rPr>
                <w:sz w:val="11"/>
                <w:szCs w:val="11"/>
                <w:color w:val="auto"/>
              </w:rPr>
            </w:pPr>
          </w:p>
        </w:tc>
        <w:tc>
          <w:tcPr>
            <w:tcW w:w="92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4,575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8,257</w:t>
            </w:r>
          </w:p>
        </w:tc>
        <w:tc>
          <w:tcPr>
            <w:tcW w:w="22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15,939</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83"/>
              </w:rPr>
              <w:t>21,268</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28"/>
        </w:trPr>
        <w:tc>
          <w:tcPr>
            <w:tcW w:w="106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860" w:type="dxa"/>
            <w:vAlign w:val="bottom"/>
            <w:tcBorders>
              <w:top w:val="single" w:sz="8" w:color="CFF0FC"/>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Raptor US Buyer II Corp.</w:t>
            </w:r>
            <w:r>
              <w:rPr>
                <w:rFonts w:ascii="Times New Roman" w:cs="Times New Roman" w:eastAsia="Times New Roman" w:hAnsi="Times New Roman"/>
                <w:sz w:val="15"/>
                <w:szCs w:val="15"/>
                <w:color w:val="auto"/>
                <w:vertAlign w:val="superscript"/>
              </w:rPr>
              <w:t>(8)</w:t>
            </w:r>
          </w:p>
        </w:tc>
        <w:tc>
          <w:tcPr>
            <w:tcW w:w="1700" w:type="dxa"/>
            <w:vAlign w:val="bottom"/>
            <w:gridSpan w:val="4"/>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w w:val="96"/>
              </w:rPr>
              <w:t>Ordinary Shares (83,408 shares)</w:t>
            </w:r>
          </w:p>
        </w:tc>
        <w:tc>
          <w:tcPr>
            <w:tcW w:w="10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12,876</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83"/>
              </w:rPr>
              <w:t>11,588</w:t>
            </w:r>
          </w:p>
        </w:tc>
        <w:tc>
          <w:tcPr>
            <w:tcW w:w="1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20" w:type="dxa"/>
            <w:vAlign w:val="bottom"/>
            <w:gridSpan w:val="2"/>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(8)</w:t>
            </w:r>
          </w:p>
        </w:tc>
        <w:tc>
          <w:tcPr>
            <w:tcW w:w="860" w:type="dxa"/>
            <w:vAlign w:val="bottom"/>
          </w:tcPr>
          <w:p>
            <w:pPr>
              <w:spacing w:after="0"/>
              <w:rPr>
                <w:sz w:val="11"/>
                <w:szCs w:val="11"/>
                <w:color w:val="auto"/>
              </w:rPr>
            </w:pPr>
          </w:p>
        </w:tc>
        <w:tc>
          <w:tcPr>
            <w:tcW w:w="272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A-1 Units (7,606,491 units)</w:t>
            </w:r>
          </w:p>
        </w:tc>
        <w:tc>
          <w:tcPr>
            <w:tcW w:w="92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83"/>
              </w:rPr>
              <w:t>16,088</w:t>
            </w:r>
          </w:p>
        </w:tc>
        <w:tc>
          <w:tcPr>
            <w:tcW w:w="13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SMA Technologies Holdings,</w:t>
            </w:r>
          </w:p>
        </w:tc>
        <w:tc>
          <w:tcPr>
            <w:tcW w:w="1700" w:type="dxa"/>
            <w:vAlign w:val="bottom"/>
            <w:gridSpan w:val="4"/>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Class A Units (244 units)</w:t>
            </w:r>
          </w:p>
        </w:tc>
        <w:tc>
          <w:tcPr>
            <w:tcW w:w="102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11/21/2022</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244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3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353</w:t>
            </w:r>
          </w:p>
        </w:tc>
        <w:tc>
          <w:tcPr>
            <w:tcW w:w="130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0" w:type="dxa"/>
            <w:vAlign w:val="bottom"/>
          </w:tcPr>
          <w:p>
            <w:pPr>
              <w:spacing w:after="0"/>
              <w:rPr>
                <w:sz w:val="1"/>
                <w:szCs w:val="1"/>
                <w:color w:val="auto"/>
              </w:rPr>
            </w:pPr>
          </w:p>
        </w:tc>
      </w:tr>
      <w:tr>
        <w:trPr>
          <w:trHeight w:val="162"/>
        </w:trPr>
        <w:tc>
          <w:tcPr>
            <w:tcW w:w="10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(8)(10)</w:t>
            </w: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Class B Units (173,048 units)</w:t>
            </w:r>
          </w:p>
        </w:tc>
        <w:tc>
          <w:tcPr>
            <w:tcW w:w="1020" w:type="dxa"/>
            <w:vAlign w:val="bottom"/>
          </w:tcPr>
          <w:p>
            <w:pPr>
              <w:spacing w:after="0"/>
              <w:rPr>
                <w:sz w:val="11"/>
                <w:szCs w:val="11"/>
                <w:color w:val="auto"/>
              </w:rPr>
            </w:pPr>
          </w:p>
        </w:tc>
        <w:tc>
          <w:tcPr>
            <w:tcW w:w="92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254</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28"/>
        </w:trPr>
        <w:tc>
          <w:tcPr>
            <w:tcW w:w="106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860" w:type="dxa"/>
            <w:vAlign w:val="bottom"/>
            <w:tcBorders>
              <w:top w:val="single" w:sz="8" w:color="CFF0FC"/>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20" w:type="dxa"/>
            <w:vAlign w:val="bottom"/>
            <w:gridSpan w:val="2"/>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(4)(8)(10)</w:t>
            </w:r>
          </w:p>
        </w:tc>
        <w:tc>
          <w:tcPr>
            <w:tcW w:w="1700" w:type="dxa"/>
            <w:vAlign w:val="bottom"/>
            <w:gridSpan w:val="4"/>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10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29"/>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3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w w:val="83"/>
              </w:rPr>
              <w:t>49,063</w:t>
            </w:r>
          </w:p>
        </w:tc>
        <w:tc>
          <w:tcPr>
            <w:tcW w:w="130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53"/>
        </w:trPr>
        <w:tc>
          <w:tcPr>
            <w:tcW w:w="10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7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(38,503,125 units)</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39,175)</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gridSpan w:val="2"/>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140,027</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80" w:type="dxa"/>
            <w:vAlign w:val="bottom"/>
            <w:gridSpan w:val="3"/>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154,511</w:t>
            </w:r>
          </w:p>
        </w:tc>
        <w:tc>
          <w:tcPr>
            <w:tcW w:w="1300" w:type="dxa"/>
            <w:vAlign w:val="bottom"/>
            <w:gridSpan w:val="3"/>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3.8 %</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8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left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7,079,994</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7,244,282</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179.5 %</w:t>
            </w: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2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0"/>
                <w:szCs w:val="10"/>
                <w:color w:val="auto"/>
              </w:rPr>
            </w:pPr>
          </w:p>
        </w:tc>
        <w:tc>
          <w:tcPr>
            <w:tcW w:w="110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left="151"/>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(a)(b)</w:t>
            </w:r>
          </w:p>
        </w:tc>
        <w:tc>
          <w:tcPr>
            <w:tcW w:w="340" w:type="dxa"/>
            <w:vAlign w:val="bottom"/>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Pays</w:t>
            </w:r>
          </w:p>
        </w:tc>
        <w:tc>
          <w:tcPr>
            <w:tcW w:w="120" w:type="dxa"/>
            <w:vAlign w:val="bottom"/>
          </w:tcPr>
          <w:p>
            <w:pPr>
              <w:spacing w:after="0"/>
              <w:rPr>
                <w:sz w:val="15"/>
                <w:szCs w:val="15"/>
                <w:color w:val="auto"/>
              </w:rPr>
            </w:pPr>
          </w:p>
        </w:tc>
        <w:tc>
          <w:tcPr>
            <w:tcW w:w="1100" w:type="dxa"/>
            <w:vAlign w:val="bottom"/>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115"/>
        </w:trPr>
        <w:tc>
          <w:tcPr>
            <w:tcW w:w="10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Interest rate swap</w:t>
            </w:r>
          </w:p>
        </w:tc>
        <w:tc>
          <w:tcPr>
            <w:tcW w:w="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6.50%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9"/>
              <w:spacing w:after="0" w:line="115" w:lineRule="exact"/>
              <w:rPr>
                <w:sz w:val="20"/>
                <w:szCs w:val="20"/>
                <w:color w:val="auto"/>
              </w:rPr>
            </w:pPr>
            <w:r>
              <w:rPr>
                <w:rFonts w:ascii="Times New Roman" w:cs="Times New Roman" w:eastAsia="Times New Roman" w:hAnsi="Times New Roman"/>
                <w:sz w:val="13"/>
                <w:szCs w:val="13"/>
                <w:color w:val="auto"/>
              </w:rPr>
              <w:t>SOFR + 2.51%</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3/11/2029</w:t>
            </w:r>
          </w:p>
        </w:tc>
        <w:tc>
          <w:tcPr>
            <w:tcW w:w="120" w:type="dxa"/>
            <w:vAlign w:val="bottom"/>
          </w:tcPr>
          <w:p>
            <w:pPr>
              <w:spacing w:after="0"/>
              <w:rPr>
                <w:sz w:val="10"/>
                <w:szCs w:val="10"/>
                <w:color w:val="auto"/>
              </w:rPr>
            </w:pPr>
          </w:p>
        </w:tc>
        <w:tc>
          <w:tcPr>
            <w:tcW w:w="180" w:type="dxa"/>
            <w:vAlign w:val="bottom"/>
            <w:tcBorders>
              <w:top w:val="single" w:sz="8" w:color="auto"/>
            </w:tcBorders>
          </w:tcPr>
          <w:p>
            <w:pPr>
              <w:jc w:val="right"/>
              <w:ind w:right="3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600,000</w:t>
            </w:r>
          </w:p>
        </w:tc>
        <w:tc>
          <w:tcPr>
            <w:tcW w:w="220" w:type="dxa"/>
            <w:vAlign w:val="bottom"/>
          </w:tcPr>
          <w:p>
            <w:pPr>
              <w:spacing w:after="0"/>
              <w:rPr>
                <w:sz w:val="10"/>
                <w:szCs w:val="10"/>
                <w:color w:val="auto"/>
              </w:rPr>
            </w:pPr>
          </w:p>
        </w:tc>
        <w:tc>
          <w:tcPr>
            <w:tcW w:w="260" w:type="dxa"/>
            <w:vAlign w:val="bottom"/>
            <w:tcBorders>
              <w:top w:val="single" w:sz="8" w:color="auto"/>
            </w:tcBorders>
          </w:tcPr>
          <w:p>
            <w:pPr>
              <w:jc w:val="right"/>
              <w:ind w:right="11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40" w:type="dxa"/>
            <w:vAlign w:val="bottom"/>
            <w:tcBorders>
              <w:top w:val="single" w:sz="8" w:color="auto"/>
            </w:tcBorders>
          </w:tcPr>
          <w:p>
            <w:pPr>
              <w:jc w:val="right"/>
              <w:ind w:right="191"/>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(2,208</w:t>
            </w:r>
          </w:p>
        </w:tc>
        <w:tc>
          <w:tcPr>
            <w:tcW w:w="1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(a)(b)</w:t>
            </w:r>
          </w:p>
        </w:tc>
        <w:tc>
          <w:tcPr>
            <w:tcW w:w="1460" w:type="dxa"/>
            <w:vAlign w:val="bottom"/>
            <w:gridSpan w:val="2"/>
          </w:tcPr>
          <w:p>
            <w:pPr>
              <w:jc w:val="center"/>
              <w:ind w:left="277"/>
              <w:spacing w:after="0"/>
              <w:rPr>
                <w:sz w:val="20"/>
                <w:szCs w:val="20"/>
                <w:color w:val="auto"/>
              </w:rPr>
            </w:pPr>
            <w:r>
              <w:rPr>
                <w:rFonts w:ascii="Times New Roman" w:cs="Times New Roman" w:eastAsia="Times New Roman" w:hAnsi="Times New Roman"/>
                <w:sz w:val="14"/>
                <w:szCs w:val="14"/>
                <w:color w:val="auto"/>
                <w:w w:val="99"/>
              </w:rPr>
              <w:t>6.50%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SOFR + 2.22%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3/11/2029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7"/>
                <w:szCs w:val="17"/>
                <w:color w:val="auto"/>
                <w:vertAlign w:val="superscript"/>
              </w:rPr>
              <w:t>(a)(b)</w:t>
            </w:r>
          </w:p>
        </w:tc>
        <w:tc>
          <w:tcPr>
            <w:tcW w:w="1460" w:type="dxa"/>
            <w:vAlign w:val="bottom"/>
            <w:gridSpan w:val="2"/>
            <w:shd w:val="clear" w:color="auto" w:fill="CFF0FC"/>
          </w:tcPr>
          <w:p>
            <w:pPr>
              <w:jc w:val="center"/>
              <w:ind w:left="277"/>
              <w:spacing w:after="0" w:line="149" w:lineRule="exact"/>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center"/>
              <w:ind w:right="69"/>
              <w:spacing w:after="0" w:line="149" w:lineRule="exact"/>
              <w:rPr>
                <w:sz w:val="20"/>
                <w:szCs w:val="20"/>
                <w:color w:val="auto"/>
              </w:rPr>
            </w:pPr>
            <w:r>
              <w:rPr>
                <w:rFonts w:ascii="Times New Roman" w:cs="Times New Roman" w:eastAsia="Times New Roman" w:hAnsi="Times New Roman"/>
                <w:sz w:val="14"/>
                <w:szCs w:val="14"/>
                <w:color w:val="auto"/>
              </w:rPr>
              <w:t>SOFR + 2.55%</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1/15/2030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(24,135 )</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(24,135 )</w:t>
            </w:r>
          </w:p>
        </w:tc>
        <w:tc>
          <w:tcPr>
            <w:tcW w:w="0" w:type="dxa"/>
            <w:vAlign w:val="bottom"/>
          </w:tcPr>
          <w:p>
            <w:pPr>
              <w:spacing w:after="0"/>
              <w:rPr>
                <w:sz w:val="1"/>
                <w:szCs w:val="1"/>
                <w:color w:val="auto"/>
              </w:rPr>
            </w:pPr>
          </w:p>
        </w:tc>
      </w:tr>
      <w:tr>
        <w:trPr>
          <w:trHeight w:val="20"/>
        </w:trPr>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Hedge Accounting Swaps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1,350,000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(25,214 )</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(25,214 )</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8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68,585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4"/>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1,350,000</w:t>
            </w:r>
          </w:p>
        </w:tc>
        <w:tc>
          <w:tcPr>
            <w:tcW w:w="480" w:type="dxa"/>
            <w:vAlign w:val="bottom"/>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43,371</w:t>
            </w:r>
          </w:p>
        </w:tc>
        <w:tc>
          <w:tcPr>
            <w:tcW w:w="100" w:type="dxa"/>
            <w:vAlign w:val="bottom"/>
          </w:tcPr>
          <w:p>
            <w:pPr>
              <w:spacing w:after="0"/>
              <w:rPr>
                <w:sz w:val="12"/>
                <w:szCs w:val="12"/>
                <w:color w:val="auto"/>
              </w:rPr>
            </w:pPr>
          </w:p>
        </w:tc>
        <w:tc>
          <w:tcPr>
            <w:tcW w:w="460" w:type="dxa"/>
            <w:vAlign w:val="bottom"/>
            <w:gridSpan w:val="2"/>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(25,214 )</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637540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6517640</wp:posOffset>
            </wp:positionH>
            <wp:positionV relativeFrom="page">
              <wp:posOffset>637540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7237730</wp:posOffset>
            </wp:positionH>
            <wp:positionV relativeFrom="page">
              <wp:posOffset>637540</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-3300095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-3300095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-3300095</wp:posOffset>
            </wp:positionV>
            <wp:extent cx="1028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-2939415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-2939415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-2939415</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-1893570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-1893570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-1893570</wp:posOffset>
            </wp:positionV>
            <wp:extent cx="10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-1370965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-1370965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-1370965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-1182370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-1165225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-1182370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-1165225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1028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-1165225</wp:posOffset>
            </wp:positionV>
            <wp:extent cx="1028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939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-325120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-325120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-325120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-128270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-128270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-128270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jc w:val="both"/>
        <w:ind w:left="520" w:right="15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more than 25% of its outstanding voting securities and/or had the power to exercise control over the management or policies of such portfolio company. As of December 31, 2024, the Company does not “control” any of the portfolio companies. Also under the 1940 Act, the Company would be deemed to be an “Affiliated Person” of a portfolio company if the Company owns more</w:t>
      </w:r>
    </w:p>
    <w:p>
      <w:pPr>
        <w:ind w:left="520"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5% of the portfolio company's outstanding voting securities. As of December 31, 2024, the Company does not identify any of its portfolio companies as affiliates.</w:t>
      </w:r>
    </w:p>
    <w:p>
      <w:pPr>
        <w:ind w:left="520" w:hanging="512"/>
        <w:spacing w:after="0" w:line="260"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97" w:name="page98"/>
    <w:bookmarkEnd w:id="97"/>
    <w:p>
      <w:pPr>
        <w:ind w:left="512" w:right="14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w:t>
      </w:r>
    </w:p>
    <w:p>
      <w:pPr>
        <w:spacing w:after="0" w:line="1" w:lineRule="exact"/>
        <w:rPr>
          <w:rFonts w:ascii="Times New Roman" w:cs="Times New Roman" w:eastAsia="Times New Roman" w:hAnsi="Times New Roman"/>
          <w:sz w:val="18"/>
          <w:szCs w:val="18"/>
          <w:color w:val="auto"/>
        </w:rPr>
      </w:pPr>
    </w:p>
    <w:p>
      <w:pPr>
        <w:ind w:left="512"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27.8% of total assets as of December 31, 2024.</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2100" w:hanging="512"/>
        <w:spacing w:after="0" w:line="25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4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60" w:hanging="512"/>
        <w:spacing w:after="0" w:line="25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estimated cost basis of investments for U.S. federal tax purposes was $7,102,780 resulting in estimated gross unrealized gains and losses of $222,515 and $56,184, respectfully.</w:t>
      </w: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w:t>
      </w:r>
    </w:p>
    <w:p>
      <w:pPr>
        <w:spacing w:after="0" w:line="9" w:lineRule="exact"/>
        <w:rPr>
          <w:rFonts w:ascii="Times New Roman" w:cs="Times New Roman" w:eastAsia="Times New Roman" w:hAnsi="Times New Roman"/>
          <w:sz w:val="18"/>
          <w:szCs w:val="18"/>
          <w:color w:val="auto"/>
        </w:rPr>
      </w:pPr>
    </w:p>
    <w:p>
      <w:pPr>
        <w:ind w:left="512"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“Securities Act”), and may be deemed to be "restricted securities" under the Securities Act. As of December 31, 2024, the aggregate fair value of these securities is $77,388, or 1.9% of the Company's net assets.</w:t>
      </w:r>
    </w:p>
    <w:p>
      <w:pPr>
        <w:ind w:left="512" w:hanging="512"/>
        <w:spacing w:after="0" w:line="25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$25.0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80" w:hanging="512"/>
        <w:spacing w:after="0" w:line="260"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4 for further information related to investments at fair value.</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98" w:name="page99"/>
    <w:bookmarkEnd w:id="98"/>
    <w:p>
      <w:pPr>
        <w:ind w:left="37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right"/>
              <w:ind w:right="1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vMerge w:val="restart"/>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(6)</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2"/>
        </w:trPr>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620" w:type="dxa"/>
            <w:vAlign w:val="bottom"/>
          </w:tcPr>
          <w:p>
            <w:pPr>
              <w:jc w:val="right"/>
              <w:ind w:right="58"/>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28"/>
        </w:trPr>
        <w:tc>
          <w:tcPr>
            <w:tcW w:w="1600" w:type="dxa"/>
            <w:vAlign w:val="bottom"/>
            <w:tcBorders>
              <w:top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100" w:type="dxa"/>
            <w:vAlign w:val="bottom"/>
            <w:shd w:val="clear" w:color="auto" w:fill="CFF0FC"/>
          </w:tcPr>
          <w:p>
            <w:pPr>
              <w:spacing w:after="0"/>
              <w:rPr>
                <w:sz w:val="11"/>
                <w:szCs w:val="11"/>
                <w:color w:val="auto"/>
              </w:rPr>
            </w:pPr>
          </w:p>
        </w:tc>
        <w:tc>
          <w:tcPr>
            <w:tcW w:w="23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Bestpass, Inc. </w:t>
            </w:r>
            <w:r>
              <w:rPr>
                <w:rFonts w:ascii="Times New Roman" w:cs="Times New Roman" w:eastAsia="Times New Roman" w:hAnsi="Times New Roman"/>
                <w:sz w:val="13"/>
                <w:szCs w:val="13"/>
                <w:color w:val="auto"/>
                <w:vertAlign w:val="superscript"/>
              </w:rPr>
              <w:t>(3)(5)</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($59,950 par, due 5/2029)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5/26/2023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11.11 %</w:t>
            </w:r>
          </w:p>
        </w:tc>
        <w:tc>
          <w:tcPr>
            <w:tcW w:w="1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57,781</w:t>
            </w:r>
          </w:p>
        </w:tc>
        <w:tc>
          <w:tcPr>
            <w:tcW w:w="580" w:type="dxa"/>
            <w:vAlign w:val="bottom"/>
            <w:gridSpan w:val="2"/>
            <w:shd w:val="clear" w:color="auto" w:fill="CFF0FC"/>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59,201</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Artisan Bidco, Inc.</w:t>
            </w:r>
            <w:r>
              <w:rPr>
                <w:rFonts w:ascii="Times New Roman" w:cs="Times New Roman" w:eastAsia="Times New Roman" w:hAnsi="Times New Roman"/>
                <w:sz w:val="13"/>
                <w:szCs w:val="13"/>
                <w:color w:val="auto"/>
                <w:vertAlign w:val="superscript"/>
              </w:rPr>
              <w:t>(3)</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($141,889 par, due 11/2029)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12.38 %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138,686</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139,850</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(EUR 66,029 par, due</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10.96 %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69,552</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72,027</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4.0 %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11/2029)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65,203)</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BCTO Ignition Purchaser, Inc.</w:t>
            </w:r>
          </w:p>
        </w:tc>
        <w:tc>
          <w:tcPr>
            <w:tcW w:w="100" w:type="dxa"/>
            <w:vAlign w:val="bottom"/>
            <w:shd w:val="clear" w:color="auto" w:fill="CFF0FC"/>
          </w:tcPr>
          <w:p>
            <w:pPr>
              <w:spacing w:after="0"/>
              <w:rPr>
                <w:sz w:val="9"/>
                <w:szCs w:val="9"/>
                <w:color w:val="auto"/>
              </w:rPr>
            </w:pPr>
          </w:p>
        </w:tc>
        <w:tc>
          <w:tcPr>
            <w:tcW w:w="23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holdco loan ($106,450 par, due</w:t>
            </w:r>
          </w:p>
        </w:tc>
        <w:tc>
          <w:tcPr>
            <w:tcW w:w="8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4/18/2023</w:t>
            </w:r>
          </w:p>
        </w:tc>
        <w:tc>
          <w:tcPr>
            <w:tcW w:w="10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300"/>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220" w:type="dxa"/>
            <w:vAlign w:val="bottom"/>
            <w:gridSpan w:val="2"/>
            <w:shd w:val="clear" w:color="auto" w:fill="CFF0FC"/>
          </w:tcPr>
          <w:p>
            <w:pPr>
              <w:jc w:val="right"/>
              <w:ind w:right="260"/>
              <w:spacing w:after="0" w:line="108" w:lineRule="exact"/>
              <w:rPr>
                <w:sz w:val="20"/>
                <w:szCs w:val="20"/>
                <w:color w:val="auto"/>
              </w:rPr>
            </w:pPr>
            <w:r>
              <w:rPr>
                <w:rFonts w:ascii="Times New Roman" w:cs="Times New Roman" w:eastAsia="Times New Roman" w:hAnsi="Times New Roman"/>
                <w:sz w:val="12"/>
                <w:szCs w:val="12"/>
                <w:color w:val="auto"/>
              </w:rPr>
              <w:t>14.40% PIK</w:t>
            </w: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103,719</w:t>
            </w: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105,918</w:t>
            </w:r>
          </w:p>
        </w:tc>
        <w:tc>
          <w:tcPr>
            <w:tcW w:w="112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5.9 %</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2460" w:type="dxa"/>
            <w:vAlign w:val="bottom"/>
            <w:tcBorders>
              <w:bottom w:val="single" w:sz="8" w:color="CFF0FC"/>
            </w:tcBorders>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10/2030)</w:t>
            </w: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9.00%</w:t>
            </w:r>
          </w:p>
        </w:tc>
        <w:tc>
          <w:tcPr>
            <w:tcW w:w="2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Crewline Buyer, Inc.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($190,636 par, due 11/2030)</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12.10 %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185,410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186,952</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10.3 %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Galileo Parent, Inc. </w:t>
            </w:r>
            <w:r>
              <w:rPr>
                <w:rFonts w:ascii="Times New Roman" w:cs="Times New Roman" w:eastAsia="Times New Roman" w:hAnsi="Times New Roman"/>
                <w:sz w:val="13"/>
                <w:szCs w:val="13"/>
                <w:color w:val="auto"/>
                <w:vertAlign w:val="superscript"/>
              </w:rPr>
              <w:t>(3)</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($151,064 par, due 5/2030)</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5/3/2023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12.60 %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146,963</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148,798</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revolving loan ($7,740 par, due</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5/3/2023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12.60 %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7,112</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7,387</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5/2029)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Hornetsecurity Holding</w:t>
            </w:r>
          </w:p>
        </w:tc>
        <w:tc>
          <w:tcPr>
            <w:tcW w:w="100" w:type="dxa"/>
            <w:vAlign w:val="bottom"/>
            <w:shd w:val="clear" w:color="auto" w:fill="CFF0FC"/>
          </w:tcPr>
          <w:p>
            <w:pPr>
              <w:spacing w:after="0"/>
              <w:rPr>
                <w:sz w:val="9"/>
                <w:szCs w:val="9"/>
                <w:color w:val="auto"/>
              </w:rPr>
            </w:pPr>
          </w:p>
        </w:tc>
        <w:tc>
          <w:tcPr>
            <w:tcW w:w="23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(EUR 3,150 par, due 11/2029)</w:t>
            </w:r>
          </w:p>
        </w:tc>
        <w:tc>
          <w:tcPr>
            <w:tcW w:w="8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11/14/2022</w:t>
            </w:r>
          </w:p>
        </w:tc>
        <w:tc>
          <w:tcPr>
            <w:tcW w:w="10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280"/>
              <w:spacing w:after="0" w:line="108" w:lineRule="exact"/>
              <w:rPr>
                <w:sz w:val="20"/>
                <w:szCs w:val="20"/>
                <w:color w:val="auto"/>
              </w:rPr>
            </w:pPr>
            <w:r>
              <w:rPr>
                <w:rFonts w:ascii="Times New Roman" w:cs="Times New Roman" w:eastAsia="Times New Roman" w:hAnsi="Times New Roman"/>
                <w:sz w:val="12"/>
                <w:szCs w:val="12"/>
                <w:color w:val="auto"/>
              </w:rPr>
              <w:t>E + 6.50%</w:t>
            </w:r>
          </w:p>
        </w:tc>
        <w:tc>
          <w:tcPr>
            <w:tcW w:w="122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10.50 %</w:t>
            </w: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3,158</w:t>
            </w: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3,536</w:t>
            </w:r>
          </w:p>
        </w:tc>
        <w:tc>
          <w:tcPr>
            <w:tcW w:w="112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0.2 %</w:t>
            </w: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GmbH</w:t>
            </w:r>
            <w:r>
              <w:rPr>
                <w:rFonts w:ascii="Times New Roman" w:cs="Times New Roman" w:eastAsia="Times New Roman" w:hAnsi="Times New Roman"/>
                <w:sz w:val="7"/>
                <w:szCs w:val="7"/>
                <w:color w:val="auto"/>
              </w:rPr>
              <w:t xml:space="preserve"> (3)(4)</w:t>
            </w:r>
          </w:p>
        </w:tc>
        <w:tc>
          <w:tcPr>
            <w:tcW w:w="10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3,201)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OutSystems Luxco SARL</w:t>
            </w:r>
            <w:r>
              <w:rPr>
                <w:rFonts w:ascii="Times New Roman" w:cs="Times New Roman" w:eastAsia="Times New Roman" w:hAnsi="Times New Roman"/>
                <w:sz w:val="12"/>
                <w:szCs w:val="12"/>
                <w:color w:val="auto"/>
                <w:vertAlign w:val="superscript"/>
              </w:rPr>
              <w:t>(3)(4)</w:t>
            </w:r>
          </w:p>
        </w:tc>
        <w:tc>
          <w:tcPr>
            <w:tcW w:w="100" w:type="dxa"/>
            <w:vAlign w:val="bottom"/>
          </w:tcPr>
          <w:p>
            <w:pPr>
              <w:spacing w:after="0"/>
              <w:rPr>
                <w:sz w:val="9"/>
                <w:szCs w:val="9"/>
                <w:color w:val="auto"/>
              </w:rPr>
            </w:pPr>
          </w:p>
        </w:tc>
        <w:tc>
          <w:tcPr>
            <w:tcW w:w="23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(EUR 3,004 par, due 12/2028)</w:t>
            </w:r>
          </w:p>
        </w:tc>
        <w:tc>
          <w:tcPr>
            <w:tcW w:w="8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12/8/2022</w:t>
            </w:r>
          </w:p>
        </w:tc>
        <w:tc>
          <w:tcPr>
            <w:tcW w:w="100" w:type="dxa"/>
            <w:vAlign w:val="bottom"/>
          </w:tcPr>
          <w:p>
            <w:pPr>
              <w:spacing w:after="0"/>
              <w:rPr>
                <w:sz w:val="9"/>
                <w:szCs w:val="9"/>
                <w:color w:val="auto"/>
              </w:rPr>
            </w:pPr>
          </w:p>
        </w:tc>
        <w:tc>
          <w:tcPr>
            <w:tcW w:w="96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2"/>
                <w:szCs w:val="12"/>
                <w:color w:val="auto"/>
              </w:rPr>
              <w:t>E + 5.75%</w:t>
            </w:r>
          </w:p>
        </w:tc>
        <w:tc>
          <w:tcPr>
            <w:tcW w:w="12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9.59 %</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3,094</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3,332</w:t>
            </w:r>
          </w:p>
        </w:tc>
        <w:tc>
          <w:tcPr>
            <w:tcW w:w="112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0.2 %</w:t>
            </w:r>
          </w:p>
        </w:tc>
        <w:tc>
          <w:tcPr>
            <w:tcW w:w="0" w:type="dxa"/>
            <w:vAlign w:val="bottom"/>
          </w:tcPr>
          <w:p>
            <w:pPr>
              <w:spacing w:after="0"/>
              <w:rPr>
                <w:sz w:val="1"/>
                <w:szCs w:val="1"/>
                <w:color w:val="auto"/>
              </w:rPr>
            </w:pPr>
          </w:p>
        </w:tc>
      </w:tr>
      <w:tr>
        <w:trPr>
          <w:trHeight w:val="107"/>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(EUR 3,016)</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Price Fx Inc. </w:t>
            </w:r>
            <w:r>
              <w:rPr>
                <w:rFonts w:ascii="Times New Roman" w:cs="Times New Roman" w:eastAsia="Times New Roman" w:hAnsi="Times New Roman"/>
                <w:sz w:val="13"/>
                <w:szCs w:val="13"/>
                <w:color w:val="auto"/>
                <w:vertAlign w:val="superscript"/>
              </w:rPr>
              <w:t>(3)(4)</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10/27/2023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10.94 %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983</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890)</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Wrangler TopCo, LLC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($93,847 par, due 7/2029)</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7/7/2023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12.88 %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91,386</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93,072</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5.1 %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7.50%</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750,042</w:t>
            </w: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761,855</w:t>
            </w:r>
          </w:p>
        </w:tc>
        <w:tc>
          <w:tcPr>
            <w:tcW w:w="112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42.1 %</w:t>
            </w:r>
          </w:p>
        </w:tc>
        <w:tc>
          <w:tcPr>
            <w:tcW w:w="0" w:type="dxa"/>
            <w:vAlign w:val="bottom"/>
          </w:tcPr>
          <w:p>
            <w:pPr>
              <w:spacing w:after="0"/>
              <w:rPr>
                <w:sz w:val="1"/>
                <w:szCs w:val="1"/>
                <w:color w:val="auto"/>
              </w:rPr>
            </w:pPr>
          </w:p>
        </w:tc>
      </w:tr>
      <w:tr>
        <w:trPr>
          <w:trHeight w:val="128"/>
        </w:trPr>
        <w:tc>
          <w:tcPr>
            <w:tcW w:w="16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100" w:type="dxa"/>
            <w:vAlign w:val="bottom"/>
            <w:tcBorders>
              <w:top w:val="single" w:sz="8" w:color="CFF0FC"/>
            </w:tcBorders>
          </w:tcPr>
          <w:p>
            <w:pPr>
              <w:spacing w:after="0"/>
              <w:rPr>
                <w:sz w:val="11"/>
                <w:szCs w:val="11"/>
                <w:color w:val="auto"/>
              </w:rPr>
            </w:pPr>
          </w:p>
        </w:tc>
        <w:tc>
          <w:tcPr>
            <w:tcW w:w="23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E + 6.75%</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10.70 %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6,965</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8,053</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7,290)</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9"/>
              </w:rPr>
              <w:t>First-lien loan (GBP 12,287 par, due 9/2028)</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S + 6.75%</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11.98 %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13,880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15,741</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12,349)</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revolving loan (GBP 312 par, due</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S + 6.75%</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11.98 %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400</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399</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53"/>
        </w:trPr>
        <w:tc>
          <w:tcPr>
            <w:tcW w:w="1600" w:type="dxa"/>
            <w:vAlign w:val="bottom"/>
            <w:tcBorders>
              <w:bottom w:val="single" w:sz="8" w:color="CFF0FC"/>
            </w:tcBorders>
            <w:shd w:val="clear" w:color="auto" w:fill="CFF0FC"/>
          </w:tcPr>
          <w:p>
            <w:pPr>
              <w:spacing w:after="0"/>
              <w:rPr>
                <w:sz w:val="13"/>
                <w:szCs w:val="13"/>
                <w:color w:val="auto"/>
              </w:rPr>
            </w:pPr>
          </w:p>
        </w:tc>
        <w:tc>
          <w:tcPr>
            <w:tcW w:w="24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9/2028)</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313)</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21,245</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24,193</w:t>
            </w:r>
          </w:p>
        </w:tc>
        <w:tc>
          <w:tcPr>
            <w:tcW w:w="112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28"/>
        </w:trPr>
        <w:tc>
          <w:tcPr>
            <w:tcW w:w="1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Banyan Software Holdings,</w:t>
            </w:r>
          </w:p>
        </w:tc>
        <w:tc>
          <w:tcPr>
            <w:tcW w:w="100" w:type="dxa"/>
            <w:vAlign w:val="bottom"/>
          </w:tcPr>
          <w:p>
            <w:pPr>
              <w:spacing w:after="0"/>
              <w:rPr>
                <w:sz w:val="9"/>
                <w:szCs w:val="9"/>
                <w:color w:val="auto"/>
              </w:rPr>
            </w:pPr>
          </w:p>
        </w:tc>
        <w:tc>
          <w:tcPr>
            <w:tcW w:w="23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($59,477 par, due 10/2026)</w:t>
            </w:r>
          </w:p>
        </w:tc>
        <w:tc>
          <w:tcPr>
            <w:tcW w:w="8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1/27/2023</w:t>
            </w:r>
          </w:p>
        </w:tc>
        <w:tc>
          <w:tcPr>
            <w:tcW w:w="100" w:type="dxa"/>
            <w:vAlign w:val="bottom"/>
          </w:tcPr>
          <w:p>
            <w:pPr>
              <w:spacing w:after="0"/>
              <w:rPr>
                <w:sz w:val="9"/>
                <w:szCs w:val="9"/>
                <w:color w:val="auto"/>
              </w:rPr>
            </w:pPr>
          </w:p>
        </w:tc>
        <w:tc>
          <w:tcPr>
            <w:tcW w:w="9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2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12.71 %</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57,589</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59,477</w:t>
            </w:r>
          </w:p>
        </w:tc>
        <w:tc>
          <w:tcPr>
            <w:tcW w:w="112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3.3 %</w:t>
            </w: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(3)(4)</w:t>
            </w: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Kangaroo Bidco AS </w:t>
            </w:r>
            <w:r>
              <w:rPr>
                <w:rFonts w:ascii="Times New Roman" w:cs="Times New Roman" w:eastAsia="Times New Roman" w:hAnsi="Times New Roman"/>
                <w:sz w:val="13"/>
                <w:szCs w:val="13"/>
                <w:color w:val="auto"/>
                <w:vertAlign w:val="superscript"/>
              </w:rPr>
              <w:t>(3)(4)</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($146,183 par, due 11/2030)</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11/2/2023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12.94 %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140,690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141,682</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E + 6.25%</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10.39 %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755</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796</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720)</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BCTO Bluebill Buyer, Inc. </w:t>
            </w:r>
            <w:r>
              <w:rPr>
                <w:rFonts w:ascii="Times New Roman" w:cs="Times New Roman" w:eastAsia="Times New Roman" w:hAnsi="Times New Roman"/>
                <w:sz w:val="12"/>
                <w:szCs w:val="12"/>
                <w:color w:val="auto"/>
                <w:vertAlign w:val="superscript"/>
              </w:rPr>
              <w:t>(3)</w:t>
            </w:r>
          </w:p>
        </w:tc>
        <w:tc>
          <w:tcPr>
            <w:tcW w:w="100" w:type="dxa"/>
            <w:vAlign w:val="bottom"/>
            <w:shd w:val="clear" w:color="auto" w:fill="CFF0FC"/>
          </w:tcPr>
          <w:p>
            <w:pPr>
              <w:spacing w:after="0"/>
              <w:rPr>
                <w:sz w:val="9"/>
                <w:szCs w:val="9"/>
                <w:color w:val="auto"/>
              </w:rPr>
            </w:pPr>
          </w:p>
        </w:tc>
        <w:tc>
          <w:tcPr>
            <w:tcW w:w="23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($7,425 par, due 7/2029)</w:t>
            </w:r>
          </w:p>
        </w:tc>
        <w:tc>
          <w:tcPr>
            <w:tcW w:w="8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7/20/2023</w:t>
            </w:r>
          </w:p>
        </w:tc>
        <w:tc>
          <w:tcPr>
            <w:tcW w:w="10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300"/>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22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12.60 %</w:t>
            </w: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7,164</w:t>
            </w: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7,258</w:t>
            </w:r>
          </w:p>
        </w:tc>
        <w:tc>
          <w:tcPr>
            <w:tcW w:w="112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0.4 %</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Borders>
              <w:bottom w:val="single" w:sz="8" w:color="CFF0FC"/>
            </w:tcBorders>
            <w:shd w:val="clear" w:color="auto" w:fill="CFF0FC"/>
          </w:tcPr>
          <w:p>
            <w:pPr>
              <w:spacing w:after="0"/>
              <w:rPr>
                <w:sz w:val="12"/>
                <w:szCs w:val="12"/>
                <w:color w:val="auto"/>
              </w:rPr>
            </w:pPr>
          </w:p>
        </w:tc>
        <w:tc>
          <w:tcPr>
            <w:tcW w:w="23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7.25%</w:t>
            </w:r>
          </w:p>
        </w:tc>
        <w:tc>
          <w:tcPr>
            <w:tcW w:w="2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BTRS Holdings, Inc.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($141,152 par, due 12/2028)</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12/16/2022</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13.38 %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137,646</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141,505</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revolving loan ($3,614 par, due</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12/16/2022</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12.63 %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3,256</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2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12/2028)</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CLGF HoldCo 2, LLC </w:t>
            </w:r>
            <w:r>
              <w:rPr>
                <w:rFonts w:ascii="Times New Roman" w:cs="Times New Roman" w:eastAsia="Times New Roman" w:hAnsi="Times New Roman"/>
                <w:sz w:val="13"/>
                <w:szCs w:val="13"/>
                <w:color w:val="auto"/>
                <w:vertAlign w:val="superscript"/>
              </w:rPr>
              <w:t>(3)(4)</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($97,902 par, due 11/2027)</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13.85 %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96,132</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96,678</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w w:val="99"/>
              </w:rPr>
              <w:t>Second-lien loan ($83,916 par, due 11/2028)</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17.35 %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77,895</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79,091</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Fullsteam Operations LLC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($82,397 par, due 11/2029)</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11/27/2023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13.78 %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79,471</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80,692</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Ping Identity Holding Corp. </w:t>
            </w:r>
            <w:r>
              <w:rPr>
                <w:rFonts w:ascii="Times New Roman" w:cs="Times New Roman" w:eastAsia="Times New Roman" w:hAnsi="Times New Roman"/>
                <w:sz w:val="13"/>
                <w:szCs w:val="13"/>
                <w:color w:val="auto"/>
                <w:vertAlign w:val="superscript"/>
              </w:rPr>
              <w:t>(3)</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($136,364 par, due 10/2029)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10/17/2022</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12.36 %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133,270</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138,989</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100" w:type="dxa"/>
            <w:vAlign w:val="bottom"/>
          </w:tcPr>
          <w:p>
            <w:pPr>
              <w:spacing w:after="0"/>
              <w:rPr>
                <w:sz w:val="11"/>
                <w:szCs w:val="11"/>
                <w:color w:val="auto"/>
              </w:rPr>
            </w:pPr>
          </w:p>
        </w:tc>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First-lien loan ($2,604 par, due 9/2028)</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0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16.50 %</w:t>
            </w:r>
          </w:p>
        </w:tc>
        <w:tc>
          <w:tcPr>
            <w:tcW w:w="12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2,598</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538,167</w:t>
            </w: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551,258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30.3 %</w:t>
            </w:r>
          </w:p>
        </w:tc>
        <w:tc>
          <w:tcPr>
            <w:tcW w:w="0" w:type="dxa"/>
            <w:vAlign w:val="bottom"/>
          </w:tcPr>
          <w:p>
            <w:pPr>
              <w:spacing w:after="0"/>
              <w:rPr>
                <w:sz w:val="1"/>
                <w:szCs w:val="1"/>
                <w:color w:val="auto"/>
              </w:rPr>
            </w:pPr>
          </w:p>
        </w:tc>
      </w:tr>
      <w:tr>
        <w:trPr>
          <w:trHeight w:val="129"/>
        </w:trPr>
        <w:tc>
          <w:tcPr>
            <w:tcW w:w="16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100" w:type="dxa"/>
            <w:vAlign w:val="bottom"/>
            <w:tcBorders>
              <w:top w:val="single" w:sz="8" w:color="CFF0FC"/>
            </w:tcBorders>
          </w:tcPr>
          <w:p>
            <w:pPr>
              <w:spacing w:after="0"/>
              <w:rPr>
                <w:sz w:val="11"/>
                <w:szCs w:val="11"/>
                <w:color w:val="auto"/>
              </w:rPr>
            </w:pPr>
          </w:p>
        </w:tc>
        <w:tc>
          <w:tcPr>
            <w:tcW w:w="23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3"/>
                <w:szCs w:val="13"/>
                <w:color w:val="auto"/>
                <w:vertAlign w:val="superscript"/>
              </w:rPr>
              <w:t>(3)(4)(5)</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(EUR 3,850 par, due 2/2029)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22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10.93% (incl.</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3,951</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4,266</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3.25% PIK)</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3,862)</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($98,606 par, due 3/2029)</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3/24/2023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12.10 %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95,435</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98,113</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SL Buyer Corp. </w:t>
            </w:r>
            <w:r>
              <w:rPr>
                <w:rFonts w:ascii="Times New Roman" w:cs="Times New Roman" w:eastAsia="Times New Roman" w:hAnsi="Times New Roman"/>
                <w:sz w:val="13"/>
                <w:szCs w:val="13"/>
                <w:color w:val="auto"/>
                <w:vertAlign w:val="superscript"/>
              </w:rPr>
              <w:t>(3)(5)</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($3,525 par, due 7/2029)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12.36 %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3,375</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3,460</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40"/>
        </w:trPr>
        <w:tc>
          <w:tcPr>
            <w:tcW w:w="1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3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7.00%</w:t>
            </w:r>
          </w:p>
        </w:tc>
        <w:tc>
          <w:tcPr>
            <w:tcW w:w="2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102,761</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105,839</w:t>
            </w:r>
          </w:p>
        </w:tc>
        <w:tc>
          <w:tcPr>
            <w:tcW w:w="112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5.8 %</w:t>
            </w: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Human Resource Support</w:t>
            </w:r>
          </w:p>
        </w:tc>
        <w:tc>
          <w:tcPr>
            <w:tcW w:w="100" w:type="dxa"/>
            <w:vAlign w:val="bottom"/>
            <w:shd w:val="clear" w:color="auto" w:fill="CFF0FC"/>
          </w:tcPr>
          <w:p>
            <w:pPr>
              <w:spacing w:after="0"/>
              <w:rPr>
                <w:sz w:val="9"/>
                <w:szCs w:val="9"/>
                <w:color w:val="auto"/>
              </w:rPr>
            </w:pPr>
          </w:p>
        </w:tc>
        <w:tc>
          <w:tcPr>
            <w:tcW w:w="2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6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3"/>
                <w:szCs w:val="13"/>
                <w:color w:val="auto"/>
                <w:vertAlign w:val="superscript"/>
              </w:rPr>
              <w:t>(3)(5)</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($140,970 par, due 11/2028)</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11/7/2022</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12.03 %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137,195</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142,379</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HireVue, Inc. </w:t>
            </w:r>
            <w:r>
              <w:rPr>
                <w:rFonts w:ascii="Times New Roman" w:cs="Times New Roman" w:eastAsia="Times New Roman" w:hAnsi="Times New Roman"/>
                <w:sz w:val="13"/>
                <w:szCs w:val="13"/>
                <w:color w:val="auto"/>
                <w:vertAlign w:val="superscript"/>
              </w:rPr>
              <w:t>(3)</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($110,887 par, due 5/2029)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5/3/2023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12.63 %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107,645</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110,262</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6.1 %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MadCap Software, Inc. </w:t>
            </w:r>
            <w:r>
              <w:rPr>
                <w:rFonts w:ascii="Times New Roman" w:cs="Times New Roman" w:eastAsia="Times New Roman" w:hAnsi="Times New Roman"/>
                <w:sz w:val="13"/>
                <w:szCs w:val="13"/>
                <w:color w:val="auto"/>
                <w:vertAlign w:val="superscript"/>
              </w:rPr>
              <w:t>(3)(5)</w:t>
            </w:r>
          </w:p>
        </w:tc>
        <w:tc>
          <w:tcPr>
            <w:tcW w:w="100" w:type="dxa"/>
            <w:vAlign w:val="bottom"/>
          </w:tcPr>
          <w:p>
            <w:pPr>
              <w:spacing w:after="0"/>
              <w:rPr>
                <w:sz w:val="10"/>
                <w:szCs w:val="10"/>
                <w:color w:val="auto"/>
              </w:rPr>
            </w:pPr>
          </w:p>
        </w:tc>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($2,500 par, due 12/2026)</w:t>
            </w:r>
          </w:p>
        </w:tc>
        <w:tc>
          <w:tcPr>
            <w:tcW w:w="8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12/15/2023</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11.46 %</w:t>
            </w: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2,439</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2,444</w:t>
            </w:r>
          </w:p>
        </w:tc>
        <w:tc>
          <w:tcPr>
            <w:tcW w:w="11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6.10%</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247,279</w:t>
            </w: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255,085</w:t>
            </w:r>
          </w:p>
        </w:tc>
        <w:tc>
          <w:tcPr>
            <w:tcW w:w="112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129"/>
        </w:trPr>
        <w:tc>
          <w:tcPr>
            <w:tcW w:w="16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100" w:type="dxa"/>
            <w:vAlign w:val="bottom"/>
            <w:tcBorders>
              <w:top w:val="single" w:sz="8" w:color="CFF0FC"/>
            </w:tcBorders>
          </w:tcPr>
          <w:p>
            <w:pPr>
              <w:spacing w:after="0"/>
              <w:rPr>
                <w:sz w:val="11"/>
                <w:szCs w:val="11"/>
                <w:color w:val="auto"/>
              </w:rPr>
            </w:pPr>
          </w:p>
        </w:tc>
        <w:tc>
          <w:tcPr>
            <w:tcW w:w="23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Disco Parent, Inc.</w:t>
            </w:r>
            <w:r>
              <w:rPr>
                <w:rFonts w:ascii="Times New Roman" w:cs="Times New Roman" w:eastAsia="Times New Roman" w:hAnsi="Times New Roman"/>
                <w:sz w:val="13"/>
                <w:szCs w:val="13"/>
                <w:color w:val="auto"/>
                <w:vertAlign w:val="superscript"/>
              </w:rPr>
              <w:t>(3)</w:t>
            </w:r>
          </w:p>
        </w:tc>
        <w:tc>
          <w:tcPr>
            <w:tcW w:w="10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First-lien loan ($57,756 par, due 3/2029)</w:t>
            </w:r>
          </w:p>
        </w:tc>
        <w:tc>
          <w:tcPr>
            <w:tcW w:w="8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3/30/2023</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30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12.89 %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56,368</w:t>
            </w: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57,597</w:t>
            </w:r>
          </w:p>
        </w:tc>
        <w:tc>
          <w:tcPr>
            <w:tcW w:w="112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3.2 %</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-4708525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-4708525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-4708525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-4099560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-4099560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-4099560</wp:posOffset>
            </wp:positionV>
            <wp:extent cx="857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-1845310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-1845310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-1845310</wp:posOffset>
            </wp:positionV>
            <wp:extent cx="857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-1245235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-1245235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-1245235</wp:posOffset>
            </wp:positionV>
            <wp:extent cx="857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-370840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-370840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-370840</wp:posOffset>
            </wp:positionV>
            <wp:extent cx="85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
        </w:trPr>
        <w:tc>
          <w:tcPr>
            <w:tcW w:w="1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7"/>
        </w:trPr>
        <w:tc>
          <w:tcPr>
            <w:tcW w:w="16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Arrow Buyer, Inc. </w:t>
            </w:r>
            <w:r>
              <w:rPr>
                <w:rFonts w:ascii="Times New Roman" w:cs="Times New Roman" w:eastAsia="Times New Roman" w:hAnsi="Times New Roman"/>
                <w:sz w:val="13"/>
                <w:szCs w:val="13"/>
                <w:color w:val="auto"/>
                <w:vertAlign w:val="superscript"/>
              </w:rPr>
              <w:t>(3)</w:t>
            </w:r>
          </w:p>
        </w:tc>
        <w:tc>
          <w:tcPr>
            <w:tcW w:w="244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($121,875 par, due 7/2030)</w:t>
            </w:r>
          </w:p>
        </w:tc>
        <w:tc>
          <w:tcPr>
            <w:tcW w:w="980" w:type="dxa"/>
            <w:vAlign w:val="bottom"/>
            <w:shd w:val="clear" w:color="auto" w:fill="CFF0FC"/>
          </w:tcPr>
          <w:p>
            <w:pPr>
              <w:jc w:val="right"/>
              <w:ind w:right="119"/>
              <w:spacing w:after="0" w:line="117" w:lineRule="exact"/>
              <w:rPr>
                <w:sz w:val="20"/>
                <w:szCs w:val="20"/>
                <w:color w:val="auto"/>
              </w:rPr>
            </w:pPr>
            <w:r>
              <w:rPr>
                <w:rFonts w:ascii="Times New Roman" w:cs="Times New Roman" w:eastAsia="Times New Roman" w:hAnsi="Times New Roman"/>
                <w:sz w:val="13"/>
                <w:szCs w:val="13"/>
                <w:color w:val="auto"/>
              </w:rPr>
              <w:t>6/30/2023</w:t>
            </w:r>
          </w:p>
        </w:tc>
        <w:tc>
          <w:tcPr>
            <w:tcW w:w="1100" w:type="dxa"/>
            <w:vAlign w:val="bottom"/>
            <w:shd w:val="clear" w:color="auto" w:fill="CFF0FC"/>
          </w:tcPr>
          <w:p>
            <w:pPr>
              <w:jc w:val="right"/>
              <w:ind w:right="43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020" w:type="dxa"/>
            <w:vAlign w:val="bottom"/>
            <w:shd w:val="clear" w:color="auto" w:fill="CFF0FC"/>
          </w:tcPr>
          <w:p>
            <w:pPr>
              <w:jc w:val="right"/>
              <w:ind w:right="59"/>
              <w:spacing w:after="0" w:line="117" w:lineRule="exact"/>
              <w:rPr>
                <w:sz w:val="20"/>
                <w:szCs w:val="20"/>
                <w:color w:val="auto"/>
              </w:rPr>
            </w:pPr>
            <w:r>
              <w:rPr>
                <w:rFonts w:ascii="Times New Roman" w:cs="Times New Roman" w:eastAsia="Times New Roman" w:hAnsi="Times New Roman"/>
                <w:sz w:val="13"/>
                <w:szCs w:val="13"/>
                <w:color w:val="auto"/>
              </w:rPr>
              <w:t>11.85 %</w:t>
            </w: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118,648</w:t>
            </w:r>
          </w:p>
        </w:tc>
        <w:tc>
          <w:tcPr>
            <w:tcW w:w="222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120,750</w:t>
            </w:r>
          </w:p>
        </w:tc>
        <w:tc>
          <w:tcPr>
            <w:tcW w:w="114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6.6 %</w:t>
            </w:r>
          </w:p>
        </w:tc>
      </w:tr>
      <w:tr>
        <w:trPr>
          <w:trHeight w:val="153"/>
        </w:trPr>
        <w:tc>
          <w:tcPr>
            <w:tcW w:w="162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18"/>
              <w:spacing w:after="0"/>
              <w:rPr>
                <w:sz w:val="20"/>
                <w:szCs w:val="20"/>
                <w:color w:val="auto"/>
              </w:rPr>
            </w:pPr>
            <w:r>
              <w:rPr>
                <w:rFonts w:ascii="Times New Roman" w:cs="Times New Roman" w:eastAsia="Times New Roman" w:hAnsi="Times New Roman"/>
                <w:sz w:val="13"/>
                <w:szCs w:val="13"/>
                <w:color w:val="auto"/>
              </w:rPr>
              <w:t>6.50%</w:t>
            </w:r>
          </w:p>
        </w:tc>
        <w:tc>
          <w:tcPr>
            <w:tcW w:w="10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17"/>
        </w:trPr>
        <w:tc>
          <w:tcPr>
            <w:tcW w:w="162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Coupa Holdings, LLC </w:t>
            </w:r>
            <w:r>
              <w:rPr>
                <w:rFonts w:ascii="Times New Roman" w:cs="Times New Roman" w:eastAsia="Times New Roman" w:hAnsi="Times New Roman"/>
                <w:sz w:val="13"/>
                <w:szCs w:val="13"/>
                <w:color w:val="auto"/>
                <w:vertAlign w:val="superscript"/>
              </w:rPr>
              <w:t>(3)</w:t>
            </w:r>
          </w:p>
        </w:tc>
        <w:tc>
          <w:tcPr>
            <w:tcW w:w="244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($129,573 par, due 2/2030)</w:t>
            </w:r>
          </w:p>
        </w:tc>
        <w:tc>
          <w:tcPr>
            <w:tcW w:w="980" w:type="dxa"/>
            <w:vAlign w:val="bottom"/>
          </w:tcPr>
          <w:p>
            <w:pPr>
              <w:jc w:val="right"/>
              <w:ind w:right="119"/>
              <w:spacing w:after="0" w:line="117" w:lineRule="exact"/>
              <w:rPr>
                <w:sz w:val="20"/>
                <w:szCs w:val="20"/>
                <w:color w:val="auto"/>
              </w:rPr>
            </w:pPr>
            <w:r>
              <w:rPr>
                <w:rFonts w:ascii="Times New Roman" w:cs="Times New Roman" w:eastAsia="Times New Roman" w:hAnsi="Times New Roman"/>
                <w:sz w:val="13"/>
                <w:szCs w:val="13"/>
                <w:color w:val="auto"/>
              </w:rPr>
              <w:t>2/27/2023</w:t>
            </w:r>
          </w:p>
        </w:tc>
        <w:tc>
          <w:tcPr>
            <w:tcW w:w="1100" w:type="dxa"/>
            <w:vAlign w:val="bottom"/>
          </w:tcPr>
          <w:p>
            <w:pPr>
              <w:jc w:val="right"/>
              <w:ind w:right="43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020" w:type="dxa"/>
            <w:vAlign w:val="bottom"/>
          </w:tcPr>
          <w:p>
            <w:pPr>
              <w:jc w:val="right"/>
              <w:ind w:right="59"/>
              <w:spacing w:after="0" w:line="117" w:lineRule="exact"/>
              <w:rPr>
                <w:sz w:val="20"/>
                <w:szCs w:val="20"/>
                <w:color w:val="auto"/>
              </w:rPr>
            </w:pPr>
            <w:r>
              <w:rPr>
                <w:rFonts w:ascii="Times New Roman" w:cs="Times New Roman" w:eastAsia="Times New Roman" w:hAnsi="Times New Roman"/>
                <w:sz w:val="13"/>
                <w:szCs w:val="13"/>
                <w:color w:val="auto"/>
              </w:rPr>
              <w:t>12.86 %</w:t>
            </w: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126,405</w:t>
            </w:r>
          </w:p>
        </w:tc>
        <w:tc>
          <w:tcPr>
            <w:tcW w:w="222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130,323</w:t>
            </w:r>
          </w:p>
        </w:tc>
        <w:tc>
          <w:tcPr>
            <w:tcW w:w="114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7.2 %</w:t>
            </w:r>
          </w:p>
        </w:tc>
      </w:tr>
      <w:tr>
        <w:trPr>
          <w:trHeight w:val="153"/>
        </w:trPr>
        <w:tc>
          <w:tcPr>
            <w:tcW w:w="16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jc w:val="right"/>
              <w:ind w:right="418"/>
              <w:spacing w:after="0"/>
              <w:rPr>
                <w:sz w:val="20"/>
                <w:szCs w:val="20"/>
                <w:color w:val="auto"/>
              </w:rPr>
            </w:pPr>
            <w:r>
              <w:rPr>
                <w:rFonts w:ascii="Times New Roman" w:cs="Times New Roman" w:eastAsia="Times New Roman" w:hAnsi="Times New Roman"/>
                <w:sz w:val="13"/>
                <w:szCs w:val="13"/>
                <w:color w:val="auto"/>
              </w:rPr>
              <w:t>7.50%</w:t>
            </w: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08"/>
        </w:trPr>
        <w:tc>
          <w:tcPr>
            <w:tcW w:w="16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SMA Technologies Holdings,</w:t>
            </w:r>
          </w:p>
        </w:tc>
        <w:tc>
          <w:tcPr>
            <w:tcW w:w="24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2"/>
                <w:szCs w:val="12"/>
                <w:color w:val="auto"/>
              </w:rPr>
              <w:t>First-lien loan ($5,667 par, due 10/2028)</w:t>
            </w:r>
          </w:p>
        </w:tc>
        <w:tc>
          <w:tcPr>
            <w:tcW w:w="980" w:type="dxa"/>
            <w:vAlign w:val="bottom"/>
            <w:shd w:val="clear" w:color="auto" w:fill="CFF0FC"/>
          </w:tcPr>
          <w:p>
            <w:pPr>
              <w:jc w:val="right"/>
              <w:ind w:right="119"/>
              <w:spacing w:after="0" w:line="108" w:lineRule="exact"/>
              <w:rPr>
                <w:sz w:val="20"/>
                <w:szCs w:val="20"/>
                <w:color w:val="auto"/>
              </w:rPr>
            </w:pPr>
            <w:r>
              <w:rPr>
                <w:rFonts w:ascii="Times New Roman" w:cs="Times New Roman" w:eastAsia="Times New Roman" w:hAnsi="Times New Roman"/>
                <w:sz w:val="12"/>
                <w:szCs w:val="12"/>
                <w:color w:val="auto"/>
              </w:rPr>
              <w:t>10/31/2022</w:t>
            </w:r>
          </w:p>
        </w:tc>
        <w:tc>
          <w:tcPr>
            <w:tcW w:w="1100" w:type="dxa"/>
            <w:vAlign w:val="bottom"/>
            <w:shd w:val="clear" w:color="auto" w:fill="CFF0FC"/>
          </w:tcPr>
          <w:p>
            <w:pPr>
              <w:jc w:val="right"/>
              <w:ind w:right="438"/>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020" w:type="dxa"/>
            <w:vAlign w:val="bottom"/>
            <w:shd w:val="clear" w:color="auto" w:fill="CFF0FC"/>
          </w:tcPr>
          <w:p>
            <w:pPr>
              <w:jc w:val="right"/>
              <w:ind w:right="59"/>
              <w:spacing w:after="0" w:line="108" w:lineRule="exact"/>
              <w:rPr>
                <w:sz w:val="20"/>
                <w:szCs w:val="20"/>
                <w:color w:val="auto"/>
              </w:rPr>
            </w:pPr>
            <w:r>
              <w:rPr>
                <w:rFonts w:ascii="Times New Roman" w:cs="Times New Roman" w:eastAsia="Times New Roman" w:hAnsi="Times New Roman"/>
                <w:sz w:val="12"/>
                <w:szCs w:val="12"/>
                <w:color w:val="auto"/>
              </w:rPr>
              <w:t>12.11 %</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5,470</w:t>
            </w:r>
          </w:p>
        </w:tc>
        <w:tc>
          <w:tcPr>
            <w:tcW w:w="2220" w:type="dxa"/>
            <w:vAlign w:val="bottom"/>
            <w:gridSpan w:val="2"/>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5,709</w:t>
            </w:r>
          </w:p>
        </w:tc>
        <w:tc>
          <w:tcPr>
            <w:tcW w:w="114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0.3 %</w:t>
            </w:r>
          </w:p>
        </w:tc>
      </w:tr>
      <w:tr>
        <w:trPr>
          <w:trHeight w:val="149"/>
        </w:trPr>
        <w:tc>
          <w:tcPr>
            <w:tcW w:w="16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7"/>
                <w:szCs w:val="7"/>
                <w:color w:val="auto"/>
              </w:rPr>
              <w:t xml:space="preserve"> (3)(5)</w:t>
            </w:r>
          </w:p>
        </w:tc>
        <w:tc>
          <w:tcPr>
            <w:tcW w:w="24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shd w:val="clear" w:color="auto" w:fill="CFF0FC"/>
          </w:tcPr>
          <w:p>
            <w:pPr>
              <w:jc w:val="right"/>
              <w:ind w:right="418"/>
              <w:spacing w:after="0"/>
              <w:rPr>
                <w:sz w:val="20"/>
                <w:szCs w:val="20"/>
                <w:color w:val="auto"/>
              </w:rPr>
            </w:pPr>
            <w:r>
              <w:rPr>
                <w:rFonts w:ascii="Times New Roman" w:cs="Times New Roman" w:eastAsia="Times New Roman" w:hAnsi="Times New Roman"/>
                <w:sz w:val="13"/>
                <w:szCs w:val="13"/>
                <w:color w:val="auto"/>
              </w:rPr>
              <w:t>6.75%</w:t>
            </w:r>
          </w:p>
        </w:tc>
        <w:tc>
          <w:tcPr>
            <w:tcW w:w="10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r>
      <w:tr>
        <w:trPr>
          <w:trHeight w:val="138"/>
        </w:trPr>
        <w:tc>
          <w:tcPr>
            <w:tcW w:w="1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250,523</w:t>
            </w:r>
          </w:p>
        </w:tc>
        <w:tc>
          <w:tcPr>
            <w:tcW w:w="222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256,782</w:t>
            </w:r>
          </w:p>
        </w:tc>
        <w:tc>
          <w:tcPr>
            <w:tcW w:w="1140" w:type="dxa"/>
            <w:vAlign w:val="bottom"/>
            <w:gridSpan w:val="3"/>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14.1 %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-99695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-99695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-99695</wp:posOffset>
            </wp:positionV>
            <wp:extent cx="1028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-5080</wp:posOffset>
            </wp:positionV>
            <wp:extent cx="24860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p>
      <w:pPr>
        <w:ind w:left="20"/>
        <w:spacing w:after="0" w:line="216" w:lineRule="auto"/>
        <w:rPr>
          <w:sz w:val="20"/>
          <w:szCs w:val="20"/>
          <w:color w:val="auto"/>
        </w:rPr>
      </w:pPr>
      <w:r>
        <w:rPr>
          <w:rFonts w:ascii="Times New Roman" w:cs="Times New Roman" w:eastAsia="Times New Roman" w:hAnsi="Times New Roman"/>
          <w:sz w:val="13"/>
          <w:szCs w:val="13"/>
          <w:b w:val="1"/>
          <w:bCs w:val="1"/>
          <w:color w:val="auto"/>
        </w:rPr>
        <w:t>Manufacturing</w:t>
      </w:r>
    </w:p>
    <w:p>
      <w:pPr>
        <w:ind w:left="20"/>
        <w:spacing w:after="0" w:line="190" w:lineRule="auto"/>
        <w:rPr>
          <w:sz w:val="20"/>
          <w:szCs w:val="20"/>
          <w:color w:val="auto"/>
        </w:rPr>
      </w:pPr>
      <w:r>
        <w:rPr>
          <w:rFonts w:ascii="Times New Roman" w:cs="Times New Roman" w:eastAsia="Times New Roman" w:hAnsi="Times New Roman"/>
          <w:sz w:val="10"/>
          <w:szCs w:val="10"/>
          <w:color w:val="auto"/>
        </w:rPr>
        <w:t>ASP Unifrax Holdings, Inc.</w:t>
      </w:r>
    </w:p>
    <w:p>
      <w:pPr>
        <w:ind w:left="20"/>
        <w:spacing w:after="0"/>
        <w:rPr>
          <w:sz w:val="20"/>
          <w:szCs w:val="20"/>
          <w:color w:val="auto"/>
        </w:rPr>
      </w:pPr>
      <w:r>
        <w:rPr>
          <w:rFonts w:ascii="Times New Roman" w:cs="Times New Roman" w:eastAsia="Times New Roman" w:hAnsi="Times New Roman"/>
          <w:sz w:val="8"/>
          <w:szCs w:val="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Skylark UK DebtCo Limited</w:t>
      </w:r>
    </w:p>
    <w:p>
      <w:pPr>
        <w:ind w:left="20"/>
        <w:spacing w:after="0"/>
        <w:rPr>
          <w:sz w:val="20"/>
          <w:szCs w:val="20"/>
          <w:color w:val="auto"/>
        </w:rPr>
      </w:pPr>
      <w:r>
        <w:rPr>
          <w:rFonts w:ascii="Times New Roman" w:cs="Times New Roman" w:eastAsia="Times New Roman" w:hAnsi="Times New Roman"/>
          <w:sz w:val="8"/>
          <w:szCs w:val="8"/>
          <w:color w:val="auto"/>
        </w:rPr>
        <w:t>(3)(4)</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First-lien loan ($1,130 par, due 12/2025) </w:t>
            </w:r>
            <w:r>
              <w:rPr>
                <w:rFonts w:ascii="Times New Roman" w:cs="Times New Roman" w:eastAsia="Times New Roman" w:hAnsi="Times New Roman"/>
                <w:sz w:val="16"/>
                <w:szCs w:val="16"/>
                <w:color w:val="auto"/>
                <w:vertAlign w:val="superscript"/>
              </w:rPr>
              <w:t>(3)</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8/25/2023</w:t>
            </w:r>
          </w:p>
        </w:tc>
        <w:tc>
          <w:tcPr>
            <w:tcW w:w="1220" w:type="dxa"/>
            <w:vAlign w:val="bottom"/>
          </w:tcPr>
          <w:p>
            <w:pPr>
              <w:jc w:val="right"/>
              <w:ind w:right="520"/>
              <w:spacing w:after="0"/>
              <w:rPr>
                <w:sz w:val="20"/>
                <w:szCs w:val="20"/>
                <w:color w:val="auto"/>
              </w:rPr>
            </w:pPr>
            <w:r>
              <w:rPr>
                <w:rFonts w:ascii="Times New Roman" w:cs="Times New Roman" w:eastAsia="Times New Roman" w:hAnsi="Times New Roman"/>
                <w:sz w:val="13"/>
                <w:szCs w:val="13"/>
                <w:color w:val="auto"/>
              </w:rPr>
              <w:t>SOFR +</w:t>
            </w: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9.25 %</w:t>
            </w:r>
          </w:p>
        </w:tc>
        <w:tc>
          <w:tcPr>
            <w:tcW w:w="138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1,055</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1,051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jc w:val="right"/>
              <w:ind w:right="500"/>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1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First-lien loan (EUR 1,023 par, due 12/2025)</w:t>
            </w:r>
          </w:p>
        </w:tc>
        <w:tc>
          <w:tcPr>
            <w:tcW w:w="860" w:type="dxa"/>
            <w:vAlign w:val="bottom"/>
          </w:tcPr>
          <w:p>
            <w:pPr>
              <w:jc w:val="right"/>
              <w:ind w:right="77"/>
              <w:spacing w:after="0" w:line="126" w:lineRule="exact"/>
              <w:rPr>
                <w:sz w:val="20"/>
                <w:szCs w:val="20"/>
                <w:color w:val="auto"/>
              </w:rPr>
            </w:pPr>
            <w:r>
              <w:rPr>
                <w:rFonts w:ascii="Times New Roman" w:cs="Times New Roman" w:eastAsia="Times New Roman" w:hAnsi="Times New Roman"/>
                <w:sz w:val="13"/>
                <w:szCs w:val="13"/>
                <w:color w:val="auto"/>
              </w:rPr>
              <w:t>9/14/2023</w:t>
            </w:r>
          </w:p>
        </w:tc>
        <w:tc>
          <w:tcPr>
            <w:tcW w:w="1220" w:type="dxa"/>
            <w:vAlign w:val="bottom"/>
          </w:tcPr>
          <w:p>
            <w:pPr>
              <w:jc w:val="right"/>
              <w:ind w:right="500"/>
              <w:spacing w:after="0" w:line="126" w:lineRule="exact"/>
              <w:rPr>
                <w:sz w:val="20"/>
                <w:szCs w:val="20"/>
                <w:color w:val="auto"/>
              </w:rPr>
            </w:pPr>
            <w:r>
              <w:rPr>
                <w:rFonts w:ascii="Times New Roman" w:cs="Times New Roman" w:eastAsia="Times New Roman" w:hAnsi="Times New Roman"/>
                <w:sz w:val="13"/>
                <w:szCs w:val="13"/>
                <w:color w:val="auto"/>
              </w:rPr>
              <w:t>E + 3.75%</w:t>
            </w:r>
          </w:p>
        </w:tc>
        <w:tc>
          <w:tcPr>
            <w:tcW w:w="1020" w:type="dxa"/>
            <w:vAlign w:val="bottom"/>
          </w:tcPr>
          <w:p>
            <w:pPr>
              <w:jc w:val="right"/>
              <w:ind w:right="137"/>
              <w:spacing w:after="0" w:line="126" w:lineRule="exact"/>
              <w:rPr>
                <w:sz w:val="20"/>
                <w:szCs w:val="20"/>
                <w:color w:val="auto"/>
              </w:rPr>
            </w:pPr>
            <w:r>
              <w:rPr>
                <w:rFonts w:ascii="Times New Roman" w:cs="Times New Roman" w:eastAsia="Times New Roman" w:hAnsi="Times New Roman"/>
                <w:sz w:val="13"/>
                <w:szCs w:val="13"/>
                <w:color w:val="auto"/>
              </w:rPr>
              <w:t>7.68 %</w:t>
            </w:r>
          </w:p>
        </w:tc>
        <w:tc>
          <w:tcPr>
            <w:tcW w:w="1380" w:type="dxa"/>
            <w:vAlign w:val="bottom"/>
          </w:tcPr>
          <w:p>
            <w:pPr>
              <w:jc w:val="right"/>
              <w:ind w:right="697"/>
              <w:spacing w:after="0" w:line="126" w:lineRule="exact"/>
              <w:rPr>
                <w:sz w:val="20"/>
                <w:szCs w:val="20"/>
                <w:color w:val="auto"/>
              </w:rPr>
            </w:pPr>
            <w:r>
              <w:rPr>
                <w:rFonts w:ascii="Times New Roman" w:cs="Times New Roman" w:eastAsia="Times New Roman" w:hAnsi="Times New Roman"/>
                <w:sz w:val="13"/>
                <w:szCs w:val="13"/>
                <w:color w:val="auto"/>
              </w:rPr>
              <w:t>997</w:t>
            </w:r>
          </w:p>
        </w:tc>
        <w:tc>
          <w:tcPr>
            <w:tcW w:w="1860" w:type="dxa"/>
            <w:vAlign w:val="bottom"/>
          </w:tcPr>
          <w:p>
            <w:pPr>
              <w:jc w:val="right"/>
              <w:ind w:right="337"/>
              <w:spacing w:after="0" w:line="126" w:lineRule="exact"/>
              <w:rPr>
                <w:sz w:val="20"/>
                <w:szCs w:val="20"/>
                <w:color w:val="auto"/>
              </w:rPr>
            </w:pPr>
            <w:r>
              <w:rPr>
                <w:rFonts w:ascii="Times New Roman" w:cs="Times New Roman" w:eastAsia="Times New Roman" w:hAnsi="Times New Roman"/>
                <w:sz w:val="13"/>
                <w:szCs w:val="13"/>
                <w:color w:val="auto"/>
              </w:rPr>
              <w:t>1,030</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60" w:type="dxa"/>
            <w:vAlign w:val="bottom"/>
            <w:vMerge w:val="restart"/>
          </w:tcPr>
          <w:p>
            <w:pPr>
              <w:jc w:val="right"/>
              <w:ind w:right="337"/>
              <w:spacing w:after="0" w:line="144" w:lineRule="exact"/>
              <w:rPr>
                <w:sz w:val="20"/>
                <w:szCs w:val="20"/>
                <w:color w:val="auto"/>
              </w:rPr>
            </w:pPr>
            <w:r>
              <w:rPr>
                <w:rFonts w:ascii="Times New Roman" w:cs="Times New Roman" w:eastAsia="Times New Roman" w:hAnsi="Times New Roman"/>
                <w:sz w:val="13"/>
                <w:szCs w:val="13"/>
                <w:color w:val="auto"/>
              </w:rPr>
              <w:t>(EUR 932)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Unsecured note ($1,059 par, due 9/2029)</w:t>
            </w:r>
          </w:p>
        </w:tc>
        <w:tc>
          <w:tcPr>
            <w:tcW w:w="8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8/31/2023</w:t>
            </w:r>
          </w:p>
        </w:tc>
        <w:tc>
          <w:tcPr>
            <w:tcW w:w="1220" w:type="dxa"/>
            <w:vAlign w:val="bottom"/>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7.50 %</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7.50 %</w:t>
            </w:r>
          </w:p>
        </w:tc>
        <w:tc>
          <w:tcPr>
            <w:tcW w:w="1380" w:type="dxa"/>
            <w:vAlign w:val="bottom"/>
          </w:tcPr>
          <w:p>
            <w:pPr>
              <w:jc w:val="right"/>
              <w:ind w:right="697"/>
              <w:spacing w:after="0" w:line="135" w:lineRule="exact"/>
              <w:rPr>
                <w:sz w:val="20"/>
                <w:szCs w:val="20"/>
                <w:color w:val="auto"/>
              </w:rPr>
            </w:pPr>
            <w:r>
              <w:rPr>
                <w:rFonts w:ascii="Times New Roman" w:cs="Times New Roman" w:eastAsia="Times New Roman" w:hAnsi="Times New Roman"/>
                <w:sz w:val="13"/>
                <w:szCs w:val="13"/>
                <w:color w:val="auto"/>
              </w:rPr>
              <w:t>570</w:t>
            </w:r>
          </w:p>
        </w:tc>
        <w:tc>
          <w:tcPr>
            <w:tcW w:w="186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color w:val="auto"/>
              </w:rPr>
              <w:t>540</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Secured note ($91 par, due 9/2028)</w:t>
            </w:r>
          </w:p>
        </w:tc>
        <w:tc>
          <w:tcPr>
            <w:tcW w:w="8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12/19/2023</w:t>
            </w:r>
          </w:p>
        </w:tc>
        <w:tc>
          <w:tcPr>
            <w:tcW w:w="1220" w:type="dxa"/>
            <w:vAlign w:val="bottom"/>
          </w:tcPr>
          <w:p>
            <w:pPr>
              <w:jc w:val="right"/>
              <w:ind w:right="340"/>
              <w:spacing w:after="0" w:line="135" w:lineRule="exact"/>
              <w:rPr>
                <w:sz w:val="20"/>
                <w:szCs w:val="20"/>
                <w:color w:val="auto"/>
              </w:rPr>
            </w:pPr>
            <w:r>
              <w:rPr>
                <w:rFonts w:ascii="Times New Roman" w:cs="Times New Roman" w:eastAsia="Times New Roman" w:hAnsi="Times New Roman"/>
                <w:sz w:val="13"/>
                <w:szCs w:val="13"/>
                <w:color w:val="auto"/>
              </w:rPr>
              <w:t>5.25 %</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5.25 %</w:t>
            </w:r>
          </w:p>
        </w:tc>
        <w:tc>
          <w:tcPr>
            <w:tcW w:w="1380" w:type="dxa"/>
            <w:vAlign w:val="bottom"/>
          </w:tcPr>
          <w:p>
            <w:pPr>
              <w:jc w:val="right"/>
              <w:ind w:right="697"/>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86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($136,364 par, due 10/2028)</w:t>
            </w:r>
          </w:p>
        </w:tc>
        <w:tc>
          <w:tcPr>
            <w:tcW w:w="8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10/19/2022</w:t>
            </w:r>
          </w:p>
        </w:tc>
        <w:tc>
          <w:tcPr>
            <w:tcW w:w="1220" w:type="dxa"/>
            <w:vAlign w:val="bottom"/>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12.60 %</w:t>
            </w:r>
          </w:p>
        </w:tc>
        <w:tc>
          <w:tcPr>
            <w:tcW w:w="1380" w:type="dxa"/>
            <w:vAlign w:val="bottom"/>
          </w:tcPr>
          <w:p>
            <w:pPr>
              <w:jc w:val="right"/>
              <w:ind w:right="697"/>
              <w:spacing w:after="0" w:line="135" w:lineRule="exact"/>
              <w:rPr>
                <w:sz w:val="20"/>
                <w:szCs w:val="20"/>
                <w:color w:val="auto"/>
              </w:rPr>
            </w:pPr>
            <w:r>
              <w:rPr>
                <w:rFonts w:ascii="Times New Roman" w:cs="Times New Roman" w:eastAsia="Times New Roman" w:hAnsi="Times New Roman"/>
                <w:sz w:val="13"/>
                <w:szCs w:val="13"/>
                <w:color w:val="auto"/>
              </w:rPr>
              <w:t>133,365</w:t>
            </w:r>
          </w:p>
        </w:tc>
        <w:tc>
          <w:tcPr>
            <w:tcW w:w="186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color w:val="auto"/>
              </w:rPr>
              <w:t>136,739</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7.5 %</w:t>
            </w:r>
          </w:p>
        </w:tc>
        <w:tc>
          <w:tcPr>
            <w:tcW w:w="0" w:type="dxa"/>
            <w:vAlign w:val="bottom"/>
          </w:tcPr>
          <w:p>
            <w:pPr>
              <w:spacing w:after="0"/>
              <w:rPr>
                <w:sz w:val="1"/>
                <w:szCs w:val="1"/>
                <w:color w:val="auto"/>
              </w:rPr>
            </w:pPr>
          </w:p>
        </w:tc>
      </w:tr>
      <w:tr>
        <w:trPr>
          <w:trHeight w:val="139"/>
        </w:trPr>
        <w:tc>
          <w:tcPr>
            <w:tcW w:w="24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First-lien loan ($65,149 par, due 9/2030)</w:t>
            </w: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9/7/2023</w:t>
            </w:r>
          </w:p>
        </w:tc>
        <w:tc>
          <w:tcPr>
            <w:tcW w:w="1220" w:type="dxa"/>
            <w:vAlign w:val="bottom"/>
          </w:tcPr>
          <w:p>
            <w:pPr>
              <w:jc w:val="right"/>
              <w:ind w:right="500"/>
              <w:spacing w:after="0" w:line="139" w:lineRule="exact"/>
              <w:rPr>
                <w:sz w:val="20"/>
                <w:szCs w:val="20"/>
                <w:color w:val="auto"/>
              </w:rPr>
            </w:pPr>
            <w:r>
              <w:rPr>
                <w:rFonts w:ascii="Times New Roman" w:cs="Times New Roman" w:eastAsia="Times New Roman" w:hAnsi="Times New Roman"/>
                <w:sz w:val="13"/>
                <w:szCs w:val="13"/>
                <w:color w:val="auto"/>
              </w:rPr>
              <w:t>7.25%</w:t>
            </w:r>
          </w:p>
        </w:tc>
        <w:tc>
          <w:tcPr>
            <w:tcW w:w="10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11.60 %</w:t>
            </w:r>
          </w:p>
        </w:tc>
        <w:tc>
          <w:tcPr>
            <w:tcW w:w="1380" w:type="dxa"/>
            <w:vAlign w:val="bottom"/>
            <w:vMerge w:val="restart"/>
          </w:tcPr>
          <w:p>
            <w:pPr>
              <w:jc w:val="right"/>
              <w:ind w:right="697"/>
              <w:spacing w:after="0"/>
              <w:rPr>
                <w:sz w:val="20"/>
                <w:szCs w:val="20"/>
                <w:color w:val="auto"/>
              </w:rPr>
            </w:pPr>
            <w:r>
              <w:rPr>
                <w:rFonts w:ascii="Times New Roman" w:cs="Times New Roman" w:eastAsia="Times New Roman" w:hAnsi="Times New Roman"/>
                <w:sz w:val="13"/>
                <w:szCs w:val="13"/>
                <w:color w:val="auto"/>
              </w:rPr>
              <w:t>63,411</w:t>
            </w:r>
          </w:p>
        </w:tc>
        <w:tc>
          <w:tcPr>
            <w:tcW w:w="18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auto"/>
              </w:rPr>
              <w:t>63,683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20" w:type="dxa"/>
            <w:vAlign w:val="bottom"/>
          </w:tcPr>
          <w:p>
            <w:pPr>
              <w:jc w:val="right"/>
              <w:ind w:right="520"/>
              <w:spacing w:after="0" w:line="122" w:lineRule="exact"/>
              <w:rPr>
                <w:sz w:val="20"/>
                <w:szCs w:val="20"/>
                <w:color w:val="auto"/>
              </w:rPr>
            </w:pPr>
            <w:r>
              <w:rPr>
                <w:rFonts w:ascii="Times New Roman" w:cs="Times New Roman" w:eastAsia="Times New Roman" w:hAnsi="Times New Roman"/>
                <w:sz w:val="11"/>
                <w:szCs w:val="11"/>
                <w:color w:val="auto"/>
              </w:rPr>
              <w:t>SOFR +</w:t>
            </w:r>
          </w:p>
        </w:tc>
        <w:tc>
          <w:tcPr>
            <w:tcW w:w="10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First-lien loan (GBP 66,344 par, due 9/2030)</w:t>
            </w: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9/7/2023</w:t>
            </w:r>
          </w:p>
        </w:tc>
        <w:tc>
          <w:tcPr>
            <w:tcW w:w="1220" w:type="dxa"/>
            <w:vAlign w:val="bottom"/>
          </w:tcPr>
          <w:p>
            <w:pPr>
              <w:jc w:val="right"/>
              <w:ind w:right="50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10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11.52 %</w:t>
            </w:r>
          </w:p>
        </w:tc>
        <w:tc>
          <w:tcPr>
            <w:tcW w:w="1380" w:type="dxa"/>
            <w:vAlign w:val="bottom"/>
            <w:vMerge w:val="restart"/>
          </w:tcPr>
          <w:p>
            <w:pPr>
              <w:jc w:val="right"/>
              <w:ind w:right="697"/>
              <w:spacing w:after="0"/>
              <w:rPr>
                <w:sz w:val="20"/>
                <w:szCs w:val="20"/>
                <w:color w:val="auto"/>
              </w:rPr>
            </w:pPr>
            <w:r>
              <w:rPr>
                <w:rFonts w:ascii="Times New Roman" w:cs="Times New Roman" w:eastAsia="Times New Roman" w:hAnsi="Times New Roman"/>
                <w:sz w:val="13"/>
                <w:szCs w:val="13"/>
                <w:color w:val="auto"/>
              </w:rPr>
              <w:t>79,846</w:t>
            </w:r>
          </w:p>
        </w:tc>
        <w:tc>
          <w:tcPr>
            <w:tcW w:w="18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auto"/>
              </w:rPr>
              <w:t>82,038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0" w:type="dxa"/>
            <w:vAlign w:val="bottom"/>
          </w:tcPr>
          <w:p>
            <w:pPr>
              <w:spacing w:after="0"/>
              <w:rPr>
                <w:sz w:val="1"/>
                <w:szCs w:val="1"/>
                <w:color w:val="auto"/>
              </w:rPr>
            </w:pPr>
          </w:p>
        </w:tc>
      </w:tr>
      <w:tr>
        <w:trPr>
          <w:trHeight w:val="131"/>
        </w:trPr>
        <w:tc>
          <w:tcPr>
            <w:tcW w:w="24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tcPr>
          <w:p>
            <w:pPr>
              <w:jc w:val="right"/>
              <w:ind w:right="500"/>
              <w:spacing w:after="0"/>
              <w:rPr>
                <w:sz w:val="20"/>
                <w:szCs w:val="20"/>
                <w:color w:val="auto"/>
              </w:rPr>
            </w:pPr>
            <w:r>
              <w:rPr>
                <w:rFonts w:ascii="Times New Roman" w:cs="Times New Roman" w:eastAsia="Times New Roman" w:hAnsi="Times New Roman"/>
                <w:sz w:val="11"/>
                <w:szCs w:val="11"/>
                <w:color w:val="auto"/>
              </w:rPr>
              <w:t>S + 6.25%</w:t>
            </w:r>
          </w:p>
        </w:tc>
        <w:tc>
          <w:tcPr>
            <w:tcW w:w="102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(GBP 64,354)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-1094105</wp:posOffset>
            </wp:positionV>
            <wp:extent cx="7132320" cy="85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-836930</wp:posOffset>
            </wp:positionV>
            <wp:extent cx="7132320"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-579755</wp:posOffset>
            </wp:positionV>
            <wp:extent cx="7132320" cy="857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-322580</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80" w:space="240"/>
            <w:col w:w="9520"/>
          </w:cols>
          <w:pgMar w:left="320" w:top="982"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640" w:type="dxa"/>
            <w:vAlign w:val="bottom"/>
            <w:shd w:val="clear" w:color="auto" w:fill="CFF0FC"/>
          </w:tcPr>
          <w:p>
            <w:pPr>
              <w:spacing w:after="0"/>
              <w:rPr>
                <w:sz w:val="10"/>
                <w:szCs w:val="10"/>
                <w:color w:val="auto"/>
              </w:rPr>
            </w:pPr>
          </w:p>
        </w:tc>
        <w:tc>
          <w:tcPr>
            <w:tcW w:w="2500" w:type="dxa"/>
            <w:vAlign w:val="bottom"/>
            <w:shd w:val="clear" w:color="auto" w:fill="CFF0FC"/>
          </w:tcPr>
          <w:p>
            <w:pPr>
              <w:ind w:left="80"/>
              <w:spacing w:after="0" w:line="121" w:lineRule="exact"/>
              <w:rPr>
                <w:sz w:val="20"/>
                <w:szCs w:val="20"/>
                <w:color w:val="auto"/>
              </w:rPr>
            </w:pPr>
            <w:r>
              <w:rPr>
                <w:rFonts w:ascii="Times New Roman" w:cs="Times New Roman" w:eastAsia="Times New Roman" w:hAnsi="Times New Roman"/>
                <w:sz w:val="13"/>
                <w:szCs w:val="13"/>
                <w:color w:val="auto"/>
              </w:rPr>
              <w:t>First-lien loan (EUR 19,342 par, due 9/2030)</w:t>
            </w:r>
          </w:p>
        </w:tc>
        <w:tc>
          <w:tcPr>
            <w:tcW w:w="900" w:type="dxa"/>
            <w:vAlign w:val="bottom"/>
            <w:shd w:val="clear" w:color="auto" w:fill="CFF0FC"/>
          </w:tcPr>
          <w:p>
            <w:pPr>
              <w:jc w:val="right"/>
              <w:ind w:right="120"/>
              <w:spacing w:after="0" w:line="121" w:lineRule="exact"/>
              <w:rPr>
                <w:sz w:val="20"/>
                <w:szCs w:val="20"/>
                <w:color w:val="auto"/>
              </w:rPr>
            </w:pPr>
            <w:r>
              <w:rPr>
                <w:rFonts w:ascii="Times New Roman" w:cs="Times New Roman" w:eastAsia="Times New Roman" w:hAnsi="Times New Roman"/>
                <w:sz w:val="13"/>
                <w:szCs w:val="13"/>
                <w:color w:val="auto"/>
              </w:rPr>
              <w:t>9/7/2023</w:t>
            </w:r>
          </w:p>
        </w:tc>
        <w:tc>
          <w:tcPr>
            <w:tcW w:w="880" w:type="dxa"/>
            <w:vAlign w:val="bottom"/>
            <w:shd w:val="clear" w:color="auto" w:fill="CFF0FC"/>
          </w:tcPr>
          <w:p>
            <w:pPr>
              <w:ind w:left="160"/>
              <w:spacing w:after="0" w:line="121" w:lineRule="exact"/>
              <w:rPr>
                <w:sz w:val="20"/>
                <w:szCs w:val="20"/>
                <w:color w:val="auto"/>
              </w:rPr>
            </w:pPr>
            <w:r>
              <w:rPr>
                <w:rFonts w:ascii="Times New Roman" w:cs="Times New Roman" w:eastAsia="Times New Roman" w:hAnsi="Times New Roman"/>
                <w:sz w:val="11"/>
                <w:szCs w:val="11"/>
                <w:color w:val="auto"/>
              </w:rPr>
              <w:t>E + 6.25%</w:t>
            </w:r>
          </w:p>
        </w:tc>
        <w:tc>
          <w:tcPr>
            <w:tcW w:w="1240" w:type="dxa"/>
            <w:vAlign w:val="bottom"/>
            <w:shd w:val="clear" w:color="auto" w:fill="CFF0FC"/>
          </w:tcPr>
          <w:p>
            <w:pPr>
              <w:jc w:val="right"/>
              <w:ind w:right="59"/>
              <w:spacing w:after="0" w:line="121" w:lineRule="exact"/>
              <w:rPr>
                <w:sz w:val="20"/>
                <w:szCs w:val="20"/>
                <w:color w:val="auto"/>
              </w:rPr>
            </w:pPr>
            <w:r>
              <w:rPr>
                <w:rFonts w:ascii="Times New Roman" w:cs="Times New Roman" w:eastAsia="Times New Roman" w:hAnsi="Times New Roman"/>
                <w:sz w:val="13"/>
                <w:szCs w:val="13"/>
                <w:color w:val="auto"/>
              </w:rPr>
              <w:t>10.18 %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20,154</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3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20,885</w:t>
            </w:r>
          </w:p>
        </w:tc>
        <w:tc>
          <w:tcPr>
            <w:tcW w:w="1140" w:type="dxa"/>
            <w:vAlign w:val="bottom"/>
            <w:gridSpan w:val="3"/>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53"/>
        </w:trPr>
        <w:tc>
          <w:tcPr>
            <w:tcW w:w="1640" w:type="dxa"/>
            <w:vAlign w:val="bottom"/>
            <w:tcBorders>
              <w:bottom w:val="single" w:sz="8" w:color="CFF0FC"/>
            </w:tcBorders>
            <w:shd w:val="clear" w:color="auto" w:fill="CFF0FC"/>
          </w:tcPr>
          <w:p>
            <w:pPr>
              <w:spacing w:after="0"/>
              <w:rPr>
                <w:sz w:val="13"/>
                <w:szCs w:val="13"/>
                <w:color w:val="auto"/>
              </w:rPr>
            </w:pPr>
          </w:p>
        </w:tc>
        <w:tc>
          <w:tcPr>
            <w:tcW w:w="25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18,907)</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299,460</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306,032</w:t>
            </w:r>
          </w:p>
        </w:tc>
        <w:tc>
          <w:tcPr>
            <w:tcW w:w="114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16.8 %</w:t>
            </w:r>
          </w:p>
        </w:tc>
        <w:tc>
          <w:tcPr>
            <w:tcW w:w="0" w:type="dxa"/>
            <w:vAlign w:val="bottom"/>
          </w:tcPr>
          <w:p>
            <w:pPr>
              <w:spacing w:after="0"/>
              <w:rPr>
                <w:sz w:val="1"/>
                <w:szCs w:val="1"/>
                <w:color w:val="auto"/>
              </w:rPr>
            </w:pPr>
          </w:p>
        </w:tc>
      </w:tr>
      <w:tr>
        <w:trPr>
          <w:trHeight w:val="108"/>
        </w:trPr>
        <w:tc>
          <w:tcPr>
            <w:tcW w:w="16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Oil, Gas and Consumable</w:t>
            </w:r>
          </w:p>
        </w:tc>
        <w:tc>
          <w:tcPr>
            <w:tcW w:w="25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3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Laramie Energy, LLC </w:t>
            </w:r>
            <w:r>
              <w:rPr>
                <w:rFonts w:ascii="Times New Roman" w:cs="Times New Roman" w:eastAsia="Times New Roman" w:hAnsi="Times New Roman"/>
                <w:sz w:val="13"/>
                <w:szCs w:val="13"/>
                <w:color w:val="auto"/>
                <w:vertAlign w:val="superscript"/>
              </w:rPr>
              <w:t>(3)</w:t>
            </w:r>
          </w:p>
        </w:tc>
        <w:tc>
          <w:tcPr>
            <w:tcW w:w="25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900" w:type="dxa"/>
            <w:vAlign w:val="bottom"/>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2/21/2023</w:t>
            </w:r>
          </w:p>
        </w:tc>
        <w:tc>
          <w:tcPr>
            <w:tcW w:w="88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tcPr>
          <w:p>
            <w:pPr>
              <w:jc w:val="right"/>
              <w:ind w:right="59"/>
              <w:spacing w:after="0" w:line="117" w:lineRule="exact"/>
              <w:rPr>
                <w:sz w:val="20"/>
                <w:szCs w:val="20"/>
                <w:color w:val="auto"/>
              </w:rPr>
            </w:pPr>
            <w:r>
              <w:rPr>
                <w:rFonts w:ascii="Times New Roman" w:cs="Times New Roman" w:eastAsia="Times New Roman" w:hAnsi="Times New Roman"/>
                <w:sz w:val="13"/>
                <w:szCs w:val="13"/>
                <w:color w:val="auto"/>
              </w:rPr>
              <w:t>12.46 %</w:t>
            </w:r>
          </w:p>
        </w:tc>
        <w:tc>
          <w:tcPr>
            <w:tcW w:w="1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95,599</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96,936</w:t>
            </w:r>
          </w:p>
        </w:tc>
        <w:tc>
          <w:tcPr>
            <w:tcW w:w="114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7.10%</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Mach Natural Resources LP </w:t>
            </w:r>
            <w:r>
              <w:rPr>
                <w:rFonts w:ascii="Times New Roman" w:cs="Times New Roman" w:eastAsia="Times New Roman" w:hAnsi="Times New Roman"/>
                <w:sz w:val="12"/>
                <w:szCs w:val="12"/>
                <w:color w:val="auto"/>
                <w:vertAlign w:val="superscript"/>
              </w:rPr>
              <w:t>(3)</w:t>
            </w:r>
          </w:p>
        </w:tc>
        <w:tc>
          <w:tcPr>
            <w:tcW w:w="25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($135,000 par, due 12/2026)</w:t>
            </w:r>
          </w:p>
        </w:tc>
        <w:tc>
          <w:tcPr>
            <w:tcW w:w="900" w:type="dxa"/>
            <w:vAlign w:val="bottom"/>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12/28/2023</w:t>
            </w:r>
          </w:p>
        </w:tc>
        <w:tc>
          <w:tcPr>
            <w:tcW w:w="880" w:type="dxa"/>
            <w:vAlign w:val="bottom"/>
            <w:shd w:val="clear" w:color="auto" w:fill="CFF0FC"/>
          </w:tcPr>
          <w:p>
            <w:pPr>
              <w:ind w:left="180"/>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240" w:type="dxa"/>
            <w:vAlign w:val="bottom"/>
            <w:shd w:val="clear" w:color="auto" w:fill="CFF0FC"/>
          </w:tcPr>
          <w:p>
            <w:pPr>
              <w:jc w:val="right"/>
              <w:ind w:right="59"/>
              <w:spacing w:after="0" w:line="108" w:lineRule="exact"/>
              <w:rPr>
                <w:sz w:val="20"/>
                <w:szCs w:val="20"/>
                <w:color w:val="auto"/>
              </w:rPr>
            </w:pPr>
            <w:r>
              <w:rPr>
                <w:rFonts w:ascii="Times New Roman" w:cs="Times New Roman" w:eastAsia="Times New Roman" w:hAnsi="Times New Roman"/>
                <w:sz w:val="12"/>
                <w:szCs w:val="12"/>
                <w:color w:val="auto"/>
              </w:rPr>
              <w:t>12.00 %</w:t>
            </w: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132,310</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132,300</w:t>
            </w:r>
          </w:p>
        </w:tc>
        <w:tc>
          <w:tcPr>
            <w:tcW w:w="114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7.3 %</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25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ind w:left="300"/>
              <w:spacing w:after="0" w:line="129" w:lineRule="exact"/>
              <w:rPr>
                <w:sz w:val="20"/>
                <w:szCs w:val="20"/>
                <w:color w:val="auto"/>
              </w:rPr>
            </w:pPr>
            <w:r>
              <w:rPr>
                <w:rFonts w:ascii="Times New Roman" w:cs="Times New Roman" w:eastAsia="Times New Roman" w:hAnsi="Times New Roman"/>
                <w:sz w:val="13"/>
                <w:szCs w:val="13"/>
                <w:color w:val="auto"/>
              </w:rPr>
              <w:t>6.50%</w:t>
            </w:r>
          </w:p>
        </w:tc>
        <w:tc>
          <w:tcPr>
            <w:tcW w:w="1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227,909</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229,236</w:t>
            </w:r>
          </w:p>
        </w:tc>
        <w:tc>
          <w:tcPr>
            <w:tcW w:w="220" w:type="dxa"/>
            <w:vAlign w:val="bottom"/>
          </w:tcPr>
          <w:p>
            <w:pPr>
              <w:spacing w:after="0"/>
              <w:rPr>
                <w:sz w:val="11"/>
                <w:szCs w:val="11"/>
                <w:color w:val="auto"/>
              </w:rPr>
            </w:pPr>
          </w:p>
        </w:tc>
        <w:tc>
          <w:tcPr>
            <w:tcW w:w="9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12.6 %</w:t>
            </w:r>
          </w:p>
        </w:tc>
        <w:tc>
          <w:tcPr>
            <w:tcW w:w="0" w:type="dxa"/>
            <w:vAlign w:val="bottom"/>
          </w:tcPr>
          <w:p>
            <w:pPr>
              <w:spacing w:after="0"/>
              <w:rPr>
                <w:sz w:val="1"/>
                <w:szCs w:val="1"/>
                <w:color w:val="auto"/>
              </w:rPr>
            </w:pPr>
          </w:p>
        </w:tc>
      </w:tr>
      <w:tr>
        <w:trPr>
          <w:trHeight w:val="108"/>
        </w:trPr>
        <w:tc>
          <w:tcPr>
            <w:tcW w:w="16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Retail and Consumer</w:t>
            </w:r>
          </w:p>
        </w:tc>
        <w:tc>
          <w:tcPr>
            <w:tcW w:w="25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3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2"/>
                <w:szCs w:val="12"/>
                <w:color w:val="auto"/>
                <w:vertAlign w:val="superscript"/>
              </w:rPr>
              <w:t>(3)</w:t>
            </w:r>
          </w:p>
        </w:tc>
        <w:tc>
          <w:tcPr>
            <w:tcW w:w="250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ABL FILO term loan ($25,574 par, due</w:t>
            </w:r>
          </w:p>
        </w:tc>
        <w:tc>
          <w:tcPr>
            <w:tcW w:w="900" w:type="dxa"/>
            <w:vAlign w:val="bottom"/>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9/2/2022</w:t>
            </w:r>
          </w:p>
        </w:tc>
        <w:tc>
          <w:tcPr>
            <w:tcW w:w="880" w:type="dxa"/>
            <w:vAlign w:val="bottom"/>
          </w:tcPr>
          <w:p>
            <w:pPr>
              <w:ind w:left="180"/>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240" w:type="dxa"/>
            <w:vAlign w:val="bottom"/>
          </w:tcPr>
          <w:p>
            <w:pPr>
              <w:jc w:val="right"/>
              <w:ind w:right="59"/>
              <w:spacing w:after="0" w:line="108" w:lineRule="exact"/>
              <w:rPr>
                <w:sz w:val="20"/>
                <w:szCs w:val="20"/>
                <w:color w:val="auto"/>
              </w:rPr>
            </w:pPr>
            <w:r>
              <w:rPr>
                <w:rFonts w:ascii="Times New Roman" w:cs="Times New Roman" w:eastAsia="Times New Roman" w:hAnsi="Times New Roman"/>
                <w:sz w:val="12"/>
                <w:szCs w:val="12"/>
                <w:color w:val="auto"/>
              </w:rPr>
              <w:t>15.26 %</w:t>
            </w:r>
          </w:p>
        </w:tc>
        <w:tc>
          <w:tcPr>
            <w:tcW w:w="14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25,040</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24,487</w:t>
            </w:r>
          </w:p>
        </w:tc>
        <w:tc>
          <w:tcPr>
            <w:tcW w:w="1140" w:type="dxa"/>
            <w:vAlign w:val="bottom"/>
            <w:gridSpan w:val="3"/>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07"/>
        </w:trPr>
        <w:tc>
          <w:tcPr>
            <w:tcW w:w="1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8/2027)</w:t>
            </w:r>
          </w:p>
        </w:tc>
        <w:tc>
          <w:tcPr>
            <w:tcW w:w="900" w:type="dxa"/>
            <w:vAlign w:val="bottom"/>
          </w:tcPr>
          <w:p>
            <w:pPr>
              <w:spacing w:after="0"/>
              <w:rPr>
                <w:sz w:val="9"/>
                <w:szCs w:val="9"/>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9.90%</w:t>
            </w: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4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640" w:type="dxa"/>
            <w:vAlign w:val="bottom"/>
            <w:shd w:val="clear" w:color="auto" w:fill="CFF0FC"/>
          </w:tcPr>
          <w:p>
            <w:pPr>
              <w:spacing w:after="0"/>
              <w:rPr>
                <w:sz w:val="10"/>
                <w:szCs w:val="10"/>
                <w:color w:val="auto"/>
              </w:rPr>
            </w:pPr>
          </w:p>
        </w:tc>
        <w:tc>
          <w:tcPr>
            <w:tcW w:w="25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Roll Up DIP term loan ($8,617 par, due</w:t>
            </w:r>
          </w:p>
        </w:tc>
        <w:tc>
          <w:tcPr>
            <w:tcW w:w="900" w:type="dxa"/>
            <w:vAlign w:val="bottom"/>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4/24/2023</w:t>
            </w:r>
          </w:p>
        </w:tc>
        <w:tc>
          <w:tcPr>
            <w:tcW w:w="880" w:type="dxa"/>
            <w:vAlign w:val="bottom"/>
            <w:shd w:val="clear" w:color="auto" w:fill="CFF0FC"/>
          </w:tcPr>
          <w:p>
            <w:pPr>
              <w:ind w:left="18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shd w:val="clear" w:color="auto" w:fill="CFF0FC"/>
          </w:tcPr>
          <w:p>
            <w:pPr>
              <w:jc w:val="right"/>
              <w:ind w:right="59"/>
              <w:spacing w:after="0" w:line="117" w:lineRule="exact"/>
              <w:rPr>
                <w:sz w:val="20"/>
                <w:szCs w:val="20"/>
                <w:color w:val="auto"/>
              </w:rPr>
            </w:pPr>
            <w:r>
              <w:rPr>
                <w:rFonts w:ascii="Times New Roman" w:cs="Times New Roman" w:eastAsia="Times New Roman" w:hAnsi="Times New Roman"/>
                <w:sz w:val="13"/>
                <w:szCs w:val="13"/>
                <w:color w:val="auto"/>
              </w:rPr>
              <w:t>13.26 %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8,617</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3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8,250</w:t>
            </w:r>
          </w:p>
        </w:tc>
        <w:tc>
          <w:tcPr>
            <w:tcW w:w="114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53"/>
        </w:trPr>
        <w:tc>
          <w:tcPr>
            <w:tcW w:w="1640" w:type="dxa"/>
            <w:vAlign w:val="bottom"/>
            <w:shd w:val="clear" w:color="auto" w:fill="CFF0FC"/>
          </w:tcPr>
          <w:p>
            <w:pPr>
              <w:spacing w:after="0"/>
              <w:rPr>
                <w:sz w:val="13"/>
                <w:szCs w:val="13"/>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9/2024)</w:t>
            </w:r>
          </w:p>
        </w:tc>
        <w:tc>
          <w:tcPr>
            <w:tcW w:w="900" w:type="dxa"/>
            <w:vAlign w:val="bottom"/>
            <w:shd w:val="clear" w:color="auto" w:fill="CFF0FC"/>
          </w:tcPr>
          <w:p>
            <w:pPr>
              <w:spacing w:after="0"/>
              <w:rPr>
                <w:sz w:val="13"/>
                <w:szCs w:val="13"/>
                <w:color w:val="auto"/>
              </w:rPr>
            </w:pP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7.90%</w:t>
            </w: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25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Super-Priority DIP term loan ($47,147 par,</w:t>
            </w:r>
          </w:p>
        </w:tc>
        <w:tc>
          <w:tcPr>
            <w:tcW w:w="900" w:type="dxa"/>
            <w:vAlign w:val="bottom"/>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4/24/2023</w:t>
            </w:r>
          </w:p>
        </w:tc>
        <w:tc>
          <w:tcPr>
            <w:tcW w:w="88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380" w:type="dxa"/>
            <w:vAlign w:val="bottom"/>
            <w:gridSpan w:val="2"/>
          </w:tcPr>
          <w:p>
            <w:pPr>
              <w:jc w:val="right"/>
              <w:ind w:right="377"/>
              <w:spacing w:after="0" w:line="117" w:lineRule="exact"/>
              <w:rPr>
                <w:sz w:val="20"/>
                <w:szCs w:val="20"/>
                <w:color w:val="auto"/>
              </w:rPr>
            </w:pPr>
            <w:r>
              <w:rPr>
                <w:rFonts w:ascii="Times New Roman" w:cs="Times New Roman" w:eastAsia="Times New Roman" w:hAnsi="Times New Roman"/>
                <w:sz w:val="13"/>
                <w:szCs w:val="13"/>
                <w:color w:val="auto"/>
              </w:rPr>
              <w:t>13.26% (incl.</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47,147</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45,143</w:t>
            </w:r>
          </w:p>
        </w:tc>
        <w:tc>
          <w:tcPr>
            <w:tcW w:w="114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9/2024)</w:t>
            </w:r>
          </w:p>
        </w:tc>
        <w:tc>
          <w:tcPr>
            <w:tcW w:w="900" w:type="dxa"/>
            <w:vAlign w:val="bottom"/>
          </w:tcPr>
          <w:p>
            <w:pPr>
              <w:spacing w:after="0"/>
              <w:rPr>
                <w:sz w:val="13"/>
                <w:szCs w:val="13"/>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7.90%</w:t>
            </w:r>
          </w:p>
        </w:tc>
        <w:tc>
          <w:tcPr>
            <w:tcW w:w="138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color w:val="auto"/>
              </w:rPr>
              <w:t>13.26% PIK)</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Commercehub, Inc. </w:t>
            </w:r>
            <w:r>
              <w:rPr>
                <w:rFonts w:ascii="Times New Roman" w:cs="Times New Roman" w:eastAsia="Times New Roman" w:hAnsi="Times New Roman"/>
                <w:sz w:val="13"/>
                <w:szCs w:val="13"/>
                <w:color w:val="auto"/>
                <w:vertAlign w:val="superscript"/>
              </w:rPr>
              <w:t>(3)</w:t>
            </w:r>
          </w:p>
        </w:tc>
        <w:tc>
          <w:tcPr>
            <w:tcW w:w="25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($148,500 par, due 12/2027)</w:t>
            </w:r>
          </w:p>
        </w:tc>
        <w:tc>
          <w:tcPr>
            <w:tcW w:w="900" w:type="dxa"/>
            <w:vAlign w:val="bottom"/>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11/15/2022</w:t>
            </w:r>
          </w:p>
        </w:tc>
        <w:tc>
          <w:tcPr>
            <w:tcW w:w="880" w:type="dxa"/>
            <w:vAlign w:val="bottom"/>
            <w:shd w:val="clear" w:color="auto" w:fill="CFF0FC"/>
          </w:tcPr>
          <w:p>
            <w:pPr>
              <w:ind w:left="180"/>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shd w:val="clear" w:color="auto" w:fill="CFF0FC"/>
          </w:tcPr>
          <w:p>
            <w:pPr>
              <w:jc w:val="right"/>
              <w:ind w:right="59"/>
              <w:spacing w:after="0" w:line="117" w:lineRule="exact"/>
              <w:rPr>
                <w:sz w:val="20"/>
                <w:szCs w:val="20"/>
                <w:color w:val="auto"/>
              </w:rPr>
            </w:pPr>
            <w:r>
              <w:rPr>
                <w:rFonts w:ascii="Times New Roman" w:cs="Times New Roman" w:eastAsia="Times New Roman" w:hAnsi="Times New Roman"/>
                <w:sz w:val="13"/>
                <w:szCs w:val="13"/>
                <w:color w:val="auto"/>
              </w:rPr>
              <w:t>11.79 %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139,880</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3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145,530</w:t>
            </w:r>
          </w:p>
        </w:tc>
        <w:tc>
          <w:tcPr>
            <w:tcW w:w="114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8.0 %</w:t>
            </w:r>
          </w:p>
        </w:tc>
        <w:tc>
          <w:tcPr>
            <w:tcW w:w="0" w:type="dxa"/>
            <w:vAlign w:val="bottom"/>
          </w:tcPr>
          <w:p>
            <w:pPr>
              <w:spacing w:after="0"/>
              <w:rPr>
                <w:sz w:val="1"/>
                <w:szCs w:val="1"/>
                <w:color w:val="auto"/>
              </w:rPr>
            </w:pPr>
          </w:p>
        </w:tc>
      </w:tr>
      <w:tr>
        <w:trPr>
          <w:trHeight w:val="153"/>
        </w:trPr>
        <w:tc>
          <w:tcPr>
            <w:tcW w:w="16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6.25%</w:t>
            </w: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Rapid Data GmbH</w:t>
            </w:r>
          </w:p>
        </w:tc>
        <w:tc>
          <w:tcPr>
            <w:tcW w:w="250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4,495 par, due 7/2029)</w:t>
            </w:r>
          </w:p>
        </w:tc>
        <w:tc>
          <w:tcPr>
            <w:tcW w:w="900" w:type="dxa"/>
            <w:vAlign w:val="bottom"/>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88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E + 6.50%</w:t>
            </w:r>
          </w:p>
        </w:tc>
        <w:tc>
          <w:tcPr>
            <w:tcW w:w="1240" w:type="dxa"/>
            <w:vAlign w:val="bottom"/>
          </w:tcPr>
          <w:p>
            <w:pPr>
              <w:jc w:val="right"/>
              <w:ind w:right="59"/>
              <w:spacing w:after="0" w:line="108" w:lineRule="exact"/>
              <w:rPr>
                <w:sz w:val="20"/>
                <w:szCs w:val="20"/>
                <w:color w:val="auto"/>
              </w:rPr>
            </w:pPr>
            <w:r>
              <w:rPr>
                <w:rFonts w:ascii="Times New Roman" w:cs="Times New Roman" w:eastAsia="Times New Roman" w:hAnsi="Times New Roman"/>
                <w:sz w:val="12"/>
                <w:szCs w:val="12"/>
                <w:color w:val="auto"/>
              </w:rPr>
              <w:t>10.48 %</w:t>
            </w:r>
          </w:p>
        </w:tc>
        <w:tc>
          <w:tcPr>
            <w:tcW w:w="14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4,677</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4,853</w:t>
            </w:r>
          </w:p>
        </w:tc>
        <w:tc>
          <w:tcPr>
            <w:tcW w:w="1140" w:type="dxa"/>
            <w:vAlign w:val="bottom"/>
            <w:gridSpan w:val="3"/>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0.3 %</w:t>
            </w: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4,393)</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225,361</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228,263</w:t>
            </w:r>
          </w:p>
        </w:tc>
        <w:tc>
          <w:tcPr>
            <w:tcW w:w="1140" w:type="dxa"/>
            <w:vAlign w:val="bottom"/>
            <w:gridSpan w:val="3"/>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12.6 %</w:t>
            </w:r>
          </w:p>
        </w:tc>
        <w:tc>
          <w:tcPr>
            <w:tcW w:w="0" w:type="dxa"/>
            <w:vAlign w:val="bottom"/>
          </w:tcPr>
          <w:p>
            <w:pPr>
              <w:spacing w:after="0"/>
              <w:rPr>
                <w:sz w:val="1"/>
                <w:szCs w:val="1"/>
                <w:color w:val="auto"/>
              </w:rPr>
            </w:pPr>
          </w:p>
        </w:tc>
      </w:tr>
      <w:tr>
        <w:trPr>
          <w:trHeight w:val="128"/>
        </w:trPr>
        <w:tc>
          <w:tcPr>
            <w:tcW w:w="1640" w:type="dxa"/>
            <w:vAlign w:val="bottom"/>
            <w:tcBorders>
              <w:top w:val="single" w:sz="8" w:color="CFF0FC"/>
            </w:tcBorders>
          </w:tcPr>
          <w:p>
            <w:pPr>
              <w:spacing w:after="0"/>
              <w:rPr>
                <w:sz w:val="11"/>
                <w:szCs w:val="11"/>
                <w:color w:val="auto"/>
              </w:rPr>
            </w:pPr>
          </w:p>
        </w:tc>
        <w:tc>
          <w:tcPr>
            <w:tcW w:w="25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2,975,175</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3,036,500</w:t>
            </w:r>
          </w:p>
        </w:tc>
        <w:tc>
          <w:tcPr>
            <w:tcW w:w="1140" w:type="dxa"/>
            <w:vAlign w:val="bottom"/>
            <w:gridSpan w:val="3"/>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167.2 %</w:t>
            </w:r>
          </w:p>
        </w:tc>
        <w:tc>
          <w:tcPr>
            <w:tcW w:w="0" w:type="dxa"/>
            <w:vAlign w:val="bottom"/>
          </w:tcPr>
          <w:p>
            <w:pPr>
              <w:spacing w:after="0"/>
              <w:rPr>
                <w:sz w:val="1"/>
                <w:szCs w:val="1"/>
                <w:color w:val="auto"/>
              </w:rPr>
            </w:pPr>
          </w:p>
        </w:tc>
      </w:tr>
      <w:tr>
        <w:trPr>
          <w:trHeight w:val="128"/>
        </w:trPr>
        <w:tc>
          <w:tcPr>
            <w:tcW w:w="1640" w:type="dxa"/>
            <w:vAlign w:val="bottom"/>
            <w:tcBorders>
              <w:top w:val="single" w:sz="8" w:color="CFF0FC"/>
            </w:tcBorders>
          </w:tcPr>
          <w:p>
            <w:pPr>
              <w:spacing w:after="0"/>
              <w:rPr>
                <w:sz w:val="11"/>
                <w:szCs w:val="11"/>
                <w:color w:val="auto"/>
              </w:rPr>
            </w:pPr>
          </w:p>
        </w:tc>
        <w:tc>
          <w:tcPr>
            <w:tcW w:w="25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Equity and Other</w:t>
            </w:r>
          </w:p>
        </w:tc>
        <w:tc>
          <w:tcPr>
            <w:tcW w:w="25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(8)(10)</w:t>
            </w:r>
          </w:p>
        </w:tc>
        <w:tc>
          <w:tcPr>
            <w:tcW w:w="25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Units (337,024)</w:t>
            </w:r>
          </w:p>
        </w:tc>
        <w:tc>
          <w:tcPr>
            <w:tcW w:w="90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11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(8)(10)</w:t>
            </w:r>
          </w:p>
        </w:tc>
        <w:tc>
          <w:tcPr>
            <w:tcW w:w="25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900" w:type="dxa"/>
            <w:vAlign w:val="bottom"/>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114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5"/>
                <w:szCs w:val="15"/>
                <w:color w:val="auto"/>
                <w:vertAlign w:val="superscript"/>
              </w:rPr>
              <w:t>(8)(10)</w:t>
            </w:r>
          </w:p>
        </w:tc>
        <w:tc>
          <w:tcPr>
            <w:tcW w:w="25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(9,576,271 units)</w:t>
            </w:r>
          </w:p>
        </w:tc>
        <w:tc>
          <w:tcPr>
            <w:tcW w:w="90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1"/>
                <w:szCs w:val="11"/>
                <w:color w:val="auto"/>
              </w:rPr>
            </w:pP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29"/>
        </w:trPr>
        <w:tc>
          <w:tcPr>
            <w:tcW w:w="16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5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CLGF Holdings, L.P. </w:t>
            </w:r>
            <w:r>
              <w:rPr>
                <w:rFonts w:ascii="Times New Roman" w:cs="Times New Roman" w:eastAsia="Times New Roman" w:hAnsi="Times New Roman"/>
                <w:sz w:val="15"/>
                <w:szCs w:val="15"/>
                <w:color w:val="auto"/>
                <w:vertAlign w:val="superscript"/>
              </w:rPr>
              <w:t>(4)(8)(10)</w:t>
            </w:r>
          </w:p>
        </w:tc>
        <w:tc>
          <w:tcPr>
            <w:tcW w:w="25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8,358,075 Warrants</w:t>
            </w:r>
          </w:p>
        </w:tc>
        <w:tc>
          <w:tcPr>
            <w:tcW w:w="900" w:type="dxa"/>
            <w:vAlign w:val="bottom"/>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4,575</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4,575</w:t>
            </w:r>
          </w:p>
        </w:tc>
        <w:tc>
          <w:tcPr>
            <w:tcW w:w="114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2"/>
                <w:szCs w:val="12"/>
                <w:color w:val="auto"/>
                <w:vertAlign w:val="superscript"/>
              </w:rPr>
              <w:t>(8)</w:t>
            </w:r>
          </w:p>
        </w:tc>
        <w:tc>
          <w:tcPr>
            <w:tcW w:w="250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128,321 Ordinary Shares</w:t>
            </w:r>
          </w:p>
        </w:tc>
        <w:tc>
          <w:tcPr>
            <w:tcW w:w="900" w:type="dxa"/>
            <w:vAlign w:val="bottom"/>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3/24/2023</w:t>
            </w: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12,875</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12,875</w:t>
            </w:r>
          </w:p>
        </w:tc>
        <w:tc>
          <w:tcPr>
            <w:tcW w:w="1140" w:type="dxa"/>
            <w:vAlign w:val="bottom"/>
            <w:gridSpan w:val="3"/>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0.7 %</w:t>
            </w:r>
          </w:p>
        </w:tc>
        <w:tc>
          <w:tcPr>
            <w:tcW w:w="0" w:type="dxa"/>
            <w:vAlign w:val="bottom"/>
          </w:tcPr>
          <w:p>
            <w:pPr>
              <w:spacing w:after="0"/>
              <w:rPr>
                <w:sz w:val="1"/>
                <w:szCs w:val="1"/>
                <w:color w:val="auto"/>
              </w:rPr>
            </w:pPr>
          </w:p>
        </w:tc>
      </w:tr>
      <w:tr>
        <w:trPr>
          <w:trHeight w:val="114"/>
        </w:trPr>
        <w:tc>
          <w:tcPr>
            <w:tcW w:w="1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(8)</w:t>
            </w:r>
          </w:p>
        </w:tc>
        <w:tc>
          <w:tcPr>
            <w:tcW w:w="25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A-1 Units (7,606,491 units)</w:t>
            </w:r>
          </w:p>
        </w:tc>
        <w:tc>
          <w:tcPr>
            <w:tcW w:w="900" w:type="dxa"/>
            <w:vAlign w:val="bottom"/>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114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Newark FP Co-Invest, L.P. </w:t>
            </w:r>
            <w:r>
              <w:rPr>
                <w:rFonts w:ascii="Times New Roman" w:cs="Times New Roman" w:eastAsia="Times New Roman" w:hAnsi="Times New Roman"/>
                <w:sz w:val="12"/>
                <w:szCs w:val="12"/>
                <w:color w:val="auto"/>
                <w:vertAlign w:val="superscript"/>
              </w:rPr>
              <w:t>(8)</w:t>
            </w:r>
          </w:p>
        </w:tc>
        <w:tc>
          <w:tcPr>
            <w:tcW w:w="250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Partnership (8,555,356 units)</w:t>
            </w:r>
          </w:p>
        </w:tc>
        <w:tc>
          <w:tcPr>
            <w:tcW w:w="900" w:type="dxa"/>
            <w:vAlign w:val="bottom"/>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11/8/2023</w:t>
            </w: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8,572</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8,572</w:t>
            </w:r>
          </w:p>
        </w:tc>
        <w:tc>
          <w:tcPr>
            <w:tcW w:w="1140" w:type="dxa"/>
            <w:vAlign w:val="bottom"/>
            <w:gridSpan w:val="3"/>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0.5 %</w:t>
            </w:r>
          </w:p>
        </w:tc>
        <w:tc>
          <w:tcPr>
            <w:tcW w:w="0" w:type="dxa"/>
            <w:vAlign w:val="bottom"/>
          </w:tcPr>
          <w:p>
            <w:pPr>
              <w:spacing w:after="0"/>
              <w:rPr>
                <w:sz w:val="1"/>
                <w:szCs w:val="1"/>
                <w:color w:val="auto"/>
              </w:rPr>
            </w:pPr>
          </w:p>
        </w:tc>
      </w:tr>
      <w:tr>
        <w:trPr>
          <w:trHeight w:val="114"/>
        </w:trPr>
        <w:tc>
          <w:tcPr>
            <w:tcW w:w="1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SMA Technologies Holdings,</w:t>
            </w:r>
          </w:p>
        </w:tc>
        <w:tc>
          <w:tcPr>
            <w:tcW w:w="250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A Units (200 units)</w:t>
            </w:r>
          </w:p>
        </w:tc>
        <w:tc>
          <w:tcPr>
            <w:tcW w:w="900" w:type="dxa"/>
            <w:vAlign w:val="bottom"/>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11/21/2022</w:t>
            </w:r>
          </w:p>
        </w:tc>
        <w:tc>
          <w:tcPr>
            <w:tcW w:w="8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200</w:t>
            </w:r>
          </w:p>
        </w:tc>
        <w:tc>
          <w:tcPr>
            <w:tcW w:w="1140" w:type="dxa"/>
            <w:vAlign w:val="bottom"/>
            <w:gridSpan w:val="3"/>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62"/>
        </w:trPr>
        <w:tc>
          <w:tcPr>
            <w:tcW w:w="16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(8)</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5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B Units (142,038 units)</w:t>
            </w:r>
          </w:p>
        </w:tc>
        <w:tc>
          <w:tcPr>
            <w:tcW w:w="90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29"/>
        </w:trPr>
        <w:tc>
          <w:tcPr>
            <w:tcW w:w="1640" w:type="dxa"/>
            <w:vAlign w:val="bottom"/>
            <w:tcBorders>
              <w:top w:val="single" w:sz="8" w:color="CFF0FC"/>
            </w:tcBorders>
          </w:tcPr>
          <w:p>
            <w:pPr>
              <w:spacing w:after="0"/>
              <w:rPr>
                <w:sz w:val="11"/>
                <w:szCs w:val="11"/>
                <w:color w:val="auto"/>
              </w:rPr>
            </w:pPr>
          </w:p>
        </w:tc>
        <w:tc>
          <w:tcPr>
            <w:tcW w:w="25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25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62,651</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62,651</w:t>
            </w:r>
          </w:p>
        </w:tc>
        <w:tc>
          <w:tcPr>
            <w:tcW w:w="1140" w:type="dxa"/>
            <w:vAlign w:val="bottom"/>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2"/>
                <w:szCs w:val="12"/>
                <w:color w:val="auto"/>
              </w:rPr>
              <w:t>3.4 %</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5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25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3,037,826</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3,099,151</w:t>
            </w: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170.6 %</w:t>
            </w:r>
          </w:p>
        </w:tc>
        <w:tc>
          <w:tcPr>
            <w:tcW w:w="0" w:type="dxa"/>
            <w:vAlign w:val="bottom"/>
          </w:tcPr>
          <w:p>
            <w:pPr>
              <w:spacing w:after="0"/>
              <w:rPr>
                <w:sz w:val="1"/>
                <w:szCs w:val="1"/>
                <w:color w:val="auto"/>
              </w:rPr>
            </w:pPr>
          </w:p>
        </w:tc>
      </w:tr>
      <w:tr>
        <w:trPr>
          <w:trHeight w:val="20"/>
        </w:trPr>
        <w:tc>
          <w:tcPr>
            <w:tcW w:w="164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-4799965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-4799965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-4799965</wp:posOffset>
            </wp:positionV>
            <wp:extent cx="1028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-4191000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-4191000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-4191000</wp:posOffset>
            </wp:positionV>
            <wp:extent cx="1028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-2965450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-2965450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-2965450</wp:posOffset>
            </wp:positionV>
            <wp:extent cx="1028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-2776855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-2776855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-2776855</wp:posOffset>
            </wp:positionV>
            <wp:extent cx="1028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-1988185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-1988185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-1988185</wp:posOffset>
            </wp:positionV>
            <wp:extent cx="102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-479425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-479425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-479425</wp:posOffset>
            </wp:positionV>
            <wp:extent cx="1028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-213995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-213995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-213995</wp:posOffset>
            </wp:positionV>
            <wp:extent cx="1028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101" w:name="page102"/>
    <w:bookmarkEnd w:id="101"/>
    <w:p>
      <w:pPr>
        <w:ind w:left="512" w:right="120" w:hanging="512"/>
        <w:spacing w:after="0" w:line="253"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2023, the Company does not "control" any of the portfolio companies. Also under the 1940 Act, the Company would be deemed to be an "Affiliated Person" of a portfolio company if the Company owns more than 5% of the portfolio company's outstanding voting securities. As of December 31, 2023, the Company does not identify any of its portfolio companies as affiliates.</w:t>
      </w:r>
    </w:p>
    <w:p>
      <w:pPr>
        <w:spacing w:after="0" w:line="5"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12" w:right="4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Index Average ("SONIA" or "S"), or an alternate base rate (which can include the Federal Funds Effective Rate or the Prime Rate or "P"), all of which include an available tenor, selected at the borrower's option, which reset periodically based on the terms of the credit agreements. For investments with multiple interest rate contracts, the interest rate shown is the weighted average interest rate in effect at December 31, 2023.</w:t>
      </w:r>
    </w:p>
    <w:p>
      <w:pPr>
        <w:spacing w:after="0" w:line="2" w:lineRule="exact"/>
        <w:rPr>
          <w:rFonts w:ascii="Times New Roman" w:cs="Times New Roman" w:eastAsia="Times New Roman" w:hAnsi="Times New Roman"/>
          <w:sz w:val="18"/>
          <w:szCs w:val="18"/>
          <w:color w:val="auto"/>
        </w:rPr>
      </w:pPr>
    </w:p>
    <w:p>
      <w:pPr>
        <w:jc w:val="both"/>
        <w:ind w:left="512" w:right="2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Investments Company Act of 1940, as amended (the "1940 Act"). Under the 1940 Act, the Company may not acquire any non-qualifying asset unless, at the time such acquisition is made, qualifying assets represent at least 70% of total assets. Non-qualifying assets represented 23.0% of total assets as of December 31, 2023.</w:t>
      </w:r>
    </w:p>
    <w:p>
      <w:pPr>
        <w:spacing w:after="0" w:line="1" w:lineRule="exact"/>
        <w:rPr>
          <w:rFonts w:ascii="Times New Roman" w:cs="Times New Roman" w:eastAsia="Times New Roman" w:hAnsi="Times New Roman"/>
          <w:sz w:val="18"/>
          <w:szCs w:val="18"/>
          <w:color w:val="auto"/>
        </w:rPr>
      </w:pPr>
    </w:p>
    <w:p>
      <w:pPr>
        <w:ind w:left="512" w:right="10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8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8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estimated cost basis of investments for U.S. federal tax purposes was $3,047,224 resulting in estimated gross unrealized gains and losses of $69,618 and $23,923, respectively.</w:t>
      </w:r>
    </w:p>
    <w:p>
      <w:pPr>
        <w:ind w:left="512" w:hanging="512"/>
        <w:spacing w:after="0"/>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right="6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2023, the aggregate fair value of these securities is $54,845, or 3.0% of the Company's net assets.</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$21.5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100" w:hanging="512"/>
        <w:spacing w:after="0" w:line="26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3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Net Assets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16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5"/>
              </w:rPr>
              <w:t>Paid in Capital in</w:t>
            </w:r>
          </w:p>
        </w:tc>
        <w:tc>
          <w:tcPr>
            <w:tcW w:w="180" w:type="dxa"/>
            <w:vAlign w:val="bottom"/>
          </w:tcPr>
          <w:p>
            <w:pPr>
              <w:spacing w:after="0"/>
              <w:rPr>
                <w:sz w:val="13"/>
                <w:szCs w:val="13"/>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240" w:type="dxa"/>
            <w:vAlign w:val="bottom"/>
          </w:tcPr>
          <w:p>
            <w:pPr>
              <w:spacing w:after="0"/>
              <w:rPr>
                <w:sz w:val="13"/>
                <w:szCs w:val="13"/>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48"/>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5, 2022 (Inception)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(1,663 )</w:t>
            </w:r>
          </w:p>
        </w:tc>
        <w:tc>
          <w:tcPr>
            <w:tcW w:w="24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(1,663 )</w:t>
            </w:r>
          </w:p>
        </w:tc>
        <w:tc>
          <w:tcPr>
            <w:tcW w:w="0" w:type="dxa"/>
            <w:vAlign w:val="bottom"/>
          </w:tcPr>
          <w:p>
            <w:pPr>
              <w:spacing w:after="0"/>
              <w:rPr>
                <w:sz w:val="1"/>
                <w:szCs w:val="1"/>
                <w:color w:val="auto"/>
              </w:rPr>
            </w:pPr>
          </w:p>
        </w:tc>
      </w:tr>
      <w:tr>
        <w:trPr>
          <w:trHeight w:val="171"/>
        </w:trPr>
        <w:tc>
          <w:tcPr>
            <w:tcW w:w="4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(80 )</w:t>
            </w:r>
          </w:p>
        </w:tc>
        <w:tc>
          <w:tcPr>
            <w:tcW w:w="24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171"/>
        </w:trPr>
        <w:tc>
          <w:tcPr>
            <w:tcW w:w="4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21,882,028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542,842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 reclassification of shareholders' equity in accordance with GAAP</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(246 )</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4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21,882,028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542,596</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4,093</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546,711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128,279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56,755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56,755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(1,045 )</w:t>
            </w:r>
          </w:p>
        </w:tc>
        <w:tc>
          <w:tcPr>
            <w:tcW w:w="24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(1,045 )</w:t>
            </w:r>
          </w:p>
        </w:tc>
        <w:tc>
          <w:tcPr>
            <w:tcW w:w="0" w:type="dxa"/>
            <w:vAlign w:val="bottom"/>
          </w:tcPr>
          <w:p>
            <w:pPr>
              <w:spacing w:after="0"/>
              <w:rPr>
                <w:sz w:val="1"/>
                <w:szCs w:val="1"/>
                <w:color w:val="auto"/>
              </w:rPr>
            </w:pPr>
          </w:p>
        </w:tc>
      </w:tr>
      <w:tr>
        <w:trPr>
          <w:trHeight w:val="171"/>
        </w:trPr>
        <w:tc>
          <w:tcPr>
            <w:tcW w:w="4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41,957,644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1,149,958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1,639,103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43,370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(107,004 )</w:t>
            </w:r>
          </w:p>
        </w:tc>
        <w:tc>
          <w:tcPr>
            <w:tcW w:w="24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(107,004 )</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Tax reclassification of shareholders' equity in accordance with GAAP</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(1,498 )</w:t>
            </w: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48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65,478,775</w:t>
            </w: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1,734,426</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82,576</w:t>
            </w: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1,817,067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364,848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134,024</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134,024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68,127,885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1,999,668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6,601,368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(478,109 )</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(478,109 )</w:t>
            </w:r>
          </w:p>
        </w:tc>
        <w:tc>
          <w:tcPr>
            <w:tcW w:w="0" w:type="dxa"/>
            <w:vAlign w:val="bottom"/>
          </w:tcPr>
          <w:p>
            <w:pPr>
              <w:spacing w:after="0"/>
              <w:rPr>
                <w:sz w:val="1"/>
                <w:szCs w:val="1"/>
                <w:color w:val="auto"/>
              </w:rPr>
            </w:pPr>
          </w:p>
        </w:tc>
      </w:tr>
      <w:tr>
        <w:trPr>
          <w:trHeight w:val="148"/>
        </w:trPr>
        <w:tc>
          <w:tcPr>
            <w:tcW w:w="4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reclassification of shareholders' equity in accordance with GAAP</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(2,184 )</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140,208,028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3,923,739</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112,591</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4,036,470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-2545080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-2527935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-2545080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-2527935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-2545080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-2527935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-2545080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-2527935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-1388110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-1388110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-1388110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-1388110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ind w:left="44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5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13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505,940</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183,989</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1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w:t>
            </w:r>
          </w:p>
        </w:tc>
        <w:tc>
          <w:tcPr>
            <w:tcW w:w="18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net cash provided by (used in) operating activities:</w:t>
            </w: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(102,963 )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(61,554 )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(31,061 )</w:t>
            </w: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realized (gains) losses on investments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(3,734 )</w:t>
            </w:r>
          </w:p>
        </w:tc>
        <w:tc>
          <w:tcPr>
            <w:tcW w:w="12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(2,939 )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(25,210 )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(11,819 )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(770 )</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Amortization of discount on debt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(4,763,492 )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(2,285,956 )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(808,259 )</w:t>
            </w: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investments, net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469,242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Repayments on investments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315,555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80,121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Paid-in-kind interest</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(33,672 )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(11,144 )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(38,936 )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(16,842 )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(7,814 )</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receivable paid-in-kind</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(1,022 )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(3,282 )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(871 )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(1,878 )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(485 )</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6,746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payables to affiliates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(1,656 )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(844 )</w:t>
            </w: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(3,672,143 )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(2,091,827 )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(800,417 )</w:t>
            </w:r>
          </w:p>
        </w:tc>
        <w:tc>
          <w:tcPr>
            <w:tcW w:w="0" w:type="dxa"/>
            <w:vAlign w:val="bottom"/>
          </w:tcPr>
          <w:p>
            <w:pPr>
              <w:spacing w:after="0"/>
              <w:rPr>
                <w:sz w:val="1"/>
                <w:szCs w:val="1"/>
                <w:color w:val="auto"/>
              </w:rPr>
            </w:pPr>
          </w:p>
        </w:tc>
      </w:tr>
      <w:tr>
        <w:trPr>
          <w:trHeight w:val="142"/>
        </w:trPr>
        <w:tc>
          <w:tcPr>
            <w:tcW w:w="61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Borrowings on debt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8,610,981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2,886,747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on debt</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(5,484,716 )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(2,181,500 )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(280,000 )</w:t>
            </w:r>
          </w:p>
        </w:tc>
        <w:tc>
          <w:tcPr>
            <w:tcW w:w="0" w:type="dxa"/>
            <w:vAlign w:val="bottom"/>
          </w:tcPr>
          <w:p>
            <w:pPr>
              <w:spacing w:after="0"/>
              <w:rPr>
                <w:sz w:val="1"/>
                <w:szCs w:val="1"/>
                <w:color w:val="auto"/>
              </w:rPr>
            </w:pPr>
          </w:p>
        </w:tc>
      </w:tr>
      <w:tr>
        <w:trPr>
          <w:trHeight w:val="148"/>
        </w:trPr>
        <w:tc>
          <w:tcPr>
            <w:tcW w:w="6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180" w:type="dxa"/>
            <w:vAlign w:val="bottom"/>
          </w:tcPr>
          <w:p>
            <w:pPr>
              <w:spacing w:after="0"/>
              <w:rPr>
                <w:sz w:val="12"/>
                <w:szCs w:val="12"/>
                <w:color w:val="auto"/>
              </w:rPr>
            </w:pPr>
          </w:p>
        </w:tc>
        <w:tc>
          <w:tcPr>
            <w:tcW w:w="1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(28,454 )</w:t>
            </w: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(9,458 )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(4,371 )</w:t>
            </w:r>
          </w:p>
        </w:tc>
        <w:tc>
          <w:tcPr>
            <w:tcW w:w="0" w:type="dxa"/>
            <w:vAlign w:val="bottom"/>
          </w:tcPr>
          <w:p>
            <w:pPr>
              <w:spacing w:after="0"/>
              <w:rPr>
                <w:sz w:val="1"/>
                <w:szCs w:val="1"/>
                <w:color w:val="auto"/>
              </w:rPr>
            </w:pPr>
          </w:p>
        </w:tc>
      </w:tr>
      <w:tr>
        <w:trPr>
          <w:trHeight w:val="149"/>
        </w:trPr>
        <w:tc>
          <w:tcPr>
            <w:tcW w:w="6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1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(236,204 )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(19,761 )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calls</w:t>
            </w: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1,999,736</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4,861,343</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1,826,028</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1,075,029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8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1,189,200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(265,799 )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274,612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274,612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100" w:type="dxa"/>
            <w:vAlign w:val="bottom"/>
            <w:tcBorders>
              <w:top w:val="single" w:sz="8" w:color="CFF0FC"/>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1,198,013</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8,813</w:t>
            </w: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274,612</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1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paid during the period</w:t>
            </w: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158,054</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57,313</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Dividends declared during the period</w:t>
            </w: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478,109</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107,004</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191,836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43,371</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-1765300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-1765300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-985520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-985520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-788035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-788035</wp:posOffset>
            </wp:positionV>
            <wp:extent cx="774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 Sixth Street LP Holding, LLC has legally dissolved as of December 31, 2023.</w:t>
      </w:r>
    </w:p>
    <w:p>
      <w:pPr>
        <w:spacing w:after="0" w:line="80"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89"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75"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40" w:hanging="257"/>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60" w:hanging="257"/>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jc w:val="both"/>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06" w:name="page107"/>
    <w:bookmarkEnd w:id="106"/>
    <w:p>
      <w:pPr>
        <w:ind w:right="120"/>
        <w:spacing w:after="0" w:line="282" w:lineRule="auto"/>
        <w:rPr>
          <w:sz w:val="20"/>
          <w:szCs w:val="20"/>
          <w:color w:val="auto"/>
        </w:rPr>
      </w:pPr>
      <w:r>
        <w:rPr>
          <w:rFonts w:ascii="Times New Roman" w:cs="Times New Roman" w:eastAsia="Times New Roman" w:hAnsi="Times New Roman"/>
          <w:sz w:val="18"/>
          <w:szCs w:val="18"/>
          <w:color w:val="auto"/>
        </w:rPr>
        <w:t>hierarchy that prioritizes and ranks the level of observability of inputs used in determination of fair value. In accordance with ASC Topic 820, these levels are summarized below:</w:t>
      </w:r>
    </w:p>
    <w:p>
      <w:pPr>
        <w:spacing w:after="0" w:line="54" w:lineRule="exact"/>
        <w:rPr>
          <w:sz w:val="20"/>
          <w:szCs w:val="20"/>
          <w:color w:val="auto"/>
        </w:rPr>
      </w:pPr>
    </w:p>
    <w:p>
      <w:pPr>
        <w:ind w:left="520" w:hanging="257"/>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92" w:lineRule="exact"/>
        <w:rPr>
          <w:sz w:val="20"/>
          <w:szCs w:val="20"/>
          <w:color w:val="auto"/>
        </w:rPr>
      </w:pPr>
    </w:p>
    <w:p>
      <w:pPr>
        <w:ind w:right="200" w:firstLine="25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22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600" w:hanging="257"/>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68"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6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8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8" w:name="page109"/>
    <w:bookmarkEnd w:id="108"/>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the Company did not have any uncertain tax positions that met the recognition or measurement criteria, nor did the Company have any unrecognized tax benefits. The Company's 2023 and 2022 tax year returns remain subject to examination by the relevant federal, state, and local tax authorities.</w:t>
      </w:r>
    </w:p>
    <w:p>
      <w:pPr>
        <w:spacing w:after="0" w:line="18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9" w:name="page110"/>
    <w:bookmarkEnd w:id="109"/>
    <w:p>
      <w:pPr>
        <w:ind w:right="120"/>
        <w:spacing w:after="0" w:line="266" w:lineRule="auto"/>
        <w:rPr>
          <w:sz w:val="20"/>
          <w:szCs w:val="20"/>
          <w:color w:val="auto"/>
        </w:rPr>
      </w:pPr>
      <w:r>
        <w:rPr>
          <w:rFonts w:ascii="Times New Roman" w:cs="Times New Roman" w:eastAsia="Times New Roman" w:hAnsi="Times New Roman"/>
          <w:sz w:val="18"/>
          <w:szCs w:val="18"/>
          <w:color w:val="auto"/>
        </w:rPr>
        <w:t>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76"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 December 31, 2023 and for the period from April 5, 2022 (Inception) through December 31, 2022, the Company recorded a net expense of $2.2 million, $1.5 million and $0.2 million, respectively, for U.S. federal excise tax and other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Shareholders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10 for further information related to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76"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(the “CODM”) is comprised of the senior executive committee that includes the Chief Executive Officer, Chief Financial Officer, and the Deputy Chief Financial Officer.</w:t>
      </w:r>
    </w:p>
    <w:p>
      <w:pPr>
        <w:spacing w:after="0" w:line="16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Company's adoption of this guidance did not have a material impact on the Company's financial position, results of operations or cash flows.</w:t>
      </w:r>
    </w:p>
    <w:p>
      <w:pPr>
        <w:spacing w:after="0" w:line="192"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intends to improve the transparency of income tax disclosures. ASU No. 2023-09 is effective for fiscal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0" w:name="page111"/>
    <w:bookmarkEnd w:id="110"/>
    <w:p>
      <w:pPr>
        <w:ind w:right="480"/>
        <w:spacing w:after="0" w:line="282" w:lineRule="auto"/>
        <w:rPr>
          <w:sz w:val="20"/>
          <w:szCs w:val="20"/>
          <w:color w:val="auto"/>
        </w:rPr>
      </w:pPr>
      <w:r>
        <w:rPr>
          <w:rFonts w:ascii="Times New Roman" w:cs="Times New Roman" w:eastAsia="Times New Roman" w:hAnsi="Times New Roman"/>
          <w:sz w:val="18"/>
          <w:szCs w:val="18"/>
          <w:color w:val="auto"/>
        </w:rPr>
        <w:t>years beginning after December 15, 2024 and is to be adopted on a prospective basis with the option to apply retrospectively. The Company does not expect this update to have a material effect to the Company's consolidated financial statements.</w:t>
      </w:r>
    </w:p>
    <w:p>
      <w:pPr>
        <w:spacing w:after="0" w:line="16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December 2024, the FASB issued ASU No. 2024-04, "Debt with Conversion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our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7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5, 2024, the Board renewed the Administration Agreement. Unless earlier terminated as described below, the Administration Agreement will remain in effect until November 5, 2025, and may be extended subject to required approvals. The Administration Agreement may be terminated by either party without penalty on 60 days’ written notice to the other party.</w:t>
      </w:r>
    </w:p>
    <w:p>
      <w:pPr>
        <w:spacing w:after="0" w:line="68"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0"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the Company incurred expenses of $4.0 million, $2.7 million and $0.5 million, respectively, for administrative services payable to the Adviser under the terms of the Administration Agreement, which is included in other general and administrative expenses in the Consolidated Statements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75"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On November 5, 2024, the Board renewed the Investment Advisory Agreement. Unless earlier terminated as described below, the Investment Advisory Agreement will remain in effect until November 5, 2025, and may be extended subject to required approvals. The Investment Advisory Agreement may be terminated by either party without penalty on 60 days’ written notice to the other party.</w:t>
      </w:r>
    </w:p>
    <w:p>
      <w:pPr>
        <w:spacing w:after="0" w:line="6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Management Fees (gross of waivers) were $67.8 million, $25.2 million and $2.7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1" w:name="page112"/>
    <w:bookmarkEnd w:id="111"/>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years ended December 31, 2024, December 31, 2023 and for the period from April 5, 2022 (Inception) through December 31, 2022, Management Fees of $43.8 million, $16.7 million and $2.0 million, respectively, have been waived. Any waived Management Fees are not subject to recoupment by the Adviser.</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80" w:hanging="257"/>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7"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0" w:lineRule="exact"/>
        <w:rPr>
          <w:rFonts w:ascii="Times New Roman" w:cs="Times New Roman" w:eastAsia="Times New Roman" w:hAnsi="Times New Roman"/>
          <w:sz w:val="18"/>
          <w:szCs w:val="18"/>
          <w:color w:val="auto"/>
        </w:rPr>
      </w:pPr>
    </w:p>
    <w:p>
      <w:pPr>
        <w:ind w:left="520" w:hanging="257"/>
        <w:spacing w:after="0" w:line="253"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94"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54"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54"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Incentive Fees on net investment income were $54.7 million, $19.3 million and $1.0 million, respectively. For the years ended December 31, 2024 and December 31, 2023, the Company had an accrual of $17.8 million and $6.7 million, respectively, related to Capital Gains Fees. For the period from April 5, 2022 (Inception) through December 31, 2022, there was no accrual of Capital Gains Fees.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22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Adviser had not provided any written commitments for Expense Payments. The Company has not made any Reimbursement Payments to the Adviser. The Company may or may not reimburse remaining expense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2024 and December 31, 2023:</w:t>
      </w: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40" w:type="dxa"/>
            <w:vAlign w:val="bottom"/>
            <w:tcBorders>
              <w:lef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6,732,065</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40" w:type="dxa"/>
            <w:vAlign w:val="bottom"/>
            <w:tcBorders>
              <w:left w:val="single" w:sz="8" w:color="CFF0FC"/>
            </w:tcBorders>
            <w:shd w:val="clear" w:color="auto" w:fill="CFF0FC"/>
          </w:tcPr>
          <w:p>
            <w:pPr>
              <w:spacing w:after="0"/>
              <w:rPr>
                <w:sz w:val="18"/>
                <w:szCs w:val="18"/>
                <w:color w:val="auto"/>
              </w:rPr>
            </w:pP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118,441</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0" w:type="dxa"/>
            <w:vAlign w:val="bottom"/>
            <w:tcBorders>
              <w:left w:val="single" w:sz="8" w:color="CFF0FC"/>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7,079,994</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7,244,282</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40" w:type="dxa"/>
            <w:vAlign w:val="bottom"/>
            <w:tcBorders>
              <w:lef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2,792,928</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2,850,885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40" w:type="dxa"/>
            <w:vAlign w:val="bottom"/>
            <w:tcBorders>
              <w:left w:val="single" w:sz="8" w:color="CFF0FC"/>
            </w:tcBorders>
            <w:shd w:val="clear" w:color="auto" w:fill="CFF0FC"/>
          </w:tcPr>
          <w:p>
            <w:pPr>
              <w:spacing w:after="0"/>
              <w:rPr>
                <w:sz w:val="18"/>
                <w:szCs w:val="18"/>
                <w:color w:val="auto"/>
              </w:rPr>
            </w:pP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104,352</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0" w:type="dxa"/>
            <w:vAlign w:val="bottom"/>
            <w:tcBorders>
              <w:lef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3,037,826</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3,099,151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-1242695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-1224915</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-1242695</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-1224915</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-1242695</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-1224915</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514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514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514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right="1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3" w:name="page114"/>
    <w:bookmarkEnd w:id="113"/>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2024 and December 31, 2023, is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Pr>
          <w:p>
            <w:pPr>
              <w:spacing w:after="0"/>
              <w:rPr>
                <w:sz w:val="15"/>
                <w:szCs w:val="15"/>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3.4 %</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8.7 %</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12001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rounds to less than 0.1%</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2024 and December 31, 2023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Midwest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Northeast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6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-445135</wp:posOffset>
            </wp:positionV>
            <wp:extent cx="1200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1200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company may enter into interest rate swap transactions from time to time to hedge fixed rate debt obligations and certain fixed rate debt investments. The Company's interest rate swaps are all with one counterparty and are centrally cleared through a registered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01" w:right="12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commodities exchange. Refer to the Consolidated Schedule of Investments for additional disclosure regarding these interest rate swaps.</w:t>
      </w:r>
    </w:p>
    <w:p>
      <w:pPr>
        <w:spacing w:after="0" w:line="117"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paid and received on the Company's interest rate swap transactions, excluding upfront fees, for the year ended December 31, 2024. The Company had no interest rate swaps for the year ended December 31,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260" w:type="dxa"/>
            <w:vAlign w:val="bottom"/>
          </w:tcPr>
          <w:p>
            <w:pPr>
              <w:spacing w:after="0"/>
              <w:rPr>
                <w:sz w:val="15"/>
                <w:szCs w:val="15"/>
                <w:color w:val="auto"/>
              </w:rPr>
            </w:pPr>
          </w:p>
        </w:tc>
        <w:tc>
          <w:tcPr>
            <w:tcW w:w="17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r>
      <w:tr>
        <w:trPr>
          <w:trHeight w:val="20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(37,014 )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(6,247 )</w:t>
            </w: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(5,813 )</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(721 )</w:t>
            </w:r>
          </w:p>
        </w:tc>
      </w:tr>
      <w:tr>
        <w:trPr>
          <w:trHeight w:val="21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1/15/2030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(12,276 )</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(2,789 )</w:t>
            </w:r>
          </w:p>
        </w:tc>
      </w:tr>
      <w:tr>
        <w:trPr>
          <w:trHeight w:val="20"/>
        </w:trPr>
        <w:tc>
          <w:tcPr>
            <w:tcW w:w="22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2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(55,103 )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(9,757 )</w:t>
            </w:r>
          </w:p>
        </w:tc>
      </w:tr>
      <w:tr>
        <w:trPr>
          <w:trHeight w:val="20"/>
        </w:trPr>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-170815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$25.2 million in unrealized losses on interest rate swaps designated as hedging instruments in the Consolidated Statement of Operations. For the year ended December 31, 2024, this amount was offset by a $(1.1) million decrease in the carrying value of the 2029 notes. For the year ended December 31, 2024, this amount was offset by a $(24.1) million decrease in the carrying value of the January 2030 notes.</w:t>
      </w:r>
    </w:p>
    <w:p>
      <w:pPr>
        <w:spacing w:after="0" w:line="72" w:lineRule="exact"/>
        <w:rPr>
          <w:sz w:val="20"/>
          <w:szCs w:val="20"/>
          <w:color w:val="auto"/>
        </w:rPr>
      </w:pPr>
    </w:p>
    <w:p>
      <w:pPr>
        <w:jc w:val="both"/>
        <w:ind w:right="4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the swap transaction had a fair value of $(25.2) million which is netted against cash collateral of $68.6 million. Cash is pledged as collateral under the Company's derivative agreements and is included in restricted cash as a component of cash and cash equivalents on the Company's Consolidated Balance Sheet. As of December 31, 2024, the derivatives had a fair value of $43.4 million.</w:t>
      </w:r>
    </w:p>
    <w:p>
      <w:pPr>
        <w:spacing w:after="0" w:line="6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to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of other counterparties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2024 and December 31, 2023</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2024</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gridSpan w:val="2"/>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8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143,398</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6,728,411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6,871,809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8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144,707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7,244,282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(25,214 )</w:t>
            </w:r>
          </w:p>
        </w:tc>
        <w:tc>
          <w:tcPr>
            <w:tcW w:w="2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(25,214 )</w:t>
            </w:r>
          </w:p>
        </w:tc>
      </w:tr>
      <w:tr>
        <w:trPr>
          <w:trHeight w:val="250"/>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119,493</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7,219,068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561"/>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2023</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8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2,848,805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2,850,885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105,918</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3,096,465</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3,099,151</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-1224915</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-1207770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-1207770</wp:posOffset>
            </wp:positionV>
            <wp:extent cx="60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-1224915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-1207770</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-1224915</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-1207770</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514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514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514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year ended December 31, 2024:</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gridSpan w:val="8"/>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8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4,492,641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(313,253 )</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(313,253 )</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(425,921 )</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(428,082 )</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6,728,411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year ended December 31,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7"/>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86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0"/>
                <w:szCs w:val="10"/>
                <w:color w:val="auto"/>
              </w:rPr>
            </w:pPr>
          </w:p>
        </w:tc>
        <w:tc>
          <w:tcPr>
            <w:tcW w:w="88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(80,115 )</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(80,115 )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768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net change in unrealized gains or losses on investments for which Level 3 inputs were used in determining fair value that are still held by the Company at December 31, 2024 and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180" w:type="dxa"/>
            <w:vAlign w:val="bottom"/>
          </w:tcPr>
          <w:p>
            <w:pPr>
              <w:spacing w:after="0"/>
              <w:rPr>
                <w:sz w:val="13"/>
                <w:szCs w:val="13"/>
                <w:color w:val="auto"/>
              </w:rPr>
            </w:pPr>
          </w:p>
        </w:tc>
      </w:tr>
      <w:tr>
        <w:trPr>
          <w:trHeight w:val="148"/>
        </w:trPr>
        <w:tc>
          <w:tcPr>
            <w:tcW w:w="1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c>
          <w:tcPr>
            <w:tcW w:w="118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180" w:type="dxa"/>
            <w:vAlign w:val="bottom"/>
          </w:tcPr>
          <w:p>
            <w:pPr>
              <w:spacing w:after="0"/>
              <w:rPr>
                <w:sz w:val="12"/>
                <w:szCs w:val="12"/>
                <w:color w:val="auto"/>
              </w:rPr>
            </w:pPr>
          </w:p>
        </w:tc>
      </w:tr>
      <w:tr>
        <w:trPr>
          <w:trHeight w:val="148"/>
        </w:trPr>
        <w:tc>
          <w:tcPr>
            <w:tcW w:w="1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 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 on</w:t>
            </w:r>
          </w:p>
        </w:tc>
        <w:tc>
          <w:tcPr>
            <w:tcW w:w="118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1180" w:type="dxa"/>
            <w:vAlign w:val="bottom"/>
          </w:tcPr>
          <w:p>
            <w:pPr>
              <w:spacing w:after="0"/>
              <w:rPr>
                <w:sz w:val="12"/>
                <w:szCs w:val="12"/>
                <w:color w:val="auto"/>
              </w:rPr>
            </w:pPr>
          </w:p>
        </w:tc>
      </w:tr>
      <w:tr>
        <w:trPr>
          <w:trHeight w:val="173"/>
        </w:trPr>
        <w:tc>
          <w:tcPr>
            <w:tcW w:w="12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0"/>
        </w:trPr>
        <w:tc>
          <w:tcPr>
            <w:tcW w:w="12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200" w:type="dxa"/>
            <w:vAlign w:val="bottom"/>
          </w:tcPr>
          <w:p>
            <w:pPr>
              <w:spacing w:after="0"/>
              <w:rPr>
                <w:sz w:val="21"/>
                <w:szCs w:val="21"/>
                <w:color w:val="auto"/>
              </w:rPr>
            </w:pPr>
          </w:p>
        </w:tc>
        <w:tc>
          <w:tcPr>
            <w:tcW w:w="3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109,159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628"/>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F-28</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-933450</wp:posOffset>
            </wp:positionV>
            <wp:extent cx="514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-916305</wp:posOffset>
            </wp:positionV>
            <wp:extent cx="514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-933450</wp:posOffset>
            </wp:positionV>
            <wp:extent cx="514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-916305</wp:posOffset>
            </wp:positionV>
            <wp:extent cx="514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December 31, 2024 and December 31, 2023. The tables are not intended to be all-inclusive, but instead capture the significant unobservable inputs relevant to the Company’s determination of fair values.</w:t>
      </w:r>
    </w:p>
    <w:p>
      <w:pPr>
        <w:spacing w:after="0" w:line="169"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0"/>
                <w:szCs w:val="10"/>
                <w:color w:val="auto"/>
              </w:rPr>
            </w:pPr>
          </w:p>
        </w:tc>
        <w:tc>
          <w:tcPr>
            <w:tcW w:w="18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0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5"/>
                <w:szCs w:val="15"/>
                <w:color w:val="auto"/>
              </w:rPr>
            </w:pP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6,728,411</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6"/>
                <w:szCs w:val="16"/>
                <w:color w:val="auto"/>
              </w:rPr>
              <w:t>7.7% — 17.1% (10.6%)</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93,469</w:t>
            </w:r>
          </w:p>
        </w:tc>
        <w:tc>
          <w:tcPr>
            <w:tcW w:w="22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14.7% — 18.1% (17.8%)</w:t>
            </w:r>
          </w:p>
        </w:tc>
        <w:tc>
          <w:tcPr>
            <w:tcW w:w="100" w:type="dxa"/>
            <w:vAlign w:val="bottom"/>
          </w:tcPr>
          <w:p>
            <w:pPr>
              <w:spacing w:after="0"/>
              <w:rPr>
                <w:sz w:val="17"/>
                <w:szCs w:val="17"/>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123,184</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shd w:val="clear" w:color="auto" w:fill="CFF0FC"/>
          </w:tcPr>
          <w:p>
            <w:pPr>
              <w:spacing w:after="0"/>
              <w:rPr>
                <w:sz w:val="17"/>
                <w:szCs w:val="17"/>
                <w:color w:val="auto"/>
              </w:rPr>
            </w:pPr>
          </w:p>
        </w:tc>
        <w:tc>
          <w:tcPr>
            <w:tcW w:w="1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0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6"/>
                <w:szCs w:val="16"/>
                <w:color w:val="auto"/>
              </w:rPr>
              <w:t>12.2% — 12.2% (12.2%)</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220" w:type="dxa"/>
            <w:vAlign w:val="bottom"/>
          </w:tcPr>
          <w:p>
            <w:pPr>
              <w:spacing w:after="0"/>
              <w:rPr>
                <w:sz w:val="18"/>
                <w:szCs w:val="18"/>
                <w:color w:val="auto"/>
              </w:rPr>
            </w:pPr>
          </w:p>
        </w:tc>
        <w:tc>
          <w:tcPr>
            <w:tcW w:w="1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9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4.8x — 20.0x (11.0x)</w:t>
            </w:r>
          </w:p>
        </w:tc>
        <w:tc>
          <w:tcPr>
            <w:tcW w:w="100" w:type="dxa"/>
            <w:vAlign w:val="bottom"/>
          </w:tcPr>
          <w:p>
            <w:pPr>
              <w:spacing w:after="0"/>
              <w:rPr>
                <w:sz w:val="18"/>
                <w:szCs w:val="18"/>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36"/>
        </w:trPr>
        <w:tc>
          <w:tcPr>
            <w:tcW w:w="2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7,099,575</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spacing w:after="0"/>
              <w:rPr>
                <w:sz w:val="20"/>
                <w:szCs w:val="20"/>
                <w:color w:val="auto"/>
              </w:rPr>
            </w:pPr>
          </w:p>
        </w:tc>
        <w:tc>
          <w:tcPr>
            <w:tcW w:w="19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-24765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$226.4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 million of equity investments valued using a Black-Scholes model and $49.1 million of equity investments valued using a discounted cash flow analysis.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0"/>
                <w:szCs w:val="10"/>
                <w:color w:val="auto"/>
              </w:rPr>
            </w:pP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0"/>
                <w:szCs w:val="10"/>
                <w:color w:val="auto"/>
              </w:rPr>
            </w:pPr>
          </w:p>
        </w:tc>
        <w:tc>
          <w:tcPr>
            <w:tcW w:w="1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5"/>
                <w:szCs w:val="15"/>
                <w:color w:val="auto"/>
              </w:rPr>
            </w:pP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2,848,805</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8.7% — 16.4% (12.8%)</w:t>
            </w: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79,091</w:t>
            </w:r>
          </w:p>
        </w:tc>
        <w:tc>
          <w:tcPr>
            <w:tcW w:w="2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21.7% — 21.7% (21.7%)</w:t>
            </w:r>
          </w:p>
        </w:tc>
        <w:tc>
          <w:tcPr>
            <w:tcW w:w="1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105,918</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15.0% — 15.0% (15.0%)</w:t>
            </w: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62,651</w:t>
            </w:r>
          </w:p>
        </w:tc>
        <w:tc>
          <w:tcPr>
            <w:tcW w:w="220" w:type="dxa"/>
            <w:vAlign w:val="bottom"/>
          </w:tcPr>
          <w:p>
            <w:pPr>
              <w:spacing w:after="0"/>
              <w:rPr>
                <w:sz w:val="18"/>
                <w:szCs w:val="18"/>
                <w:color w:val="auto"/>
              </w:rPr>
            </w:pPr>
          </w:p>
        </w:tc>
        <w:tc>
          <w:tcPr>
            <w:tcW w:w="1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2.6x — 16.1x (10.2x)</w:t>
            </w:r>
          </w:p>
        </w:tc>
        <w:tc>
          <w:tcPr>
            <w:tcW w:w="1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36"/>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3,096,465</w:t>
            </w:r>
          </w:p>
        </w:tc>
        <w:tc>
          <w:tcPr>
            <w:tcW w:w="2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-24765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$77.9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million of equity investments valued using a Black-Scholes model and $19.2 million of equity investments which, due to the proximity of the transactions relative to the measurement dates, we valued using the cost of the investments.</w:t>
      </w:r>
    </w:p>
    <w:p>
      <w:pPr>
        <w:spacing w:after="0" w:line="162"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Credit Facilities, which are categorized as Level 3 within the fair value hierarchy, as of December 31, 2024 and December 31, 2023, approximates its carrying value as the outstanding balance is callable at carrying value.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2029 and January 2030 Notes, as of December 31, 2024:</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9"/>
                <w:szCs w:val="19"/>
                <w:b w:val="1"/>
                <w:bCs w:val="1"/>
                <w:color w:val="auto"/>
                <w:w w:val="99"/>
                <w:vertAlign w:val="superscript"/>
              </w:rPr>
              <w:t>(1)</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759,645</w:t>
            </w:r>
          </w:p>
        </w:tc>
        <w:tc>
          <w:tcPr>
            <w:tcW w:w="80" w:type="dxa"/>
            <w:vAlign w:val="bottom"/>
            <w:shd w:val="clear" w:color="auto" w:fill="CFF0FC"/>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588,680</w:t>
            </w: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160" w:type="dxa"/>
            <w:vAlign w:val="bottom"/>
          </w:tcPr>
          <w:p>
            <w:pPr>
              <w:spacing w:after="0"/>
              <w:rPr>
                <w:sz w:val="21"/>
                <w:szCs w:val="21"/>
                <w:color w:val="auto"/>
              </w:rPr>
            </w:pPr>
          </w:p>
        </w:tc>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6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1,348,325</w:t>
            </w:r>
          </w:p>
        </w:tc>
        <w:tc>
          <w:tcPr>
            <w:tcW w:w="80" w:type="dxa"/>
            <w:vAlign w:val="bottom"/>
            <w:shd w:val="clear" w:color="auto" w:fill="CFF0FC"/>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2160" w:type="dxa"/>
            <w:vAlign w:val="bottom"/>
          </w:tcPr>
          <w:p>
            <w:pPr>
              <w:spacing w:after="0"/>
              <w:rPr>
                <w:sz w:val="24"/>
                <w:szCs w:val="24"/>
                <w:color w:val="auto"/>
              </w:rPr>
            </w:pPr>
          </w:p>
        </w:tc>
        <w:tc>
          <w:tcPr>
            <w:tcW w:w="29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right"/>
              <w:ind w:right="1156"/>
              <w:spacing w:after="0"/>
              <w:rPr>
                <w:sz w:val="20"/>
                <w:szCs w:val="20"/>
                <w:color w:val="auto"/>
              </w:rPr>
            </w:pPr>
            <w:r>
              <w:rPr>
                <w:rFonts w:ascii="Times New Roman" w:cs="Times New Roman" w:eastAsia="Times New Roman" w:hAnsi="Times New Roman"/>
                <w:sz w:val="18"/>
                <w:szCs w:val="18"/>
                <w:color w:val="auto"/>
              </w:rPr>
              <w:t>F-29</w:t>
            </w: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-1464945</wp:posOffset>
            </wp:positionV>
            <wp:extent cx="24942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-933450</wp:posOffset>
            </wp:positionV>
            <wp:extent cx="5143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-916305</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-933450</wp:posOffset>
            </wp:positionV>
            <wp:extent cx="514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-916305</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7" w:name="page118"/>
    <w:bookmarkEnd w:id="117"/>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800" w:firstLine="255"/>
        <w:spacing w:after="0" w:line="282" w:lineRule="auto"/>
        <w:rPr>
          <w:sz w:val="20"/>
          <w:szCs w:val="20"/>
          <w:color w:val="auto"/>
        </w:rPr>
      </w:pPr>
      <w:r>
        <w:rPr>
          <w:rFonts w:ascii="Times New Roman" w:cs="Times New Roman" w:eastAsia="Times New Roman" w:hAnsi="Times New Roman"/>
          <w:sz w:val="18"/>
          <w:szCs w:val="18"/>
          <w:color w:val="auto"/>
        </w:rPr>
        <w:t>Under the fair value hierarchy, cash and cash equivalents are classified as Level 1 while the Company’s other assets and liabilities, other than investments at fair value and Credit Facilities, are classified as Level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“Subscription Facility Closing Date”), the Company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68" w:lineRule="exact"/>
        <w:rPr>
          <w:sz w:val="20"/>
          <w:szCs w:val="20"/>
          <w:color w:val="auto"/>
        </w:rPr>
      </w:pPr>
    </w:p>
    <w:p>
      <w:pPr>
        <w:ind w:right="120" w:firstLine="300"/>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July 3, 2024, the Company exercised its option to extend the stated maturity date to August 29, 2025. The Subscription Facility will mature upon the earliest of: (i) August 29, 2025;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2024, the Company had outstanding debt denominated in British pounds (GBP) of 10.3 million, and Euros (EUR) of 7.3 million on its Subscription Facility, included in the outstanding principal amount in the table below. As of December 31, 2023, we had outstanding debt denominated in British pounds (GBP) of 10.3 million, and Euros (EUR) of 13.4 million on the Subscription Facility included in the Outstanding Principal amount in the table below.</w:t>
      </w:r>
    </w:p>
    <w:p>
      <w:pPr>
        <w:spacing w:after="0" w:line="180"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December 31, 2024 and December 31, 2023, the Company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was in compliance with the terms of the Subscription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the first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facility were upsized to $1.55 billion, which included a term loan commitment of $50 million, due at the stated maturity. On January 17, 2025, the aggregate commitments under the facility were upsized to $1.65 billion, due at the stated maturity. The facility includes an uncommitted accordion feature that allows the Company, under certain circumstances, to increase the size of the facility to up to $1.75 billion. The Revolving Credit Facility will mature on February 8, 2029 (the "Revolving Credit Facility Maturity Date").</w:t>
      </w:r>
    </w:p>
    <w:p>
      <w:pPr>
        <w:spacing w:after="0" w:line="190"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8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4"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at least $1.1 billion plus 25% of the net proceeds of the sale of equity interests after February 8, 2024;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 The Revolving Credit Facility also contains certain additional concentration limits in connection with the calculation of the borrowing base, based on the Obligor Asset Coverage Ratio.</w:t>
      </w:r>
    </w:p>
    <w:p>
      <w:pPr>
        <w:spacing w:after="0" w:line="180"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2024, the Company had outstanding debt denominated in British pounds (GBP) of 299.2 million and Euros (EUR) 640.1 million and Swedish Krona (SEK) 80.2 million on its Revolving Credit Facility, included in the outstanding principal amount in the table below. As of December 31, 2023, the Company had outstanding debt denominated in British pounds (GBP) of 68.7 million and Euros (EUR) 95.7 million on its Revolving Credit Facility, included in the outstanding principal amount in the table below.</w:t>
      </w:r>
    </w:p>
    <w:p>
      <w:pPr>
        <w:spacing w:after="0" w:line="183"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December 31, 2024 and 2023, the Company had $5.9 million and $5.5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119" w:name="page120"/>
    <w:bookmarkEnd w:id="119"/>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was in compliance with the terms of the Revolving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27"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$1.1 million which is offset within interest expense by an equal, but opposite, fair value change for the hedged risk on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227" w:lineRule="exact"/>
        <w:rPr>
          <w:sz w:val="20"/>
          <w:szCs w:val="20"/>
          <w:color w:val="auto"/>
        </w:rPr>
      </w:pPr>
    </w:p>
    <w:p>
      <w:pPr>
        <w:ind w:right="300" w:firstLine="255"/>
        <w:spacing w:after="0" w:line="256" w:lineRule="auto"/>
        <w:rPr>
          <w:sz w:val="20"/>
          <w:szCs w:val="20"/>
          <w:color w:val="auto"/>
        </w:rPr>
      </w:pPr>
      <w:r>
        <w:rPr>
          <w:rFonts w:ascii="Times New Roman" w:cs="Times New Roman" w:eastAsia="Times New Roman" w:hAnsi="Times New Roman"/>
          <w:sz w:val="18"/>
          <w:szCs w:val="18"/>
          <w:color w:val="auto"/>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$24.1 million which is offset within interest expense by an equal, but opposite, fair value change for the hedged risk on the January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2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Subsequent to the year ended December 31, 2024, 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anytime at par plus a "make whole" premium. Total proceeds from the issuance of the July 2030 Notes, net of underwriting discounts, offering costs and original issue discount, were $737.6 million. The Company used the net proceeds of the July 2030 Notes to repay outstanding indebtedness under the Revolving Credit Facility and Subscription Facility.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jc w:val="both"/>
        <w:ind w:right="280" w:firstLine="255"/>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2024, 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 ended December 31, 2024, the components of interest expense related to the 2029 Notes and January 2030 Notes were as follows:</w:t>
      </w:r>
    </w:p>
    <w:p>
      <w:pPr>
        <w:spacing w:after="0" w:line="57"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2"/>
        </w:trPr>
        <w:tc>
          <w:tcPr>
            <w:tcW w:w="5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514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2029 Notes and January 2030 Notes. During the year ended December 31, 2024, the Company received $45.3 million and paid $55.1 million, related to the settlements of its interest expense in the Company's Consolidated Statement of Operations. See Note 5 for further information about the Company's interest rate swap.</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the components of the carrying value of the 2029 Notes and January 2030 Notes and the stated interest rates were as follows:</w:t>
      </w:r>
    </w:p>
    <w:p>
      <w:pPr>
        <w:spacing w:after="0" w:line="57"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96"/>
        </w:trPr>
        <w:tc>
          <w:tcPr>
            <w:tcW w:w="3720" w:type="dxa"/>
            <w:vAlign w:val="bottom"/>
          </w:tcPr>
          <w:p>
            <w:pPr>
              <w:spacing w:after="0"/>
              <w:rPr>
                <w:sz w:val="17"/>
                <w:szCs w:val="17"/>
                <w:color w:val="auto"/>
              </w:rPr>
            </w:pPr>
          </w:p>
        </w:tc>
        <w:tc>
          <w:tcPr>
            <w:tcW w:w="17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2030 Notes</w:t>
            </w:r>
          </w:p>
        </w:tc>
      </w:tr>
      <w:tr>
        <w:trPr>
          <w:trHeight w:val="21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1760" w:type="dxa"/>
            <w:vAlign w:val="bottom"/>
            <w:tcBorders>
              <w:top w:val="single" w:sz="8" w:color="auto"/>
            </w:tcBorders>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FF0FC"/>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7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(5,695 )</w:t>
            </w:r>
          </w:p>
        </w:tc>
        <w:tc>
          <w:tcPr>
            <w:tcW w:w="58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(909 )</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7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(8,486 )</w:t>
            </w:r>
          </w:p>
        </w:tc>
        <w:tc>
          <w:tcPr>
            <w:tcW w:w="5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(7,680 )</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17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(1,079 )</w:t>
            </w:r>
          </w:p>
        </w:tc>
        <w:tc>
          <w:tcPr>
            <w:tcW w:w="58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(24,135 )</w:t>
            </w:r>
          </w:p>
        </w:tc>
      </w:tr>
      <w:tr>
        <w:trPr>
          <w:trHeight w:val="250"/>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1760" w:type="dxa"/>
            <w:vAlign w:val="bottom"/>
            <w:tcBorders>
              <w:top w:val="single" w:sz="8" w:color="auto"/>
              <w:bottom w:val="single" w:sz="8" w:color="auto"/>
            </w:tcBorders>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734,740</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567,276</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Stated interest rate</w:t>
            </w:r>
          </w:p>
        </w:tc>
        <w:tc>
          <w:tcPr>
            <w:tcW w:w="17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6.50 %</w:t>
            </w:r>
          </w:p>
        </w:tc>
        <w:tc>
          <w:tcPr>
            <w:tcW w:w="58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-173990</wp:posOffset>
            </wp:positionV>
            <wp:extent cx="12001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-156845</wp:posOffset>
            </wp:positionV>
            <wp:extent cx="1200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-173990</wp:posOffset>
            </wp:positionV>
            <wp:extent cx="1200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-156845</wp:posOffset>
            </wp:positionV>
            <wp:extent cx="1200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51"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December 31, 2024, the Company's swap-adjusted interest rate on the 2029 Notes was SOFR plus 2.45% (on a weighted average basis). As of December 31, 2024, the Company's swap-adjusted interest rate on the January 2030 Notes was SOFR plus 2.55%.</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the terms of the indentures governing the 2029 Notes and January 2030 Notes.</w:t>
      </w:r>
    </w:p>
    <w:p>
      <w:pPr>
        <w:spacing w:after="0" w:line="117"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December 31, 2024 and December 31, 2023, the Company’s asset coverage was 193.0% and 245.6%,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2024 and December 31, 2023:</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tcPr>
          <w:p>
            <w:pPr>
              <w:jc w:val="center"/>
              <w:ind w:right="299"/>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299"/>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1,496,759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4,400,000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4,348,724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03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03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right="640" w:hanging="512"/>
        <w:spacing w:after="0" w:line="26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outstanding letters of credit issued, and asset coverage requirements.</w:t>
      </w:r>
    </w:p>
    <w:p>
      <w:pPr>
        <w:ind w:left="520" w:hanging="512"/>
        <w:spacing w:after="0" w:line="260"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and January 2030 Notes are presented net deferred financing costs $3.0 million, $9.1 million, $14.2 million, and $8.6 million, respectively.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1" w:name="page122"/>
    <w:bookmarkEnd w:id="121"/>
    <w:p>
      <w:pPr>
        <w:ind w:left="520" w:right="20" w:hanging="512"/>
        <w:spacing w:after="0" w:line="312" w:lineRule="auto"/>
        <w:tabs>
          <w:tab w:leader="none" w:pos="5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 of the 2029 Notes and January 2030 Notes are presented inclusive of an incremental $1.1 million and $24.1 million, respectively, which represents an adjustment in the carrying value of the 2029 Notes and January 2030 Notes, resulting from a hedge accounting relationship.</w:t>
      </w:r>
    </w:p>
    <w:p>
      <w:pPr>
        <w:spacing w:after="0" w:line="133"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21"/>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7"/>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1,054,733</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445,267</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193,282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526,218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971,485</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596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596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60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0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520" w:right="400" w:hanging="512"/>
        <w:spacing w:after="0" w:line="261"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ind w:left="520" w:right="280" w:hanging="512"/>
        <w:spacing w:after="0" w:line="260"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deferred financing costs of $3.7 million and $4.5 million, respectively.</w:t>
      </w:r>
    </w:p>
    <w:p>
      <w:pPr>
        <w:spacing w:after="0" w:line="181" w:lineRule="exact"/>
        <w:rPr>
          <w:sz w:val="20"/>
          <w:szCs w:val="20"/>
          <w:color w:val="auto"/>
        </w:rPr>
      </w:pPr>
    </w:p>
    <w:p>
      <w:pPr>
        <w:ind w:right="860" w:firstLine="4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the components of interest expense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gridSpan w:val="5"/>
            <w:vMerge w:val="restart"/>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3"/>
                <w:szCs w:val="13"/>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169,790</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Swap settlement</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191,989</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72,356</w:t>
            </w:r>
          </w:p>
        </w:tc>
        <w:tc>
          <w:tcPr>
            <w:tcW w:w="3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debt outstanding (in millions)</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2,519.0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876.9</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2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8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-456565</wp:posOffset>
            </wp:positionV>
            <wp:extent cx="12001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-456565</wp:posOffset>
            </wp:positionV>
            <wp:extent cx="12001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-456565</wp:posOffset>
            </wp:positionV>
            <wp:extent cx="12001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had the following commitments to fund investments in current portfolio companies: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Apellis Pharmaceuticals, Inc.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135,222</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Avalara, Inc. -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Elysium BidCo Limited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Heritage Environmental Services, Inc.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HireVue, Inc. -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53,817</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Merit Software Finance Holdings, LLC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QSR Acquisition Co.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Bidco S.p.A.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320" w:type="dxa"/>
            <w:vAlign w:val="bottom"/>
          </w:tcPr>
          <w:p>
            <w:pPr>
              <w:spacing w:after="0"/>
              <w:rPr>
                <w:sz w:val="24"/>
                <w:szCs w:val="24"/>
                <w:color w:val="auto"/>
              </w:rPr>
            </w:pPr>
          </w:p>
        </w:tc>
        <w:tc>
          <w:tcPr>
            <w:tcW w:w="182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F-35</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6900" w:type="dxa"/>
            <w:vAlign w:val="bottom"/>
          </w:tcPr>
          <w:p>
            <w:pPr>
              <w:jc w:val="center"/>
              <w:ind w:right="3070"/>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32,377</w:t>
            </w: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20" w:type="dxa"/>
            <w:vAlign w:val="bottom"/>
          </w:tcPr>
          <w:p>
            <w:pPr>
              <w:spacing w:after="0"/>
              <w:rPr>
                <w:sz w:val="20"/>
                <w:szCs w:val="20"/>
                <w:color w:val="auto"/>
              </w:rPr>
            </w:pPr>
          </w:p>
        </w:tc>
      </w:tr>
      <w:tr>
        <w:trPr>
          <w:trHeight w:val="249"/>
        </w:trPr>
        <w:tc>
          <w:tcPr>
            <w:tcW w:w="6900" w:type="dxa"/>
            <w:vAlign w:val="bottom"/>
            <w:tcBorders>
              <w:bottom w:val="single" w:sz="8" w:color="CFF0FC"/>
            </w:tcBorders>
            <w:shd w:val="clear" w:color="auto" w:fill="CFF0FC"/>
          </w:tcPr>
          <w:p>
            <w:pPr>
              <w:jc w:val="center"/>
              <w:ind w:right="3010"/>
              <w:spacing w:after="0" w:line="210" w:lineRule="exact"/>
              <w:rPr>
                <w:sz w:val="20"/>
                <w:szCs w:val="20"/>
                <w:color w:val="auto"/>
              </w:rPr>
            </w:pPr>
            <w:r>
              <w:rPr>
                <w:rFonts w:ascii="Times New Roman" w:cs="Times New Roman" w:eastAsia="Times New Roman" w:hAnsi="Times New Roman"/>
                <w:sz w:val="18"/>
                <w:szCs w:val="18"/>
                <w:b w:val="1"/>
                <w:bCs w:val="1"/>
                <w:color w:val="auto"/>
                <w:w w:val="97"/>
              </w:rPr>
              <w:t xml:space="preserve">Total Portfolio Company Commitments </w:t>
            </w:r>
            <w:r>
              <w:rPr>
                <w:rFonts w:ascii="Times New Roman" w:cs="Times New Roman" w:eastAsia="Times New Roman" w:hAnsi="Times New Roman"/>
                <w:sz w:val="24"/>
                <w:szCs w:val="24"/>
                <w:b w:val="1"/>
                <w:bCs w:val="1"/>
                <w:color w:val="auto"/>
                <w:w w:val="97"/>
                <w:vertAlign w:val="superscript"/>
              </w:rPr>
              <w:t>(1)(2)</w:t>
            </w: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1,050,384</w:t>
            </w:r>
          </w:p>
        </w:tc>
        <w:tc>
          <w:tcPr>
            <w:tcW w:w="3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7" w:lineRule="exact"/>
        <w:rPr>
          <w:sz w:val="20"/>
          <w:szCs w:val="20"/>
          <w:color w:val="auto"/>
        </w:rPr>
      </w:pPr>
    </w:p>
    <w:p>
      <w:pPr>
        <w:ind w:left="380" w:right="460" w:hanging="372"/>
        <w:spacing w:after="0" w:line="260"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380" w:right="680" w:hanging="372"/>
        <w:spacing w:after="0" w:line="28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Company did not have any unfunded commitments to fund investments to new borrowers that were not current portfolio companies as of such date.</w:t>
      </w:r>
    </w:p>
    <w:p>
      <w:pPr>
        <w:spacing w:after="0" w:line="162"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2024 and December 31, 2023, management is not aware of any material pending or threatened litigation that would require accounting recognition or financial statement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year ended December 31, 2024, the Company entered into subscription agreements (the “Subscription Agreements”) with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for the private placement of the Company’s Common Shares. Under the terms of the Subscription Agreements, investors are required to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drawdowns to purchase the Company’s Common Shares up to the amount of their respective Capital Commitment on an as-needed basis each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delivers a drawdown notice to its investors. As of December 31, 2024, the Company had received Capital Commitments totaling $7.4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billion remaining undrawn). As of December 31, 2023, we had received Capital Commitments totaling $7.4 billion ($5.7 billion remaining undrawn).</w:t>
      </w:r>
    </w:p>
    <w:p>
      <w:pPr>
        <w:spacing w:after="0" w:line="20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87"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 summarizes the Common Shares issued to shareholders who have not opted out of the Company’s dividend reinvestment plan for the years ended December 31, 2024 and December 31, 2023. All shares issued to shareholders in the tables below are newly issued shares.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vMerge w:val="restart"/>
          </w:tcPr>
          <w:p>
            <w:pPr>
              <w:spacing w:after="0"/>
              <w:rPr>
                <w:sz w:val="10"/>
                <w:szCs w:val="10"/>
                <w:color w:val="auto"/>
              </w:rPr>
            </w:pPr>
          </w:p>
        </w:tc>
        <w:tc>
          <w:tcPr>
            <w:tcW w:w="19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0"/>
                <w:szCs w:val="10"/>
                <w:color w:val="auto"/>
              </w:rPr>
            </w:pPr>
          </w:p>
        </w:tc>
        <w:tc>
          <w:tcPr>
            <w:tcW w:w="1900" w:type="dxa"/>
            <w:vAlign w:val="bottom"/>
          </w:tcPr>
          <w:p>
            <w:pPr>
              <w:jc w:val="right"/>
              <w:ind w:right="739"/>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0"/>
                <w:szCs w:val="10"/>
                <w:color w:val="auto"/>
              </w:rPr>
            </w:pPr>
          </w:p>
        </w:tc>
        <w:tc>
          <w:tcPr>
            <w:tcW w:w="194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vMerge w:val="restart"/>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40" w:type="dxa"/>
            <w:vAlign w:val="bottom"/>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21, 2024</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795,040</w:t>
            </w:r>
          </w:p>
        </w:tc>
        <w:tc>
          <w:tcPr>
            <w:tcW w:w="10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7, 2024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869,766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6, 2024</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953,857</w:t>
            </w:r>
          </w:p>
        </w:tc>
        <w:tc>
          <w:tcPr>
            <w:tcW w:w="10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13, 2024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1,029,392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9, 2024</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9, 2024</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19, 2024</w:t>
            </w:r>
          </w:p>
        </w:tc>
        <w:tc>
          <w:tcPr>
            <w:tcW w:w="14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2,953,313</w:t>
            </w: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6,601,368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vMerge w:val="restart"/>
          </w:tcPr>
          <w:p>
            <w:pPr>
              <w:jc w:val="right"/>
              <w:ind w:right="433"/>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-1216660</wp:posOffset>
            </wp:positionV>
            <wp:extent cx="596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tbl>
      <w:tblPr>
        <w:tblLayout w:type="fixed"/>
        <w:tblInd w:w="8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vMerge w:val="restart"/>
          </w:tcPr>
          <w:p>
            <w:pPr>
              <w:spacing w:after="0"/>
              <w:rPr>
                <w:sz w:val="10"/>
                <w:szCs w:val="10"/>
                <w:color w:val="auto"/>
              </w:rPr>
            </w:pPr>
          </w:p>
        </w:tc>
        <w:tc>
          <w:tcPr>
            <w:tcW w:w="18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0"/>
                <w:szCs w:val="10"/>
                <w:color w:val="auto"/>
              </w:rPr>
            </w:pPr>
          </w:p>
        </w:tc>
        <w:tc>
          <w:tcPr>
            <w:tcW w:w="1680" w:type="dxa"/>
            <w:vAlign w:val="bottom"/>
          </w:tcPr>
          <w:p>
            <w:pPr>
              <w:jc w:val="right"/>
              <w:ind w:right="621"/>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0"/>
                <w:szCs w:val="10"/>
                <w:color w:val="auto"/>
              </w:rPr>
            </w:pPr>
          </w:p>
        </w:tc>
        <w:tc>
          <w:tcPr>
            <w:tcW w:w="15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10, 2023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16, 2023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16, 2023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issued 6,601,368 Common Shares to investors who have not opted out of our dividend reinvestment plan for proceeds of $191.8 million. During the year ended December 31, 2023, the Company issued 1,639,103 Common Shares to investors who have not opted out of our dividend reinvestment plan for proceeds of $43.4 million.</w:t>
      </w:r>
    </w:p>
    <w:p>
      <w:pPr>
        <w:spacing w:after="0" w:line="176"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Common Shares issued and proceeds received related to the Company’s initial capitalization and capital drawdowns delivered pursuant to the Subscription Agreements for the years ended December 31, 2024 and December 31, 2023:</w:t>
      </w: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25, 2024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10,152,231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September 24, 2024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8,280,854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17, 2024</w:t>
            </w: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32,345,892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68,127,885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9,643,813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June 28,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2,798,480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26, 2023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5,387,887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November 21, 2023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14,401,634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9,725,830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41,957,644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-1379220</wp:posOffset>
            </wp:positionV>
            <wp:extent cx="514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-1379220</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514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514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ind w:left="280" w:hanging="272"/>
        <w:spacing w:after="0"/>
        <w:tabs>
          <w:tab w:leader="none" w:pos="2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gridSpan w:val="4"/>
            <w:vMerge w:val="restart"/>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 and diluted</w:t>
            </w: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120" w:type="dxa"/>
            <w:vAlign w:val="bottom"/>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90,180,335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34,746,777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7,034,869</w:t>
            </w:r>
          </w:p>
        </w:tc>
        <w:tc>
          <w:tcPr>
            <w:tcW w:w="100" w:type="dxa"/>
            <w:vAlign w:val="bottom"/>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(losses) per common share—basic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w w:val="99"/>
              </w:rPr>
              <w:t>F-37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-1079500</wp:posOffset>
            </wp:positionV>
            <wp:extent cx="596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-1079500</wp:posOffset>
            </wp:positionV>
            <wp:extent cx="596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-1079500</wp:posOffset>
            </wp:positionV>
            <wp:extent cx="60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5" w:name="page126"/>
    <w:bookmarkEnd w:id="125"/>
    <w:p>
      <w:pPr>
        <w:ind w:left="280" w:hanging="272"/>
        <w:spacing w:after="0"/>
        <w:tabs>
          <w:tab w:leader="none" w:pos="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dividends declared during the years ended December 31, 2024 and December 31, 2023:</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260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2"/>
                <w:szCs w:val="12"/>
                <w:color w:val="auto"/>
              </w:rPr>
            </w:pPr>
          </w:p>
        </w:tc>
        <w:tc>
          <w:tcPr>
            <w:tcW w:w="2780" w:type="dxa"/>
            <w:vAlign w:val="bottom"/>
            <w:tcBorders>
              <w:bottom w:val="single" w:sz="8" w:color="auto"/>
            </w:tcBorders>
          </w:tcPr>
          <w:p>
            <w:pPr>
              <w:jc w:val="right"/>
              <w:ind w:right="877"/>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6, 2024</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5, 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12, 2024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9, 2024</w:t>
            </w:r>
          </w:p>
        </w:tc>
        <w:tc>
          <w:tcPr>
            <w:tcW w:w="16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18, 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bottom w:val="single" w:sz="8" w:color="CFF0FC"/>
            </w:tcBorders>
            <w:shd w:val="clear" w:color="auto" w:fill="CFF0FC"/>
          </w:tcPr>
          <w:p>
            <w:pPr>
              <w:spacing w:after="0"/>
              <w:rPr>
                <w:sz w:val="18"/>
                <w:szCs w:val="18"/>
                <w:color w:val="auto"/>
              </w:rPr>
            </w:pPr>
          </w:p>
        </w:tc>
        <w:tc>
          <w:tcPr>
            <w:tcW w:w="2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29, 2025</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vMerge w:val="restart"/>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260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2"/>
                <w:szCs w:val="12"/>
                <w:color w:val="auto"/>
              </w:rPr>
            </w:pPr>
          </w:p>
        </w:tc>
        <w:tc>
          <w:tcPr>
            <w:tcW w:w="2780" w:type="dxa"/>
            <w:vAlign w:val="bottom"/>
            <w:tcBorders>
              <w:bottom w:val="single" w:sz="8" w:color="auto"/>
            </w:tcBorders>
          </w:tcPr>
          <w:p>
            <w:pPr>
              <w:jc w:val="right"/>
              <w:ind w:right="877"/>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9, 2023</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15, 2023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26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CFF0FC"/>
            </w:tcBorders>
          </w:tcPr>
          <w:p>
            <w:pPr>
              <w:spacing w:after="0"/>
              <w:rPr>
                <w:sz w:val="18"/>
                <w:szCs w:val="18"/>
                <w:color w:val="auto"/>
              </w:rPr>
            </w:pPr>
          </w:p>
        </w:tc>
        <w:tc>
          <w:tcPr>
            <w:tcW w:w="2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February 20, 2024</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6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7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-2275205</wp:posOffset>
            </wp:positionV>
            <wp:extent cx="93980" cy="1365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 ended December 31, 2024 and December 31, 2023 were derived from net investment income, determined on a tax basis. From April 5, 2022 (Inception) through December 31, 2022, no distributions had been declared or paid by the Company.</w:t>
      </w:r>
    </w:p>
    <w:p>
      <w:pPr>
        <w:spacing w:after="0" w:line="5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162" w:lineRule="exact"/>
        <w:rPr>
          <w:sz w:val="20"/>
          <w:szCs w:val="20"/>
          <w:color w:val="auto"/>
        </w:rPr>
      </w:pPr>
    </w:p>
    <w:p>
      <w:pPr>
        <w:ind w:left="280" w:hanging="272"/>
        <w:spacing w:after="0"/>
        <w:tabs>
          <w:tab w:leader="none" w:pos="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 of shareholder distributions attributable to fiscal years ended December 31, 2024 and December 31, 2023 were as follows:</w:t>
      </w:r>
    </w:p>
    <w:p>
      <w:pPr>
        <w:spacing w:after="0" w:line="329"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09"/>
        </w:trPr>
        <w:tc>
          <w:tcPr>
            <w:tcW w:w="48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Ordinary Income</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Capital Gains (Losses)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4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514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5143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1020" w:right="14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December 31, 2023, 78.26% and 88.32%, respectively, of ordinary income qualified as interest related dividend which is exempt from U.S. withholding tax applicable to non-U.S. shareholders.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 ended December 2022, there were no distributions.</w:t>
      </w:r>
    </w:p>
    <w:p>
      <w:pPr>
        <w:spacing w:after="0" w:line="11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following reconciles the increase in net assets resulting from operations for the fiscal years ended December 31, 2024, December 31, 2023 and for the period from April 5, 2022 (Inception) through December 31, 2022, to taxable income at December 31, 2024, December 31, 2023 and for the period from April 5, 2022 (Inception) through December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tbl>
      <w:tblPr>
        <w:tblLayout w:type="fixed"/>
        <w:tblInd w:w="7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1"/>
        </w:trPr>
        <w:tc>
          <w:tcPr>
            <w:tcW w:w="4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Increase (decrease) in net assets resulting from</w:t>
            </w:r>
          </w:p>
        </w:tc>
        <w:tc>
          <w:tcPr>
            <w:tcW w:w="1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shd w:val="clear" w:color="auto" w:fill="CFF0FC"/>
          </w:tcPr>
          <w:p>
            <w:pPr>
              <w:spacing w:after="0"/>
              <w:rPr>
                <w:sz w:val="20"/>
                <w:szCs w:val="20"/>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(134,024 )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(56,755 )</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(loss) for tax purposes, not book</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405,148</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143,172</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Borders>
              <w:top w:val="single" w:sz="8" w:color="CFF0FC"/>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03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03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tax basis components of distributable earnings for the years ended December 31, 2024, December 31, 2023 and for the period from April 5, 2022 (Inception) through December 31, 2022, were as follows:</w:t>
      </w:r>
    </w:p>
    <w:p>
      <w:pPr>
        <w:spacing w:after="0" w:line="182"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5"/>
                <w:szCs w:val="15"/>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net investment income - tax basis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Undistributed net realized gains (losses) - tax basis</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(2,875 )</w:t>
            </w: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(53,740 )</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(52,607 )</w:t>
            </w: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(2,088 )</w:t>
            </w:r>
          </w:p>
        </w:tc>
      </w:tr>
      <w:tr>
        <w:trPr>
          <w:trHeight w:val="249"/>
        </w:trPr>
        <w:tc>
          <w:tcPr>
            <w:tcW w:w="4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distributable earnings - book basis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112,591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-25400</wp:posOffset>
            </wp:positionV>
            <wp:extent cx="603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032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 The Company's tax year end is December 31.</w:t>
      </w:r>
    </w:p>
    <w:p>
      <w:pPr>
        <w:spacing w:after="0" w:line="22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shareholders’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December 31, 2023 and for the period from April 5, 2022 (Inception) through December 31, 2022, the Company increased distributable earnings and decreased additional paid in capital by $2.2 million, $1.5 million and $0.2 million, respectively, which was primarily attributable to U.S. federal excise taxes.</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Company’s wholly-owned subsidiary, Sixth Street LP Holding II, LLC, is a taxable subsidiary in which the Company holds certain investments. Sixth Street LP Holding II,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2024 was $7,102,780, resulting in estimated gross unrealized gains and losses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$222,515 and $56,184, respectively. The tax cost of the Company’s investments as of December 31, 2023 was $3,047,224, resulting in estimated gross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of $69,618 and $23,923, respectively. The tax cost of the Company's investments for the period from April 5, 2022 (Inception)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2022 was $810,241, resulting in estimated gross unrealized gains and losses of $2,806 and $5,681, respectively.</w:t>
      </w:r>
    </w:p>
    <w:p>
      <w:pPr>
        <w:spacing w:after="0" w:line="20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years ended December 31, 2024, December 31, 2023 and for the period from April 5, 2022 (Inception) through December 31, 2022, a net expense of $2.2 million, $1.5 million and $0.2 million, respectively, was recorded for U.S. federal excise tax.</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6"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Shares outstanding during the years ended December 31, 2024, December 31, 2023 and from April 5, 2022 (Inception) through December 31,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5"/>
            <w:vMerge w:val="restart"/>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55"/>
        </w:trPr>
        <w:tc>
          <w:tcPr>
            <w:tcW w:w="5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(4)</w:t>
            </w:r>
          </w:p>
        </w:tc>
        <w:tc>
          <w:tcPr>
            <w:tcW w:w="1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realized and unrealized gain (loss)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from operations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Common Share Issuance </w:t>
            </w:r>
            <w:r>
              <w:rPr>
                <w:rFonts w:ascii="Times New Roman" w:cs="Times New Roman" w:eastAsia="Times New Roman" w:hAnsi="Times New Roman"/>
                <w:sz w:val="24"/>
                <w:szCs w:val="24"/>
                <w:color w:val="auto"/>
                <w:vertAlign w:val="superscript"/>
              </w:rPr>
              <w:t>(3)</w:t>
            </w: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(4.54 )</w:t>
            </w: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20.90 %</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21.42 %</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140,208,028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65,478,775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21,882,028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(5)(6)</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16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12.36 %</w:t>
            </w:r>
          </w:p>
        </w:tc>
        <w:tc>
          <w:tcPr>
            <w:tcW w:w="1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198"/>
        </w:trPr>
        <w:tc>
          <w:tcPr>
            <w:tcW w:w="55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fee waiver</w:t>
            </w:r>
          </w:p>
        </w:tc>
        <w:tc>
          <w:tcPr>
            <w:tcW w:w="1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10.80 %</w:t>
            </w:r>
          </w:p>
        </w:tc>
        <w:tc>
          <w:tcPr>
            <w:tcW w:w="1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11.35 %</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waiver</w:t>
            </w:r>
          </w:p>
        </w:tc>
        <w:tc>
          <w:tcPr>
            <w:tcW w:w="16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11.41 %</w:t>
            </w:r>
          </w:p>
        </w:tc>
        <w:tc>
          <w:tcPr>
            <w:tcW w:w="1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10.75 %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198"/>
        </w:trPr>
        <w:tc>
          <w:tcPr>
            <w:tcW w:w="55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fee waiver</w:t>
            </w:r>
          </w:p>
        </w:tc>
        <w:tc>
          <w:tcPr>
            <w:tcW w:w="1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12.97 %</w:t>
            </w:r>
          </w:p>
        </w:tc>
        <w:tc>
          <w:tcPr>
            <w:tcW w:w="1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12.36 %</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turnover</w:t>
            </w:r>
          </w:p>
        </w:tc>
        <w:tc>
          <w:tcPr>
            <w:tcW w:w="16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15.36 %</w:t>
            </w: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end of period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4,036,470</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1,817,067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546,711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-2510790</wp:posOffset>
            </wp:positionV>
            <wp:extent cx="1200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-2510790</wp:posOffset>
            </wp:positionV>
            <wp:extent cx="12001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-2510790</wp:posOffset>
            </wp:positionV>
            <wp:extent cx="12001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-1945640</wp:posOffset>
            </wp:positionV>
            <wp:extent cx="12001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-1945640</wp:posOffset>
            </wp:positionV>
            <wp:extent cx="12001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-1945640</wp:posOffset>
            </wp:positionV>
            <wp:extent cx="12001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20" w:right="360" w:hanging="512"/>
        <w:spacing w:after="0" w:line="250" w:lineRule="auto"/>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20" w:right="100" w:hanging="512"/>
        <w:spacing w:after="0" w:line="250" w:lineRule="auto"/>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20" w:hanging="512"/>
        <w:spacing w:after="0"/>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520" w:right="860" w:hanging="512"/>
        <w:spacing w:after="0" w:line="250" w:lineRule="auto"/>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April 5th (Inception) through December 31, 2022, the ratios represent information on an annualized basis, except for nonrecurring expenses, such as organizational and offering expenses, which are not annualized.</w:t>
      </w:r>
    </w:p>
    <w:p>
      <w:pPr>
        <w:ind w:left="520" w:hanging="512"/>
        <w:spacing w:after="0"/>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Q2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7"/>
                <w:szCs w:val="17"/>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200,820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178,888</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157,464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131,592</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95,824</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71,191</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104,995</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100,866</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86,265</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72,722</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173,641</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126,980</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97,725</w:t>
            </w:r>
          </w:p>
        </w:tc>
        <w:tc>
          <w:tcPr>
            <w:tcW w:w="100" w:type="dxa"/>
            <w:vAlign w:val="bottom"/>
            <w:shd w:val="clear" w:color="auto" w:fill="CFF0FC"/>
          </w:tcPr>
          <w:p>
            <w:pPr>
              <w:spacing w:after="0"/>
              <w:rPr>
                <w:sz w:val="18"/>
                <w:szCs w:val="18"/>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0"/>
                <w:szCs w:val="20"/>
                <w:color w:val="auto"/>
              </w:rPr>
            </w:pPr>
          </w:p>
        </w:tc>
      </w:tr>
      <w:tr>
        <w:trPr>
          <w:trHeight w:val="630"/>
        </w:trPr>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F-40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Q2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7"/>
                <w:szCs w:val="17"/>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66,482</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57,788</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FF0FC"/>
          </w:tcPr>
          <w:p>
            <w:pPr>
              <w:spacing w:after="0"/>
              <w:rPr>
                <w:sz w:val="18"/>
                <w:szCs w:val="18"/>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0"/>
                <w:szCs w:val="20"/>
                <w:color w:val="auto"/>
              </w:rPr>
            </w:pPr>
          </w:p>
        </w:tc>
      </w:tr>
    </w:tbl>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2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(707 )</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(2,120 )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expenses include income taxes, including any excise taxes.</w:t>
      </w:r>
    </w:p>
    <w:p>
      <w:pPr>
        <w:spacing w:after="0" w:line="2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investment income excludes $(943) of expenses incurred at 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period ended December 31,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Annual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9"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management concluded that our internal control over financial reporting was effective as of December 31, 2024.</w:t>
      </w:r>
    </w:p>
    <w:p>
      <w:pPr>
        <w:spacing w:after="0" w:line="18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0" w:name="page131"/>
    <w:bookmarkEnd w:id="1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TRUSTEES, EXECUTIVE OFFICERS AND CORPORATE GOVERNANCE</w:t>
      </w:r>
    </w:p>
    <w:p>
      <w:pPr>
        <w:spacing w:after="0" w:line="22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Company or of the Adviser as defined in Section 2(a)(19) of the 1940 Act and are “independent,” as determined by the Board of Trustees. These individuals are referred to as “Independent Trustees.” Our Board of Trustees elects the Company’s officers, who serve at the discretion of the Board of Trustees.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Trustees and Executive Officers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regarding the Board of Trustees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Age</w:t>
            </w:r>
          </w:p>
        </w:tc>
        <w:tc>
          <w:tcPr>
            <w:tcW w:w="47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Trustee Since</w:t>
            </w:r>
          </w:p>
        </w:tc>
      </w:tr>
      <w:tr>
        <w:trPr>
          <w:trHeight w:val="21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Interested Trustee:</w:t>
            </w:r>
          </w:p>
        </w:tc>
        <w:tc>
          <w:tcPr>
            <w:tcW w:w="150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Chair of the Board, 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Gordon</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Stiepleman</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Independent Trustees:</w:t>
            </w:r>
          </w:p>
        </w:tc>
        <w:tc>
          <w:tcPr>
            <w:tcW w:w="150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Higginbotham</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Hurley Doddy</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Judy Slotkin</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Tanemura</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98"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executive officers of the Company that are not Trustees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5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Age</w:t>
            </w:r>
          </w:p>
        </w:tc>
        <w:tc>
          <w:tcPr>
            <w:tcW w:w="380" w:type="dxa"/>
            <w:vAlign w:val="bottom"/>
            <w:tcBorders>
              <w:bottom w:val="single" w:sz="8" w:color="auto"/>
            </w:tcBorders>
          </w:tcPr>
          <w:p>
            <w:pPr>
              <w:spacing w:after="0"/>
              <w:rPr>
                <w:sz w:val="22"/>
                <w:szCs w:val="22"/>
                <w:color w:val="auto"/>
              </w:rPr>
            </w:pPr>
          </w:p>
        </w:tc>
        <w:tc>
          <w:tcPr>
            <w:tcW w:w="71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Ian Simmonds</w:t>
            </w: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Graf</w:t>
            </w:r>
          </w:p>
        </w:tc>
        <w:tc>
          <w:tcPr>
            <w:tcW w:w="1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Deputy Chief Financial Officer, Vice President and Principal Accounting Officer</w:t>
            </w: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Anton Brett</w:t>
            </w: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Compliance Officer and Secretary</w:t>
            </w: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Each officer holds office at the pleasure of the Board until the next election of officers or until his or her successor is duly elected and qualifies.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the Company in June 2022 and elected a trustee and Chairman of the Company in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6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trustee of the Company in June 2022. Ms. Gordon is a Vice President of the Company and is a Partner,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7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trustee of the Company in June 2022. Mr. Stiepleman is a Vice President of the Company. He is a Co-Founding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11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trustee of the Company in June 2022.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74"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trustee of the Company in June 2022.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trustee of the Company in June 2022. Ms. Slotkin retired as a Managing Director from Bank of America in 2015, where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7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trustee of the Company in June 2022.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ind w:right="60"/>
        <w:spacing w:after="0" w:line="312" w:lineRule="auto"/>
        <w:rPr>
          <w:sz w:val="20"/>
          <w:szCs w:val="20"/>
          <w:color w:val="auto"/>
        </w:rPr>
      </w:pPr>
      <w:r>
        <w:rPr>
          <w:rFonts w:ascii="Times New Roman" w:cs="Times New Roman" w:eastAsia="Times New Roman" w:hAnsi="Times New Roman"/>
          <w:sz w:val="17"/>
          <w:szCs w:val="17"/>
          <w:color w:val="auto"/>
        </w:rPr>
        <w:t>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Trustees</w:t>
      </w:r>
    </w:p>
    <w:p>
      <w:pPr>
        <w:spacing w:after="0" w:line="11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the Company and a Partner of Sixth Street. From 2005 to 2015, Mr. Simmonds was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75"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Deputy Chief Financial Officer, Vice President and Principal Accounting Officer of the Company. From 2010 to 2013, Mr. Graf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68" w:lineRule="exact"/>
        <w:rPr>
          <w:sz w:val="20"/>
          <w:szCs w:val="20"/>
          <w:color w:val="auto"/>
        </w:rPr>
      </w:pPr>
    </w:p>
    <w:p>
      <w:pPr>
        <w:ind w:firstLine="255"/>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Anton Brett </w:t>
      </w:r>
      <w:r>
        <w:rPr>
          <w:rFonts w:ascii="Times New Roman" w:cs="Times New Roman" w:eastAsia="Times New Roman" w:hAnsi="Times New Roman"/>
          <w:sz w:val="17"/>
          <w:szCs w:val="17"/>
          <w:color w:val="auto"/>
        </w:rPr>
        <w:t>is the Chief Compliance Officer and Secretary of the Company and a Managing Director of Sixth Street. Prior to joining Sixth Street,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2017 to 2020, he was a Senior Associate at Scopia Capital Management, LP. From 2014 to 2017, Mr. Brett was an Associate at the law firm of Willkie Farr</w:t>
      </w:r>
    </w:p>
    <w:p>
      <w:pPr>
        <w:spacing w:after="0" w:line="1" w:lineRule="exact"/>
        <w:rPr>
          <w:sz w:val="20"/>
          <w:szCs w:val="20"/>
          <w:color w:val="auto"/>
        </w:rPr>
      </w:pPr>
    </w:p>
    <w:p>
      <w:pPr>
        <w:ind w:right="320" w:firstLine="8"/>
        <w:spacing w:after="0" w:line="260" w:lineRule="auto"/>
        <w:tabs>
          <w:tab w:leader="none" w:pos="1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Officers Who Are Not Trustees</w:t>
      </w:r>
    </w:p>
    <w:p>
      <w:pPr>
        <w:spacing w:after="0" w:line="117" w:lineRule="exact"/>
        <w:rPr>
          <w:sz w:val="20"/>
          <w:szCs w:val="20"/>
          <w:color w:val="auto"/>
        </w:rPr>
      </w:pPr>
    </w:p>
    <w:p>
      <w:pPr>
        <w:ind w:right="18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a Vice President of the Company, a Partner of Sixth Street, and co-head of Sixth Street Growth. Mr. Stanley focuses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74"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the Company. Mr. Waxman is a Co-Founding Partner and Chief Executive Officer of Sixth Street.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77" w:lineRule="exact"/>
        <w:rPr>
          <w:sz w:val="20"/>
          <w:szCs w:val="20"/>
          <w:color w:val="auto"/>
        </w:rPr>
      </w:pPr>
    </w:p>
    <w:p>
      <w:pPr>
        <w:jc w:val="both"/>
        <w:ind w:right="6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the Company, Senior Credit Underwriter of the Adviser and Partner of Sixth Street. Mr. Hamrah was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7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the Company.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3" w:name="page134"/>
    <w:bookmarkEnd w:id="133"/>
    <w:p>
      <w:pPr>
        <w:ind w:right="2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is a Vice President of the Company and is a Sixth Street Partner. He has been an executive in corporate lending for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7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Joshua Peck </w:t>
      </w:r>
      <w:r>
        <w:rPr>
          <w:rFonts w:ascii="Times New Roman" w:cs="Times New Roman" w:eastAsia="Times New Roman" w:hAnsi="Times New Roman"/>
          <w:sz w:val="18"/>
          <w:szCs w:val="18"/>
          <w:color w:val="auto"/>
        </w:rPr>
        <w:t>is a Vice President of the Company and a Partner and General Counsel of Sixth Street. Prior to joining Sixth Street in 2015, Mr. Peck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and Risk Oversight Responsibilities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officers.</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Trustee and believe that we should maintain the flexibility to select the chairman and reorganize the leadership structure, from time to time, based on the criteria that is in our best interests and the best interests of our shareholders at such times.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Mr. Easterly serves as the chairman of our Board. We believe that Mr. Easterly’s familiarity with our investment platform and extensive knowledge of the financial services industry qualifies him to serve as the chairman of our Board.</w:t>
      </w:r>
    </w:p>
    <w:p>
      <w:pPr>
        <w:spacing w:after="0" w:line="5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Trustee. We are aware of the potential conflicts that may arise when a non-Independent Trustee is chairman of the Board, but believe these potential conflicts are offset by our strong corporate governance practices. Our corporate governance practices will include regular meetings of the Independent Trustees in executive session without the presence of interested trustees and management, as well as the establishment of a Nominating and Corporate Governance Committee and an Audit Committee, each consisting solely of Independent Trustees for the purposes of the NYSE corporate governance rules and, in the case of the Audit Committee, Rule 10A-3 under the Securities Exchange Act of 1934, as amended (the “Exchange Act”). During executive sessions, the chairman of the Audit Committee or his designee will act as presiding trustee. In addition, our corporate governance practices include the appointment of our Chief Compliance Officer, with whom the Independent Trustees meet in executive session without the presence of interested trustees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of Trustees performs its risk oversight function primarily through (i) its standing committees, which report to the entire Board of Trustees and are comprised solely of independent Trustees, and (ii) active monitoring by our chief compliance officer in accordance with our compliance policies and procedures.</w:t>
      </w:r>
    </w:p>
    <w:p>
      <w:pPr>
        <w:spacing w:after="0" w:line="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assists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7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also performs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68"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4" w:name="page135"/>
    <w:bookmarkEnd w:id="134"/>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will enhance its risk oversight because our Independent Trustees separately meet in executive sessions with the Chief Compliance Officer (periodically, typically every quarter, but in no event less than once each year) and independent registered public accounting firm without any conflict that could be perceived to discourage critical review.</w:t>
      </w:r>
    </w:p>
    <w:p>
      <w:pPr>
        <w:spacing w:after="0" w:line="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and we are limited in our ability to enter into transactions with our affiliates, including investing in any portfolio company in which one of our affiliates currently has an investment. In addition, we generally have to invest at least 70% of our total assets in “qualifying assets” and, subject to certain exceptions, we generally are not permitted to invest in any portfolio company in which our affiliates currently has an investment. In addition, we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8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Oversight of our investment activities extends to oversight of the risk management processes employed by the Adviser as part of its day-to-day management of our investment activities. The Board of Trustees reviews risk management processes at both regular and special board meetings throughout the year, consulting with appropriate representatives of the Adviser as necessary and periodically requesting the production of risk management reports or presentations. The goal of the Board of Trustee’s risk oversight function is to ensure that the risks associated with our investment activities are accurately identified, thoroughly investigated and responsibly addressed. Investors should note, however, that the Board of Trustees’ oversight function cannot eliminate all risks or ensure that particular events do not adversely affect the value of investments.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Trustees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shareholders and other interested parties may communicate with any member of our Board, the chairman of any of our Board committees or with our non-management trustees as a group by mail addressed to the applicable trustees or trustee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trustee, or trustees, for review.</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Trustees via email is available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two standing committees: the Audit Committee and the 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68"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 firm.</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trustees for the purposes of the applicable NYSE corporate governance rules and Rule 10A-3 under the Exchange Act.</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Messrs, Higginbotham, Doddy, and Tanemura and Ms. Slotkin are members of the Audit Committee and Ms. Slotkin serves as Chairman.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68"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trustees for election by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11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shareholder, if that shareholder complies with the advance notice provisions of our bylaws.</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Range of Equity Securities Beneficially Owned by Trustees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February 14,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618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Dollar Range of Equity Securities in the Fund</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08"/>
        </w:trPr>
        <w:tc>
          <w:tcPr>
            <w:tcW w:w="506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Name of Trustee</w:t>
            </w:r>
          </w:p>
        </w:tc>
        <w:tc>
          <w:tcPr>
            <w:tcW w:w="6180" w:type="dxa"/>
            <w:vAlign w:val="bottom"/>
          </w:tcPr>
          <w:p>
            <w:pPr>
              <w:ind w:left="4620"/>
              <w:spacing w:after="0" w:line="108" w:lineRule="exact"/>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48"/>
        </w:trPr>
        <w:tc>
          <w:tcPr>
            <w:tcW w:w="5060" w:type="dxa"/>
            <w:vAlign w:val="bottom"/>
            <w:tcBorders>
              <w:bottom w:val="single" w:sz="8" w:color="auto"/>
            </w:tcBorders>
            <w:vMerge w:val="continue"/>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24"/>
                <w:szCs w:val="24"/>
                <w:b w:val="1"/>
                <w:bCs w:val="1"/>
                <w:color w:val="auto"/>
                <w:vertAlign w:val="superscript"/>
              </w:rPr>
              <w:t>(1)</w:t>
            </w:r>
          </w:p>
        </w:tc>
        <w:tc>
          <w:tcPr>
            <w:tcW w:w="6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Easterly</w:t>
            </w:r>
          </w:p>
        </w:tc>
        <w:tc>
          <w:tcPr>
            <w:tcW w:w="61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Gordon</w:t>
            </w:r>
          </w:p>
        </w:tc>
        <w:tc>
          <w:tcPr>
            <w:tcW w:w="618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Stiepleman</w:t>
            </w:r>
          </w:p>
        </w:tc>
        <w:tc>
          <w:tcPr>
            <w:tcW w:w="61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24"/>
                <w:szCs w:val="24"/>
                <w:b w:val="1"/>
                <w:bCs w:val="1"/>
                <w:color w:val="auto"/>
                <w:vertAlign w:val="superscript"/>
              </w:rPr>
              <w:t>(1)</w:t>
            </w:r>
          </w:p>
        </w:tc>
        <w:tc>
          <w:tcPr>
            <w:tcW w:w="6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Higginbotham</w:t>
            </w:r>
          </w:p>
        </w:tc>
        <w:tc>
          <w:tcPr>
            <w:tcW w:w="61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Hurley Doddy</w:t>
            </w:r>
          </w:p>
        </w:tc>
        <w:tc>
          <w:tcPr>
            <w:tcW w:w="618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Judy Slotkin</w:t>
            </w:r>
          </w:p>
        </w:tc>
        <w:tc>
          <w:tcPr>
            <w:tcW w:w="61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Tanemura</w:t>
            </w:r>
          </w:p>
        </w:tc>
        <w:tc>
          <w:tcPr>
            <w:tcW w:w="618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are: none, $1 – $10,000, $10,001 – $50,000, $50,001 – $100,000 or over $100,000.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Based on the Company’s review of Section 16(a) reports filed for the year ended December 31, 2024 and related information provided by the Company’s trustees and officers, the Company believes that during the fiscal year ended December 31, 2024, all Section 16(a)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reports were filed on a timely basis, with the exception of one late Form 4 filing for each of Richard Higginbotham, Hurley Doddy, Judy Slotkin and Ronald Tanemura, each due to an administrative error.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 Because we are a private company, we have not adopted a "code of ethics" as defined by Item 406 of Regulation S-K; however, we plan to adopt such a code in connection with an Exchange Listing that may occur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which, among other things, governs the purchase and sale, and/or other disposition of the Company’s securities by all trustees, officers and employees (including temporary employees) of the Company, the Adviser and their respective subsidiaries, and which the Company believes is reasonably designed to promote compliance with insider trading laws, rules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Executive Officers</w:t>
      </w:r>
    </w:p>
    <w:p>
      <w:pPr>
        <w:spacing w:after="0" w:line="11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our Adviser, which is also our Administrator, or its affiliates, pursuant to the terms of the Investment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8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For the avoidance of doubt, the Company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AND TRUSTEE INDEPENDENCE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Trustees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pay each Independent Trustee the following amounts for serving as a trustee:</w:t>
      </w:r>
    </w:p>
    <w:p>
      <w:pPr>
        <w:spacing w:after="0" w:line="225"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5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also reimbursed trustees for certain out-of-pocket expenses each Independent Trustee incurred in connection with the fulfillment of his or her duties as an Independent Trustee.</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Trustees during the fiscal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tbl>
      <w:tblPr>
        <w:tblLayout w:type="fixed"/>
        <w:tblInd w:w="7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7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5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139,500</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156,500</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compensation is paid to our trustees who are “interested persons,” as such term is defined in Section 2(a)(19) of the 1940 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currently do not have a compensation committee of our Board and our Board does not make determinations regarding compensation of executive officers because we do not directly pay any compensation to our executive officers.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5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February 14, 2025, the beneficial ownership of each person known to us to beneficially own 5% or more of the outstanding shares, all of our trustees and named executive officers, individually, and all of our trustees and officers together as a group. Percentage of beneficial ownership is based on 141,664,937 shares outstanding as of February 14, 2025.</w:t>
      </w:r>
    </w:p>
    <w:p>
      <w:pPr>
        <w:spacing w:after="0" w:line="17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To our knowledge, as of February 14, 2025, there were no persons that owned 25% or more of our outstanding voting securities and no person would be deemed to control us, as such term is defined in the 1940 Act.</w:t>
      </w:r>
    </w:p>
    <w:p>
      <w:pPr>
        <w:spacing w:after="0" w:line="16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shares. Ownership information for those persons who beneficially own 5% or more of our shares is based upon Schedule 13D or Schedule 13G filings by such persons with the SEC and other information obtained from such persons, if available.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Such ownership information is as of the date of the applicable filing and may no longer be accurate.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0" w:type="dxa"/>
            <w:vAlign w:val="bottom"/>
            <w:tcBorders>
              <w:bottom w:val="single" w:sz="8" w:color="auto"/>
            </w:tcBorders>
          </w:tcPr>
          <w:p>
            <w:pPr>
              <w:spacing w:after="0"/>
              <w:rPr>
                <w:sz w:val="22"/>
                <w:szCs w:val="22"/>
                <w:color w:val="auto"/>
              </w:rPr>
            </w:pPr>
          </w:p>
        </w:tc>
        <w:tc>
          <w:tcPr>
            <w:tcW w:w="47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Type of Ownership</w:t>
            </w: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0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24"/>
                <w:szCs w:val="24"/>
                <w:b w:val="1"/>
                <w:bCs w:val="1"/>
                <w:color w:val="auto"/>
                <w:vertAlign w:val="superscript"/>
              </w:rPr>
              <w:t>(1)</w:t>
            </w:r>
          </w:p>
        </w:tc>
        <w:tc>
          <w:tcPr>
            <w:tcW w:w="3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Easterly</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71,544</w:t>
            </w:r>
            <w:r>
              <w:rPr>
                <w:rFonts w:ascii="Times New Roman" w:cs="Times New Roman" w:eastAsia="Times New Roman" w:hAnsi="Times New Roman"/>
                <w:sz w:val="24"/>
                <w:szCs w:val="24"/>
                <w:color w:val="auto"/>
                <w:vertAlign w:val="superscript"/>
              </w:rPr>
              <w:t>(2)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Gordon</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12,890</w:t>
            </w:r>
            <w:r>
              <w:rPr>
                <w:rFonts w:ascii="Times New Roman" w:cs="Times New Roman" w:eastAsia="Times New Roman" w:hAnsi="Times New Roman"/>
                <w:sz w:val="24"/>
                <w:szCs w:val="24"/>
                <w:color w:val="auto"/>
                <w:vertAlign w:val="superscript"/>
              </w:rPr>
              <w:t>(3)</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Stiepleman</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27,998</w:t>
            </w:r>
            <w:r>
              <w:rPr>
                <w:rFonts w:ascii="Times New Roman" w:cs="Times New Roman" w:eastAsia="Times New Roman" w:hAnsi="Times New Roman"/>
                <w:sz w:val="24"/>
                <w:szCs w:val="24"/>
                <w:color w:val="auto"/>
                <w:vertAlign w:val="superscript"/>
              </w:rPr>
              <w:t>(4)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24"/>
                <w:szCs w:val="24"/>
                <w:b w:val="1"/>
                <w:bCs w:val="1"/>
                <w:color w:val="auto"/>
                <w:vertAlign w:val="superscript"/>
              </w:rPr>
              <w:t>(1)</w:t>
            </w:r>
          </w:p>
        </w:tc>
        <w:tc>
          <w:tcPr>
            <w:tcW w:w="3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Higginbotham</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Hurley Doddy</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Judy Slotkin</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Tanemura</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Named Executive Officers Who Are Not Trustees</w:t>
            </w:r>
            <w:r>
              <w:rPr>
                <w:rFonts w:ascii="Times New Roman" w:cs="Times New Roman" w:eastAsia="Times New Roman" w:hAnsi="Times New Roman"/>
                <w:sz w:val="24"/>
                <w:szCs w:val="24"/>
                <w:b w:val="1"/>
                <w:bCs w:val="1"/>
                <w:color w:val="auto"/>
                <w:vertAlign w:val="superscript"/>
              </w:rPr>
              <w:t>(1)</w:t>
            </w:r>
          </w:p>
        </w:tc>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Ian Simmonds</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25,780</w:t>
            </w:r>
            <w:r>
              <w:rPr>
                <w:rFonts w:ascii="Times New Roman" w:cs="Times New Roman" w:eastAsia="Times New Roman" w:hAnsi="Times New Roman"/>
                <w:sz w:val="24"/>
                <w:szCs w:val="24"/>
                <w:color w:val="auto"/>
                <w:vertAlign w:val="superscript"/>
              </w:rPr>
              <w:t>(5)</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Graf</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8,591</w:t>
            </w:r>
            <w:r>
              <w:rPr>
                <w:rFonts w:ascii="Times New Roman" w:cs="Times New Roman" w:eastAsia="Times New Roman" w:hAnsi="Times New Roman"/>
                <w:sz w:val="24"/>
                <w:szCs w:val="24"/>
                <w:color w:val="auto"/>
                <w:vertAlign w:val="superscript"/>
              </w:rPr>
              <w:t>(6)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Anton Brett</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State of Michigan Retirement System</w:t>
            </w:r>
            <w:r>
              <w:rPr>
                <w:rFonts w:ascii="Times New Roman" w:cs="Times New Roman" w:eastAsia="Times New Roman" w:hAnsi="Times New Roman"/>
                <w:sz w:val="24"/>
                <w:szCs w:val="24"/>
                <w:color w:val="auto"/>
                <w:vertAlign w:val="superscript"/>
              </w:rPr>
              <w:t>(7)</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11,315,341</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Sixth Street Lending Partners Note Issuer, LLC</w:t>
            </w:r>
            <w:r>
              <w:rPr>
                <w:rFonts w:ascii="Times New Roman" w:cs="Times New Roman" w:eastAsia="Times New Roman" w:hAnsi="Times New Roman"/>
                <w:sz w:val="24"/>
                <w:szCs w:val="24"/>
                <w:color w:val="auto"/>
                <w:vertAlign w:val="superscript"/>
              </w:rPr>
              <w:t>(8)</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10,471,527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50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Flourish Investment Corporation</w:t>
            </w:r>
            <w:r>
              <w:rPr>
                <w:rFonts w:ascii="Times New Roman" w:cs="Times New Roman" w:eastAsia="Times New Roman" w:hAnsi="Times New Roman"/>
                <w:sz w:val="24"/>
                <w:szCs w:val="24"/>
                <w:color w:val="auto"/>
                <w:vertAlign w:val="superscript"/>
              </w:rPr>
              <w:t>(9)</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8,705,567</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The Public Institution for Social Security</w:t>
            </w:r>
            <w:r>
              <w:rPr>
                <w:rFonts w:ascii="Times New Roman" w:cs="Times New Roman" w:eastAsia="Times New Roman" w:hAnsi="Times New Roman"/>
                <w:sz w:val="24"/>
                <w:szCs w:val="24"/>
                <w:color w:val="auto"/>
                <w:vertAlign w:val="superscript"/>
              </w:rPr>
              <w:t>(10)</w:t>
            </w:r>
          </w:p>
        </w:tc>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9,052,270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5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 persons)</w:t>
            </w:r>
          </w:p>
        </w:tc>
        <w:tc>
          <w:tcPr>
            <w:tcW w:w="320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11,102,075</w:t>
            </w:r>
          </w:p>
        </w:tc>
        <w:tc>
          <w:tcPr>
            <w:tcW w:w="1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7.84%</w:t>
            </w: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Represents less than 1%.</w:t>
            </w: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98" w:lineRule="exact"/>
        <w:rPr>
          <w:sz w:val="20"/>
          <w:szCs w:val="20"/>
          <w:color w:val="auto"/>
        </w:rPr>
      </w:pPr>
    </w:p>
    <w:p>
      <w:pPr>
        <w:ind w:left="520" w:right="30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all of the Company’s officers and trustees is c/o Sixth Street Lending Partners, 2100 McKinney Avenue, Suite 1500, Suite 1500, Dallas TX 75201.</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indirectly through entities for which Mr. Easterly has pass through voting power and no dispositive power.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38" w:name="page139"/>
    <w:bookmarkEnd w:id="138"/>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indirectly through entities for which Ms. Gordon has pass through voting power and no dispositive power.</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indirectly through entities for which Mr. Stiepleman has pass through voting power and no dispositive power.</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indirectly through entities for which Mr. Simmonds has pass through voting power and no dispositive power.</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indirectly through an entity for which Mr. Graf has pass through voting power and no dispositive power.</w:t>
      </w:r>
    </w:p>
    <w:p>
      <w:pPr>
        <w:spacing w:after="0" w:line="225" w:lineRule="exact"/>
        <w:rPr>
          <w:rFonts w:ascii="Times New Roman" w:cs="Times New Roman" w:eastAsia="Times New Roman" w:hAnsi="Times New Roman"/>
          <w:sz w:val="18"/>
          <w:szCs w:val="18"/>
          <w:color w:val="auto"/>
        </w:rPr>
      </w:pPr>
    </w:p>
    <w:p>
      <w:pPr>
        <w:jc w:val="both"/>
        <w:ind w:left="520" w:right="40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11,315,341 shares.</w:t>
      </w:r>
    </w:p>
    <w:p>
      <w:pPr>
        <w:spacing w:after="0" w:line="67" w:lineRule="exact"/>
        <w:rPr>
          <w:rFonts w:ascii="Times New Roman" w:cs="Times New Roman" w:eastAsia="Times New Roman" w:hAnsi="Times New Roman"/>
          <w:sz w:val="18"/>
          <w:szCs w:val="18"/>
          <w:color w:val="auto"/>
        </w:rPr>
      </w:pPr>
    </w:p>
    <w:p>
      <w:pPr>
        <w:ind w:left="520" w:right="220" w:hanging="512"/>
        <w:spacing w:after="0" w:line="289" w:lineRule="auto"/>
        <w:tabs>
          <w:tab w:leader="none" w:pos="5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address for Sixth Street Lending Partners Note Issuer, LLC (“Note Issuer”) is 2100 McKinney Avenue, Suite 1500, Dallas, Texas 75201. Information obtained from a Schedule 13D filed by Note Issuer with the SEC, reporting share ownership as of December 17, 2024 . Based on that filing and other information obtained from such person, Note Issuer maintains the sole power to vote or dispose of 10,471,527 shares.</w:t>
      </w:r>
    </w:p>
    <w:p>
      <w:pPr>
        <w:spacing w:after="0" w:line="49" w:lineRule="exact"/>
        <w:rPr>
          <w:rFonts w:ascii="Times New Roman" w:cs="Times New Roman" w:eastAsia="Times New Roman" w:hAnsi="Times New Roman"/>
          <w:sz w:val="17"/>
          <w:szCs w:val="17"/>
          <w:color w:val="auto"/>
        </w:rPr>
      </w:pPr>
    </w:p>
    <w:p>
      <w:pPr>
        <w:ind w:left="520" w:right="120" w:hanging="512"/>
        <w:spacing w:after="0" w:line="261"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Flourish Investment Corporation (“Flourish”) is New Poly Plaza, No.1 Chaoyangmen Beidajie, Dongcheng District, Beijing 100010, People’s Republic of China. Information obtained from a Schedule 13G filed by Flourish with the SEC, reporting share ownership as of December 17, 2024. Based on that filing and other information obtained from such person, Flourish maintains the sole power to vote or dispose of 8,705,567 shares.</w:t>
      </w:r>
    </w:p>
    <w:p>
      <w:pPr>
        <w:spacing w:after="0" w:line="7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The Public Institution for Social Security (“PIFSS”) is AlMurqab, Al-Soor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9,052,270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have any equity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 AND RELATED TRANSACTION, AND TRUSTEE INDEPENDENCE</w:t>
      </w:r>
    </w:p>
    <w:p>
      <w:pPr>
        <w:spacing w:after="0" w:line="225" w:lineRule="exact"/>
        <w:rPr>
          <w:sz w:val="20"/>
          <w:szCs w:val="20"/>
          <w:color w:val="auto"/>
        </w:rPr>
      </w:pPr>
    </w:p>
    <w:p>
      <w:pPr>
        <w:ind w:right="5160"/>
        <w:spacing w:after="0" w:line="440" w:lineRule="auto"/>
        <w:rPr>
          <w:sz w:val="20"/>
          <w:szCs w:val="20"/>
          <w:color w:val="auto"/>
        </w:rPr>
      </w:pPr>
      <w:r>
        <w:rPr>
          <w:rFonts w:ascii="Times New Roman" w:cs="Times New Roman" w:eastAsia="Times New Roman" w:hAnsi="Times New Roman"/>
          <w:sz w:val="18"/>
          <w:szCs w:val="18"/>
          <w:b w:val="1"/>
          <w:bCs w:val="1"/>
          <w:color w:val="auto"/>
        </w:rPr>
        <w:t>(a) Transactions with Related Persons, Promoters and Certain Control Persons Advisory Agreement; Administration Agreement</w:t>
      </w:r>
    </w:p>
    <w:p>
      <w:pPr>
        <w:spacing w:after="0" w:line="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We have entered into the Investment Advisory Agreement with the Adviser pursuant to which we will pay Management Fees and Incentive Fees to the Adviser and the Administration Agreement with the Administrator. In addition, pursuant to the Investment Advisory Agreement and the Administration Agreement, we will reimburse the Adviser and Administrator for certain expenses as they occur. See “</w:t>
      </w:r>
      <w:r>
        <w:rPr>
          <w:rFonts w:ascii="Times New Roman" w:cs="Times New Roman" w:eastAsia="Times New Roman" w:hAnsi="Times New Roman"/>
          <w:sz w:val="18"/>
          <w:szCs w:val="18"/>
          <w:i w:val="1"/>
          <w:iCs w:val="1"/>
          <w:color w:val="auto"/>
        </w:rPr>
        <w:t>ITEM 1. BUSINESS— Management Agreements</w:t>
      </w:r>
      <w:r>
        <w:rPr>
          <w:rFonts w:ascii="Times New Roman" w:cs="Times New Roman" w:eastAsia="Times New Roman" w:hAnsi="Times New Roman"/>
          <w:sz w:val="18"/>
          <w:szCs w:val="18"/>
          <w:color w:val="auto"/>
        </w:rPr>
        <w:t>.” Each of the Investment Advisory Agreement and the Administration Agreement has been approved by the Board of Trustees. Unless earlier terminated, each of the Investment Advisory Agreement and the Administration Agreement will remain in effect for a period of two years from the date it first becomes effective and will remain in effect from year-to-year thereafter if approved annually by a majority of the Board of Trustees, including a majority of Independent Trustees, or by the holders of a majority of our outstanding voting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Adviser has received an exemptive order from the SEC that permits us, among other things, to co-invest with certain other persons, including certain affiliates of the Adviser and certain funds managed and controlled by the Adviser and its affiliates, subject to certain terms and conditions. Pursuant to such order, the Board of Trustees may establish Board Criteria clearly defining co-investment opportunities in which the Company will have the opportunity to participate with one or more Sixth Street managed funds that target similar assets. If an investment falls within the Board Criteria, the Sixth Street must offer an opportunity for the Company to participate. The Company may determine to participate or not to participate, depending on whether the Adviser determines that the investment is appropriate for the Company (e.g., based on investment strategy). If the Adviser determines that such investment is not appropriate for us, the investment will not be allocated to us, but the Adviser will be required to report such investment and the rationale for its determination for us to not participate in the investment to the Board of Trustees at the next quarterly board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9" w:name="page140"/>
    <w:bookmarkEnd w:id="139"/>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Promoters and Certain Control Persons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Adviser may be deemed a promoter of the Company. We have entered into the Investment Advisory Agreement with the Adviser and the Administration Agreement with the Administrator. The Adviser, for its services to us, is entitled to receive management fees and incentive fees in addition to the reimbursement of certain expenses. The Administrator, for its services to us, is entitled to receive reimbursement of certain expenses. In addition, under the Investment Advisory Agreement and Administration Agreement, to the extent permitted by applicable law and in the discretion of our Board, we have indemnified the Adviser and the Administrator and certain of their affiliates.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Board conducts quarterly reviews of any potential related party transactions brought to its attention and, during these reviews, it will consider any conflicts of interest brought to its attention pursuant to the Company’s compliance policies and procedures. Each of the Company’s trustees and officers is subject to the Company’s Code of Ethics, which places restrictions on related party transactions, and is instructed and periodically reminded to inform the Company’s Chief Compliance Officer or her designee of any potential related party transactions. In addition, each such trustee and executive officer completes a questionnaire on an annual basis designed to elicit information about any potential related party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Independence</w:t>
      </w:r>
    </w:p>
    <w:p>
      <w:pPr>
        <w:spacing w:after="0" w:line="119" w:lineRule="exact"/>
        <w:rPr>
          <w:sz w:val="20"/>
          <w:szCs w:val="20"/>
          <w:color w:val="auto"/>
        </w:rPr>
      </w:pPr>
    </w:p>
    <w:p>
      <w:pPr>
        <w:jc w:val="both"/>
        <w:ind w:right="20" w:firstLine="255"/>
        <w:spacing w:after="0" w:line="284" w:lineRule="auto"/>
        <w:rPr>
          <w:sz w:val="20"/>
          <w:szCs w:val="20"/>
          <w:color w:val="auto"/>
        </w:rPr>
      </w:pPr>
      <w:r>
        <w:rPr>
          <w:rFonts w:ascii="Times New Roman" w:cs="Times New Roman" w:eastAsia="Times New Roman" w:hAnsi="Times New Roman"/>
          <w:sz w:val="18"/>
          <w:szCs w:val="18"/>
          <w:color w:val="auto"/>
        </w:rPr>
        <w:t>For information regarding the independence of our trustees, see “</w:t>
      </w:r>
      <w:r>
        <w:rPr>
          <w:rFonts w:ascii="Times New Roman" w:cs="Times New Roman" w:eastAsia="Times New Roman" w:hAnsi="Times New Roman"/>
          <w:sz w:val="18"/>
          <w:szCs w:val="18"/>
          <w:i w:val="1"/>
          <w:iCs w:val="1"/>
          <w:color w:val="auto"/>
        </w:rPr>
        <w:t>ITEM 10. TRUSTEES, EXECUTIVE OFFICERS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audit committee and the independent trustees of our Board have selected KPMG LLP to serve as the independent registered public accounting firm for Company for the fiscal year ending December 31, 2024.</w:t>
      </w:r>
    </w:p>
    <w:p>
      <w:pPr>
        <w:spacing w:after="0" w:line="54"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KPMG LLP has advised us that neither the firm nor any present member or associate of it has any material financial interest, direct or indirect, in us or our affiliates.</w:t>
      </w:r>
    </w:p>
    <w:p>
      <w:pPr>
        <w:spacing w:after="0" w:line="50"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w:t>
            </w:r>
          </w:p>
        </w:tc>
      </w:tr>
      <w:tr>
        <w:trPr>
          <w:trHeight w:val="259"/>
        </w:trPr>
        <w:tc>
          <w:tcPr>
            <w:tcW w:w="4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2"/>
                <w:szCs w:val="22"/>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514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514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jc w:val="both"/>
        <w:ind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consolidated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of the consolidated financial statements filed with the SEC on Forms 10-K and 10-Q.</w:t>
      </w:r>
    </w:p>
    <w:p>
      <w:pPr>
        <w:spacing w:after="0" w:line="5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Audit-related services consist of fees billed for assurance and related services that are reasonably related to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or review of our financial statements and are not reported under “Audit Fees”. These services include, among other things, providing comfort letters, consents and review of documents filed with the SEC, as well as attest services that are not required by statute or regulation and consultations concerning financial accounting and reporting standards.</w:t>
      </w:r>
    </w:p>
    <w:p>
      <w:pPr>
        <w:spacing w:after="0" w:line="72" w:lineRule="exact"/>
        <w:rPr>
          <w:sz w:val="20"/>
          <w:szCs w:val="20"/>
          <w:color w:val="auto"/>
        </w:rPr>
      </w:pPr>
    </w:p>
    <w:p>
      <w:pPr>
        <w:jc w:val="both"/>
        <w:ind w:right="2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Tax Services Fees</w:t>
      </w:r>
      <w:r>
        <w:rPr>
          <w:rFonts w:ascii="Times New Roman" w:cs="Times New Roman" w:eastAsia="Times New Roman" w:hAnsi="Times New Roman"/>
          <w:sz w:val="18"/>
          <w:szCs w:val="18"/>
          <w:color w:val="auto"/>
        </w:rPr>
        <w:t>: Tax services fees consist of fees billed for professional tax services. These services also include assistance regarding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local tax compliance.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Other fees would include fees for products and services other than the services reported above.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Audit Committee of our Board operates under a written charter adopted by the Board. The Audit Committee is currently composed of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Doddy, Higginbotham and Tanemura and Ms. Slotkin.</w:t>
      </w:r>
    </w:p>
    <w:p>
      <w:pPr>
        <w:spacing w:after="0" w:line="9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to monitor and oversee these processes. The Audit Committee is also directly responsible for the appointment, compensation and oversight of the Company’s independent registered public accounting firm.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6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75"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Audit Committee also recommended the selection of KPMG LLP to serve as the independent registered public accounting firm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1" w:name="page142"/>
    <w:bookmarkEnd w:id="141"/>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820" w:right="280" w:hanging="512"/>
        <w:spacing w:after="0" w:line="282" w:lineRule="auto"/>
        <w:tabs>
          <w:tab w:leader="none" w:pos="8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Statements—Financial statements are included in Item 8. See the Index to the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820" w:right="200" w:hanging="512"/>
        <w:spacing w:after="0" w:line="266" w:lineRule="auto"/>
        <w:tabs>
          <w:tab w:leader="none" w:pos="8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820" w:hanging="512"/>
        <w:spacing w:after="0"/>
        <w:tabs>
          <w:tab w:leader="none" w:pos="8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following is a list of all exhibits filed as a part of this annual report on Form 10-K, including those incorporated by reference.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9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Second Amended and Restated Declaration of Trust (incorporated by reference to Exhibit 3.1 to the Company’s Registration Statement</w:t>
              </w:r>
            </w:hyperlink>
          </w:p>
        </w:tc>
        <w:tc>
          <w:tcPr>
            <w:tcW w:w="2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on Form 10 filed on August 22,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33">
              <w:r>
                <w:rPr>
                  <w:rFonts w:ascii="Times New Roman" w:cs="Times New Roman" w:eastAsia="Times New Roman" w:hAnsi="Times New Roman"/>
                  <w:sz w:val="18"/>
                  <w:szCs w:val="18"/>
                  <w:color w:val="0000FF"/>
                  <w:w w:val="99"/>
                </w:rPr>
                <w:t>Bylaws (incorporated by reference to Exhibit 3.2 to the Company’s Registration Statement on Form 10 filed on June 28, 2022)</w:t>
              </w:r>
            </w:hyperlink>
          </w:p>
        </w:tc>
        <w:tc>
          <w:tcPr>
            <w:tcW w:w="20" w:type="dxa"/>
            <w:vAlign w:val="bottom"/>
            <w:tcBorders>
              <w:bottom w:val="single" w:sz="8" w:color="0000EE"/>
            </w:tcBorders>
          </w:tcPr>
          <w:p>
            <w:pPr>
              <w:spacing w:after="0"/>
              <w:rPr>
                <w:sz w:val="24"/>
                <w:szCs w:val="24"/>
                <w:color w:val="auto"/>
              </w:rPr>
            </w:pPr>
          </w:p>
        </w:tc>
        <w:tc>
          <w:tcPr>
            <w:tcW w:w="840" w:type="dxa"/>
            <w:vAlign w:val="bottom"/>
            <w:gridSpan w:val="13"/>
          </w:tcPr>
          <w:p>
            <w:pPr>
              <w:spacing w:after="0"/>
              <w:rPr>
                <w:sz w:val="24"/>
                <w:szCs w:val="24"/>
                <w:color w:val="auto"/>
              </w:rPr>
            </w:pPr>
          </w:p>
        </w:tc>
      </w:tr>
      <w:tr>
        <w:trPr>
          <w:trHeight w:val="601"/>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99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Form of Subscription Agreement (incorporated by reference to Exhibit 4.1 to the Company’s Registration Statement on Form 10 filed on</w:t>
              </w:r>
            </w:hyperlink>
          </w:p>
        </w:tc>
        <w:tc>
          <w:tcPr>
            <w:tcW w:w="8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June 28,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98"/>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30"/>
          </w:tcPr>
          <w:p>
            <w:pPr>
              <w:spacing w:after="0"/>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Description of Securities (incorporated by reference to Exhibit 4.2 to the Company's Annual Report on Form 10-K filed on February 16,</w:t>
              </w:r>
            </w:hyperlink>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35">
              <w:r>
                <w:rPr>
                  <w:rFonts w:ascii="Times New Roman" w:cs="Times New Roman" w:eastAsia="Times New Roman" w:hAnsi="Times New Roman"/>
                  <w:sz w:val="18"/>
                  <w:szCs w:val="18"/>
                  <w:color w:val="0000FF"/>
                  <w:w w:val="95"/>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8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9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Indenture, dated as of March 11, 2024, between Sixth Street Lending Partners and U.S. Bank Trust Company, National Association, as</w:t>
              </w:r>
            </w:hyperlink>
          </w:p>
        </w:tc>
        <w:tc>
          <w:tcPr>
            <w:tcW w:w="2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636">
              <w:r>
                <w:rPr>
                  <w:rFonts w:ascii="Times New Roman" w:cs="Times New Roman" w:eastAsia="Times New Roman" w:hAnsi="Times New Roman"/>
                  <w:sz w:val="18"/>
                  <w:szCs w:val="18"/>
                  <w:color w:val="0000FF"/>
                  <w:w w:val="99"/>
                </w:rPr>
                <w:t>Trustee (incorporated by reference to Exhibit 4.1 to the Company’s Current Report on Form 8-K, filed on March 15, 2024)</w:t>
              </w:r>
            </w:hyperlink>
          </w:p>
        </w:tc>
        <w:tc>
          <w:tcPr>
            <w:tcW w:w="20" w:type="dxa"/>
            <w:vAlign w:val="bottom"/>
            <w:tcBorders>
              <w:bottom w:val="single" w:sz="8" w:color="0000EE"/>
            </w:tcBorders>
          </w:tcPr>
          <w:p>
            <w:pPr>
              <w:spacing w:after="0"/>
              <w:rPr>
                <w:sz w:val="17"/>
                <w:szCs w:val="17"/>
                <w:color w:val="auto"/>
              </w:rPr>
            </w:pPr>
          </w:p>
        </w:tc>
        <w:tc>
          <w:tcPr>
            <w:tcW w:w="1120" w:type="dxa"/>
            <w:vAlign w:val="bottom"/>
            <w:gridSpan w:val="15"/>
          </w:tcPr>
          <w:p>
            <w:pPr>
              <w:spacing w:after="0"/>
              <w:rPr>
                <w:sz w:val="17"/>
                <w:szCs w:val="17"/>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93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First Supplemental Indenture, dated as of March 11, 2024, between Sixth Street Lending Partners and U.S. Bank Trust Company,</w:t>
              </w:r>
            </w:hyperlink>
          </w:p>
        </w:tc>
        <w:tc>
          <w:tcPr>
            <w:tcW w:w="62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National Association, as Trustee (incorporated by reference to Exhibit 4.2 to the Company’s Current Report on Form 8-K, filed on</w:t>
              </w:r>
            </w:hyperlink>
          </w:p>
        </w:tc>
        <w:tc>
          <w:tcPr>
            <w:tcW w:w="54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March 15, 2024)</w:t>
              </w:r>
            </w:hyperlink>
          </w:p>
        </w:tc>
      </w:tr>
      <w:tr>
        <w:trPr>
          <w:trHeight w:val="20"/>
        </w:trPr>
        <w:tc>
          <w:tcPr>
            <w:tcW w:w="12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9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Form of 6.500% Notes Due 2029 (included in Exhibit 4.2 to the Company’s Current Report on Form 8-K, filed on March 15, 2024 and</w:t>
              </w:r>
            </w:hyperlink>
          </w:p>
        </w:tc>
        <w:tc>
          <w:tcPr>
            <w:tcW w:w="2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37">
              <w:r>
                <w:rPr>
                  <w:rFonts w:ascii="Times New Roman" w:cs="Times New Roman" w:eastAsia="Times New Roman" w:hAnsi="Times New Roman"/>
                  <w:sz w:val="18"/>
                  <w:szCs w:val="18"/>
                  <w:color w:val="0000FF"/>
                  <w:w w:val="99"/>
                </w:rPr>
                <w:t>incorporated by reference)</w:t>
              </w:r>
            </w:hyperlink>
          </w:p>
        </w:tc>
        <w:tc>
          <w:tcPr>
            <w:tcW w:w="20" w:type="dxa"/>
            <w:vAlign w:val="bottom"/>
            <w:tcBorders>
              <w:bottom w:val="single" w:sz="8" w:color="0000EE"/>
            </w:tcBorders>
          </w:tcPr>
          <w:p>
            <w:pPr>
              <w:spacing w:after="0"/>
              <w:rPr>
                <w:sz w:val="17"/>
                <w:szCs w:val="17"/>
                <w:color w:val="auto"/>
              </w:rPr>
            </w:pPr>
          </w:p>
        </w:tc>
        <w:tc>
          <w:tcPr>
            <w:tcW w:w="8060" w:type="dxa"/>
            <w:vAlign w:val="bottom"/>
            <w:gridSpan w:val="21"/>
          </w:tcPr>
          <w:p>
            <w:pPr>
              <w:spacing w:after="0"/>
              <w:rPr>
                <w:sz w:val="17"/>
                <w:szCs w:val="17"/>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99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Registration Rights Agreement, dated as of March 11, 2024, relating to the 6.500% Notes Due 2029, by and among Sixth Street Lending</w:t>
              </w:r>
            </w:hyperlink>
          </w:p>
        </w:tc>
        <w:tc>
          <w:tcPr>
            <w:tcW w:w="10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Partners and BofA Securities, Inc. as representative of the initial purchasers (incorporated by reference to Exhibit 4.4 to the Company’s</w:t>
              </w:r>
            </w:hyperlink>
          </w:p>
        </w:tc>
        <w:tc>
          <w:tcPr>
            <w:tcW w:w="2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Current Report on Form 8-K, filed on March 15, 2024)</w:t>
              </w:r>
            </w:hyperlink>
          </w:p>
        </w:tc>
      </w:tr>
      <w:tr>
        <w:trPr>
          <w:trHeight w:val="20"/>
        </w:trPr>
        <w:tc>
          <w:tcPr>
            <w:tcW w:w="12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9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Second Supplemental Indenture, dated as of June 17, 2024, between Sixth Street Lending Partners and U.S. Bank Trust Company,</w:t>
              </w:r>
            </w:hyperlink>
          </w:p>
        </w:tc>
        <w:tc>
          <w:tcPr>
            <w:tcW w:w="56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National Association, as Trustee (incorporated by reference to Exhibit 4.3 to the Company’s Current Report on Form 8-K, filed on June</w:t>
              </w:r>
            </w:hyperlink>
          </w:p>
        </w:tc>
      </w:tr>
      <w:tr>
        <w:trPr>
          <w:trHeight w:val="196"/>
        </w:trPr>
        <w:tc>
          <w:tcPr>
            <w:tcW w:w="124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39">
              <w:r>
                <w:rPr>
                  <w:rFonts w:ascii="Times New Roman" w:cs="Times New Roman" w:eastAsia="Times New Roman" w:hAnsi="Times New Roman"/>
                  <w:sz w:val="18"/>
                  <w:szCs w:val="18"/>
                  <w:color w:val="0000FF"/>
                  <w:w w:val="98"/>
                </w:rPr>
                <w:t>17, 2024)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8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97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Registration Rights Agreement, dated as of June 17, 2024, relating to the 6.500% Notes Due 2029, by and among Sixth Street Lending</w:t>
              </w:r>
            </w:hyperlink>
          </w:p>
        </w:tc>
        <w:tc>
          <w:tcPr>
            <w:tcW w:w="24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Partners and BofA Securities, Inc. as representative of the initial purchasers (incorporated by reference to Exhibit 4.5 to the Company’s</w:t>
              </w:r>
            </w:hyperlink>
          </w:p>
        </w:tc>
        <w:tc>
          <w:tcPr>
            <w:tcW w:w="2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Current Report on Form 8-K, filed on June 17, 2024)</w:t>
              </w:r>
            </w:hyperlink>
          </w:p>
        </w:tc>
      </w:tr>
      <w:tr>
        <w:trPr>
          <w:trHeight w:val="20"/>
        </w:trPr>
        <w:tc>
          <w:tcPr>
            <w:tcW w:w="1240" w:type="dxa"/>
            <w:vAlign w:val="bottom"/>
          </w:tcPr>
          <w:p>
            <w:pPr>
              <w:spacing w:after="0" w:line="20" w:lineRule="exact"/>
              <w:rPr>
                <w:sz w:val="1"/>
                <w:szCs w:val="1"/>
                <w:color w:val="auto"/>
              </w:rPr>
            </w:pPr>
          </w:p>
        </w:tc>
        <w:tc>
          <w:tcPr>
            <w:tcW w:w="1520" w:type="dxa"/>
            <w:vAlign w:val="bottom"/>
            <w:tcBorders>
              <w:right w:val="single" w:sz="8" w:color="0000FF"/>
            </w:tcBorders>
            <w:gridSpan w:val="7"/>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9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Third Supplemental Indenture, dated as of September 16, 2024, between Sixth Street Lending Partners and U.S. Bank Trust Company,</w:t>
              </w:r>
            </w:hyperlink>
          </w:p>
        </w:tc>
        <w:tc>
          <w:tcPr>
            <w:tcW w:w="26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National Association, as Trustee (incorporated by reference to Exhibit 4.2 to the Company’s Current Report on Form 8-K, filed on</w:t>
              </w:r>
            </w:hyperlink>
          </w:p>
        </w:tc>
        <w:tc>
          <w:tcPr>
            <w:tcW w:w="54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0"/>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September 20, 2024)</w:t>
              </w:r>
            </w:hyperlink>
          </w:p>
        </w:tc>
      </w:tr>
      <w:tr>
        <w:trPr>
          <w:trHeight w:val="20"/>
        </w:trPr>
        <w:tc>
          <w:tcPr>
            <w:tcW w:w="1240" w:type="dxa"/>
            <w:vAlign w:val="bottom"/>
          </w:tcPr>
          <w:p>
            <w:pPr>
              <w:spacing w:after="0" w:line="20" w:lineRule="exact"/>
              <w:rPr>
                <w:sz w:val="1"/>
                <w:szCs w:val="1"/>
                <w:color w:val="auto"/>
              </w:rPr>
            </w:pPr>
          </w:p>
        </w:tc>
        <w:tc>
          <w:tcPr>
            <w:tcW w:w="1520" w:type="dxa"/>
            <w:vAlign w:val="bottom"/>
            <w:tcBorders>
              <w:right w:val="single" w:sz="8" w:color="0000EE"/>
            </w:tcBorders>
            <w:gridSpan w:val="7"/>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9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Form of 5.750% Note Due 2030 (included in Exhibit 4.2 to the Company’s Current Report on Form 8-K, filed on September 20, 2024</w:t>
              </w:r>
            </w:hyperlink>
          </w:p>
        </w:tc>
        <w:tc>
          <w:tcPr>
            <w:tcW w:w="30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41">
              <w:r>
                <w:rPr>
                  <w:rFonts w:ascii="Times New Roman" w:cs="Times New Roman" w:eastAsia="Times New Roman" w:hAnsi="Times New Roman"/>
                  <w:sz w:val="18"/>
                  <w:szCs w:val="18"/>
                  <w:color w:val="0000FF"/>
                  <w:w w:val="99"/>
                </w:rPr>
                <w:t>and incorporated by reference)</w:t>
              </w:r>
            </w:hyperlink>
          </w:p>
        </w:tc>
        <w:tc>
          <w:tcPr>
            <w:tcW w:w="7780" w:type="dxa"/>
            <w:vAlign w:val="bottom"/>
            <w:gridSpan w:val="20"/>
          </w:tcPr>
          <w:p>
            <w:pPr>
              <w:spacing w:after="0"/>
              <w:rPr>
                <w:sz w:val="17"/>
                <w:szCs w:val="17"/>
                <w:color w:val="auto"/>
              </w:rPr>
            </w:pPr>
          </w:p>
        </w:tc>
      </w:tr>
      <w:tr>
        <w:trPr>
          <w:trHeight w:val="668"/>
        </w:trPr>
        <w:tc>
          <w:tcPr>
            <w:tcW w:w="1240" w:type="dxa"/>
            <w:vAlign w:val="bottom"/>
          </w:tcPr>
          <w:p>
            <w:pPr>
              <w:spacing w:after="0"/>
              <w:rPr>
                <w:sz w:val="24"/>
                <w:szCs w:val="24"/>
                <w:color w:val="auto"/>
              </w:rPr>
            </w:pPr>
          </w:p>
        </w:tc>
        <w:tc>
          <w:tcPr>
            <w:tcW w:w="886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2" w:name="page143"/>
    <w:bookmarkEnd w:id="142"/>
    <w:tbl>
      <w:tblPr>
        <w:tblLayout w:type="fixed"/>
        <w:tblInd w:w="8" w:type="dxa"/>
        <w:tblCellMar>
          <w:top w:w="0" w:type="dxa"/>
          <w:left w:w="0" w:type="dxa"/>
          <w:bottom w:w="0" w:type="dxa"/>
          <w:right w:w="0" w:type="dxa"/>
        </w:tblCellMar>
      </w:tblPr>
      <w:tr>
        <w:trPr>
          <w:trHeight w:val="207"/>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4.11</w:t>
            </w:r>
          </w:p>
        </w:tc>
        <w:tc>
          <w:tcPr>
            <w:tcW w:w="9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Registration Rights Agreement, dated as of September 16, 2024, relating to the Notes, by and among Sixth Street Lending Partners and</w:t>
              </w:r>
            </w:hyperlink>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4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BofA Securities, Inc. as representative of the initial purchasers (incorporated by reference to Exhibit 4.4 to the Company’s Current</w:t>
              </w:r>
            </w:hyperlink>
          </w:p>
        </w:tc>
        <w:tc>
          <w:tcPr>
            <w:tcW w:w="44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644">
              <w:r>
                <w:rPr>
                  <w:rFonts w:ascii="Times New Roman" w:cs="Times New Roman" w:eastAsia="Times New Roman" w:hAnsi="Times New Roman"/>
                  <w:sz w:val="18"/>
                  <w:szCs w:val="18"/>
                  <w:color w:val="0000FF"/>
                  <w:w w:val="99"/>
                </w:rPr>
                <w:t>Report on Form 8-K, filed on September 20, 2024)</w:t>
              </w:r>
            </w:hyperlink>
          </w:p>
        </w:tc>
        <w:tc>
          <w:tcPr>
            <w:tcW w:w="6220" w:type="dxa"/>
            <w:vAlign w:val="bottom"/>
            <w:gridSpan w:val="7"/>
          </w:tcPr>
          <w:p>
            <w:pPr>
              <w:spacing w:after="0"/>
              <w:rPr>
                <w:sz w:val="17"/>
                <w:szCs w:val="17"/>
                <w:color w:val="auto"/>
              </w:rPr>
            </w:pPr>
          </w:p>
        </w:tc>
      </w:tr>
      <w:tr>
        <w:trPr>
          <w:trHeight w:val="41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10.1</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Advisory Agreement (incorporated by reference to Exhibit 10.1 to the Company’s Registration Statement on Form 10 filed on June 28,</w:t>
              </w:r>
            </w:hyperlink>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45">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8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8"/>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10.2</w:t>
            </w:r>
          </w:p>
        </w:tc>
        <w:tc>
          <w:tcPr>
            <w:tcW w:w="99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46">
              <w:r>
                <w:rPr>
                  <w:rFonts w:ascii="Times New Roman" w:cs="Times New Roman" w:eastAsia="Times New Roman" w:hAnsi="Times New Roman"/>
                  <w:sz w:val="18"/>
                  <w:szCs w:val="18"/>
                  <w:color w:val="0000FF"/>
                  <w:w w:val="99"/>
                </w:rPr>
                <w:t>Administration Agreement (incorporated by reference to Exhibit 10.2 to the Company’s Registration Statement on Form 10 filed on June</w:t>
              </w:r>
            </w:hyperlink>
          </w:p>
        </w:tc>
      </w:tr>
      <w:tr>
        <w:trPr>
          <w:trHeight w:val="196"/>
        </w:trPr>
        <w:tc>
          <w:tcPr>
            <w:tcW w:w="112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46">
              <w:r>
                <w:rPr>
                  <w:rFonts w:ascii="Times New Roman" w:cs="Times New Roman" w:eastAsia="Times New Roman" w:hAnsi="Times New Roman"/>
                  <w:sz w:val="18"/>
                  <w:szCs w:val="18"/>
                  <w:color w:val="0000FF"/>
                  <w:w w:val="98"/>
                </w:rPr>
                <w:t>28, 2022)</w:t>
              </w:r>
            </w:hyperlink>
          </w:p>
        </w:tc>
        <w:tc>
          <w:tcPr>
            <w:tcW w:w="2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5"/>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10.3</w:t>
            </w:r>
          </w:p>
        </w:tc>
        <w:tc>
          <w:tcPr>
            <w:tcW w:w="99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47">
              <w:r>
                <w:rPr>
                  <w:rFonts w:ascii="Times New Roman" w:cs="Times New Roman" w:eastAsia="Times New Roman" w:hAnsi="Times New Roman"/>
                  <w:sz w:val="18"/>
                  <w:szCs w:val="18"/>
                  <w:color w:val="0000FF"/>
                  <w:w w:val="99"/>
                </w:rPr>
                <w:t>Trademark and License Agreement (incorporated by reference to Exhibit 10.3 to the Company’s Registration Statement on Form 10 filed</w:t>
              </w:r>
            </w:hyperlink>
          </w:p>
        </w:tc>
      </w:tr>
      <w:tr>
        <w:trPr>
          <w:trHeight w:val="196"/>
        </w:trPr>
        <w:tc>
          <w:tcPr>
            <w:tcW w:w="1120" w:type="dxa"/>
            <w:vAlign w:val="bottom"/>
          </w:tcPr>
          <w:p>
            <w:pPr>
              <w:spacing w:after="0"/>
              <w:rPr>
                <w:sz w:val="17"/>
                <w:szCs w:val="17"/>
                <w:color w:val="auto"/>
              </w:rPr>
            </w:pPr>
          </w:p>
        </w:tc>
        <w:tc>
          <w:tcPr>
            <w:tcW w:w="13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647">
              <w:r>
                <w:rPr>
                  <w:rFonts w:ascii="Times New Roman" w:cs="Times New Roman" w:eastAsia="Times New Roman" w:hAnsi="Times New Roman"/>
                  <w:sz w:val="18"/>
                  <w:szCs w:val="18"/>
                  <w:color w:val="0000FF"/>
                  <w:w w:val="99"/>
                </w:rPr>
                <w:t>on June 28, 2022)</w:t>
              </w:r>
            </w:hyperlink>
          </w:p>
        </w:tc>
        <w:tc>
          <w:tcPr>
            <w:tcW w:w="20" w:type="dxa"/>
            <w:vAlign w:val="bottom"/>
            <w:tcBorders>
              <w:bottom w:val="single" w:sz="8" w:color="0000EE"/>
            </w:tcBorders>
          </w:tcPr>
          <w:p>
            <w:pPr>
              <w:spacing w:after="0"/>
              <w:rPr>
                <w:sz w:val="17"/>
                <w:szCs w:val="17"/>
                <w:color w:val="auto"/>
              </w:rPr>
            </w:pPr>
          </w:p>
        </w:tc>
        <w:tc>
          <w:tcPr>
            <w:tcW w:w="8580" w:type="dxa"/>
            <w:vAlign w:val="bottom"/>
            <w:gridSpan w:val="10"/>
          </w:tcPr>
          <w:p>
            <w:pPr>
              <w:spacing w:after="0"/>
              <w:rPr>
                <w:sz w:val="17"/>
                <w:szCs w:val="17"/>
                <w:color w:val="auto"/>
              </w:rPr>
            </w:pPr>
          </w:p>
        </w:tc>
      </w:tr>
      <w:tr>
        <w:trPr>
          <w:trHeight w:val="399"/>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10.4</w:t>
            </w:r>
          </w:p>
        </w:tc>
        <w:tc>
          <w:tcPr>
            <w:tcW w:w="9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Dividend Reinvestment Plan (incorporated by reference to Exhibit 10.4 to the Company’s Registration Statement on Form 10 filed on</w:t>
              </w:r>
            </w:hyperlink>
          </w:p>
        </w:tc>
        <w:tc>
          <w:tcPr>
            <w:tcW w:w="2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June 28, 2022)</w:t>
              </w:r>
            </w:hyperlink>
          </w:p>
        </w:tc>
      </w:tr>
      <w:tr>
        <w:trPr>
          <w:trHeight w:val="20"/>
        </w:trPr>
        <w:tc>
          <w:tcPr>
            <w:tcW w:w="1120" w:type="dxa"/>
            <w:vAlign w:val="bottom"/>
          </w:tcPr>
          <w:p>
            <w:pPr>
              <w:spacing w:after="0" w:line="20" w:lineRule="exact"/>
              <w:rPr>
                <w:sz w:val="1"/>
                <w:szCs w:val="1"/>
                <w:color w:val="auto"/>
              </w:rPr>
            </w:pPr>
          </w:p>
        </w:tc>
        <w:tc>
          <w:tcPr>
            <w:tcW w:w="108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10.5</w:t>
            </w:r>
          </w:p>
        </w:tc>
        <w:tc>
          <w:tcPr>
            <w:tcW w:w="98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Expense Support and Conditional Reimbursement Agreement (incorporated by reference to Exhibit 10.5 to the Company’s Registration</w:t>
              </w:r>
            </w:hyperlink>
          </w:p>
        </w:tc>
        <w:tc>
          <w:tcPr>
            <w:tcW w:w="8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649">
              <w:r>
                <w:rPr>
                  <w:rFonts w:ascii="Times New Roman" w:cs="Times New Roman" w:eastAsia="Times New Roman" w:hAnsi="Times New Roman"/>
                  <w:sz w:val="18"/>
                  <w:szCs w:val="18"/>
                  <w:color w:val="0000FF"/>
                  <w:w w:val="99"/>
                </w:rPr>
                <w:t>Statement on Form 10 filed on June 28, 2022)</w:t>
              </w:r>
            </w:hyperlink>
          </w:p>
        </w:tc>
        <w:tc>
          <w:tcPr>
            <w:tcW w:w="20" w:type="dxa"/>
            <w:vAlign w:val="bottom"/>
            <w:tcBorders>
              <w:bottom w:val="single" w:sz="8" w:color="0000EE"/>
            </w:tcBorders>
          </w:tcPr>
          <w:p>
            <w:pPr>
              <w:spacing w:after="0"/>
              <w:rPr>
                <w:sz w:val="17"/>
                <w:szCs w:val="17"/>
                <w:color w:val="auto"/>
              </w:rPr>
            </w:pPr>
          </w:p>
        </w:tc>
        <w:tc>
          <w:tcPr>
            <w:tcW w:w="6560" w:type="dxa"/>
            <w:vAlign w:val="bottom"/>
            <w:gridSpan w:val="8"/>
          </w:tcPr>
          <w:p>
            <w:pPr>
              <w:spacing w:after="0"/>
              <w:rPr>
                <w:sz w:val="17"/>
                <w:szCs w:val="17"/>
                <w:color w:val="auto"/>
              </w:rPr>
            </w:pPr>
          </w:p>
        </w:tc>
      </w:tr>
      <w:tr>
        <w:trPr>
          <w:trHeight w:val="601"/>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10.6</w:t>
            </w:r>
          </w:p>
        </w:tc>
        <w:tc>
          <w:tcPr>
            <w:tcW w:w="9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650">
              <w:r>
                <w:rPr>
                  <w:rFonts w:ascii="Times New Roman" w:cs="Times New Roman" w:eastAsia="Times New Roman" w:hAnsi="Times New Roman"/>
                  <w:sz w:val="18"/>
                  <w:szCs w:val="18"/>
                  <w:color w:val="0000FF"/>
                </w:rPr>
                <w:t>Fund of Funds Agreement (incorporated by reference to Exhibit 10.6 to the Company’s Registration Statement on Form 10 filed on</w:t>
              </w:r>
            </w:hyperlink>
          </w:p>
        </w:tc>
        <w:tc>
          <w:tcPr>
            <w:tcW w:w="38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650">
              <w:r>
                <w:rPr>
                  <w:rFonts w:ascii="Times New Roman" w:cs="Times New Roman" w:eastAsia="Times New Roman" w:hAnsi="Times New Roman"/>
                  <w:sz w:val="18"/>
                  <w:szCs w:val="18"/>
                  <w:color w:val="0000FF"/>
                  <w:w w:val="98"/>
                </w:rPr>
                <w:t>August 22, 2022)</w:t>
              </w:r>
            </w:hyperlink>
          </w:p>
        </w:tc>
        <w:tc>
          <w:tcPr>
            <w:tcW w:w="8640" w:type="dxa"/>
            <w:vAlign w:val="bottom"/>
            <w:gridSpan w:val="12"/>
          </w:tcPr>
          <w:p>
            <w:pPr>
              <w:spacing w:after="0"/>
              <w:rPr>
                <w:sz w:val="17"/>
                <w:szCs w:val="17"/>
                <w:color w:val="auto"/>
              </w:rPr>
            </w:pPr>
          </w:p>
        </w:tc>
      </w:tr>
      <w:tr>
        <w:trPr>
          <w:trHeight w:val="385"/>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10.7</w:t>
            </w:r>
          </w:p>
        </w:tc>
        <w:tc>
          <w:tcPr>
            <w:tcW w:w="9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51">
              <w:r>
                <w:rPr>
                  <w:rFonts w:ascii="Times New Roman" w:cs="Times New Roman" w:eastAsia="Times New Roman" w:hAnsi="Times New Roman"/>
                  <w:sz w:val="18"/>
                  <w:szCs w:val="18"/>
                  <w:color w:val="0000FF"/>
                </w:rPr>
                <w:t>Revolving Credit Agreement, dated as of September 1, 2022, by and among Sixth Street Lending Partners and Wells Fargo Bank, N.A.</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651">
              <w:r>
                <w:rPr>
                  <w:rFonts w:ascii="Times New Roman" w:cs="Times New Roman" w:eastAsia="Times New Roman" w:hAnsi="Times New Roman"/>
                  <w:sz w:val="18"/>
                  <w:szCs w:val="18"/>
                  <w:color w:val="0000FF"/>
                </w:rPr>
                <w:t>(incorporated by reference to Exhibit 10.1 to the Company’s Current Report on Form 8-K filed on September 6, 2022)</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4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652">
              <w:r>
                <w:rPr>
                  <w:rFonts w:ascii="Times New Roman" w:cs="Times New Roman" w:eastAsia="Times New Roman" w:hAnsi="Times New Roman"/>
                  <w:sz w:val="18"/>
                  <w:szCs w:val="18"/>
                  <w:color w:val="0000FF"/>
                </w:rPr>
                <w:t>Lender Joinder and First Amendment to Revolving Credit Agreement, dated as of December 21, 2022, by and among Sixth Street</w:t>
              </w:r>
            </w:hyperlink>
          </w:p>
        </w:tc>
        <w:tc>
          <w:tcPr>
            <w:tcW w:w="500" w:type="dxa"/>
            <w:vAlign w:val="bottom"/>
            <w:gridSpan w:val="7"/>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652">
              <w:r>
                <w:rPr>
                  <w:rFonts w:ascii="Times New Roman" w:cs="Times New Roman" w:eastAsia="Times New Roman" w:hAnsi="Times New Roman"/>
                  <w:sz w:val="18"/>
                  <w:szCs w:val="18"/>
                  <w:color w:val="0000FF"/>
                </w:rPr>
                <w:t>Lending Partners and Wells Fargo Bank, N.A. (incorporated by reference to Exhibit 10.1 to the Company’s Current Report on Form 8-K</w:t>
              </w:r>
            </w:hyperlink>
          </w:p>
        </w:tc>
      </w:tr>
      <w:tr>
        <w:trPr>
          <w:trHeight w:val="196"/>
        </w:trPr>
        <w:tc>
          <w:tcPr>
            <w:tcW w:w="112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52">
              <w:r>
                <w:rPr>
                  <w:rFonts w:ascii="Times New Roman" w:cs="Times New Roman" w:eastAsia="Times New Roman" w:hAnsi="Times New Roman"/>
                  <w:sz w:val="18"/>
                  <w:szCs w:val="18"/>
                  <w:color w:val="0000FF"/>
                  <w:w w:val="99"/>
                </w:rPr>
                <w:t>filed on December 22, 2022)</w:t>
              </w:r>
            </w:hyperlink>
          </w:p>
        </w:tc>
        <w:tc>
          <w:tcPr>
            <w:tcW w:w="20" w:type="dxa"/>
            <w:vAlign w:val="bottom"/>
            <w:tcBorders>
              <w:bottom w:val="single" w:sz="8" w:color="0000EE"/>
            </w:tcBorders>
          </w:tcPr>
          <w:p>
            <w:pPr>
              <w:spacing w:after="0"/>
              <w:rPr>
                <w:sz w:val="17"/>
                <w:szCs w:val="17"/>
                <w:color w:val="auto"/>
              </w:rPr>
            </w:pPr>
          </w:p>
        </w:tc>
        <w:tc>
          <w:tcPr>
            <w:tcW w:w="7800" w:type="dxa"/>
            <w:vAlign w:val="bottom"/>
            <w:gridSpan w:val="13"/>
          </w:tcPr>
          <w:p>
            <w:pPr>
              <w:spacing w:after="0"/>
              <w:rPr>
                <w:sz w:val="17"/>
                <w:szCs w:val="17"/>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53">
              <w:r>
                <w:rPr>
                  <w:rFonts w:ascii="Times New Roman" w:cs="Times New Roman" w:eastAsia="Times New Roman" w:hAnsi="Times New Roman"/>
                  <w:sz w:val="18"/>
                  <w:szCs w:val="18"/>
                  <w:color w:val="0000FF"/>
                </w:rPr>
                <w:t>Senior Secured Revolving Credit Agreement, dated January 19, 2023, between Sixth Street Lending Partners, the Lenders and Issuing</w:t>
              </w:r>
            </w:hyperlink>
          </w:p>
        </w:tc>
        <w:tc>
          <w:tcPr>
            <w:tcW w:w="20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53">
              <w:r>
                <w:rPr>
                  <w:rFonts w:ascii="Times New Roman" w:cs="Times New Roman" w:eastAsia="Times New Roman" w:hAnsi="Times New Roman"/>
                  <w:sz w:val="18"/>
                  <w:szCs w:val="18"/>
                  <w:color w:val="0000FF"/>
                </w:rPr>
                <w:t>Banks party thereto and Truist Bank as Administrative Agent. (incorporated by reference to Exhibit 10.1 to the Company’s Current</w:t>
              </w:r>
            </w:hyperlink>
          </w:p>
        </w:tc>
        <w:tc>
          <w:tcPr>
            <w:tcW w:w="40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53">
              <w:r>
                <w:rPr>
                  <w:rFonts w:ascii="Times New Roman" w:cs="Times New Roman" w:eastAsia="Times New Roman" w:hAnsi="Times New Roman"/>
                  <w:sz w:val="18"/>
                  <w:szCs w:val="18"/>
                  <w:color w:val="0000FF"/>
                  <w:w w:val="99"/>
                </w:rPr>
                <w:t>Report on Form 8-K filed on January 24, 2022)</w:t>
              </w:r>
            </w:hyperlink>
          </w:p>
        </w:tc>
        <w:tc>
          <w:tcPr>
            <w:tcW w:w="6480" w:type="dxa"/>
            <w:vAlign w:val="bottom"/>
            <w:gridSpan w:val="11"/>
          </w:tcPr>
          <w:p>
            <w:pPr>
              <w:spacing w:after="0"/>
              <w:rPr>
                <w:sz w:val="17"/>
                <w:szCs w:val="17"/>
                <w:color w:val="auto"/>
              </w:rPr>
            </w:pPr>
          </w:p>
        </w:tc>
      </w:tr>
      <w:tr>
        <w:trPr>
          <w:trHeight w:val="6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654">
              <w:r>
                <w:rPr>
                  <w:rFonts w:ascii="Times New Roman" w:cs="Times New Roman" w:eastAsia="Times New Roman" w:hAnsi="Times New Roman"/>
                  <w:sz w:val="18"/>
                  <w:szCs w:val="18"/>
                  <w:color w:val="0000FF"/>
                </w:rPr>
                <w:t>First Amendment to Senior Secured Revolving Credit Agreement, dated as of February 8, 2024, among Sixth Street Lending Partners,</w:t>
              </w:r>
            </w:hyperlink>
          </w:p>
        </w:tc>
        <w:tc>
          <w:tcPr>
            <w:tcW w:w="14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6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654">
              <w:r>
                <w:rPr>
                  <w:rFonts w:ascii="Times New Roman" w:cs="Times New Roman" w:eastAsia="Times New Roman" w:hAnsi="Times New Roman"/>
                  <w:sz w:val="18"/>
                  <w:szCs w:val="18"/>
                  <w:color w:val="0000FF"/>
                </w:rPr>
                <w:t>as Borrower, the Lenders and Issuing Banks party thereto and Truist Bank, as Administrative Agent (incorporated by reference to the</w:t>
              </w:r>
            </w:hyperlink>
          </w:p>
        </w:tc>
        <w:tc>
          <w:tcPr>
            <w:tcW w:w="26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54">
              <w:r>
                <w:rPr>
                  <w:rFonts w:ascii="Times New Roman" w:cs="Times New Roman" w:eastAsia="Times New Roman" w:hAnsi="Times New Roman"/>
                  <w:sz w:val="18"/>
                  <w:szCs w:val="18"/>
                  <w:color w:val="0000FF"/>
                  <w:w w:val="99"/>
                </w:rPr>
                <w:t>Registrant’s Current Report on Form 8-K, filed on February 9, 2024)</w:t>
              </w:r>
            </w:hyperlink>
          </w:p>
        </w:tc>
        <w:tc>
          <w:tcPr>
            <w:tcW w:w="20" w:type="dxa"/>
            <w:vAlign w:val="bottom"/>
            <w:tcBorders>
              <w:bottom w:val="single" w:sz="8" w:color="0000EE"/>
            </w:tcBorders>
          </w:tcPr>
          <w:p>
            <w:pPr>
              <w:spacing w:after="0"/>
              <w:rPr>
                <w:sz w:val="17"/>
                <w:szCs w:val="17"/>
                <w:color w:val="auto"/>
              </w:rPr>
            </w:pPr>
          </w:p>
        </w:tc>
        <w:tc>
          <w:tcPr>
            <w:tcW w:w="4900" w:type="dxa"/>
            <w:vAlign w:val="bottom"/>
            <w:gridSpan w:val="9"/>
          </w:tcPr>
          <w:p>
            <w:pPr>
              <w:spacing w:after="0"/>
              <w:rPr>
                <w:sz w:val="17"/>
                <w:szCs w:val="17"/>
                <w:color w:val="auto"/>
              </w:rPr>
            </w:pPr>
          </w:p>
        </w:tc>
      </w:tr>
      <w:tr>
        <w:trPr>
          <w:trHeight w:val="52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Statement of Policy on Insider Trading for Sixth Street Lending Partners</w:t>
            </w:r>
          </w:p>
        </w:tc>
        <w:tc>
          <w:tcPr>
            <w:tcW w:w="4620" w:type="dxa"/>
            <w:vAlign w:val="bottom"/>
            <w:gridSpan w:val="8"/>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 of Sixth Street Lending Partners</w:t>
            </w:r>
          </w:p>
        </w:tc>
      </w:tr>
      <w:tr>
        <w:trPr>
          <w:trHeight w:val="20"/>
        </w:trPr>
        <w:tc>
          <w:tcPr>
            <w:tcW w:w="1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302 of the Sarbanes-Oxley</w:t>
            </w:r>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880" w:type="dxa"/>
            <w:vAlign w:val="bottom"/>
            <w:gridSpan w:val="1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302 of the Sarbanes-Oxley</w:t>
            </w:r>
          </w:p>
        </w:tc>
        <w:tc>
          <w:tcPr>
            <w:tcW w:w="1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28" w:right="260" w:hanging="1128"/>
        <w:spacing w:after="0" w:line="282" w:lineRule="auto"/>
        <w:tabs>
          <w:tab w:leader="none" w:pos="11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-185420</wp:posOffset>
            </wp:positionV>
            <wp:extent cx="61436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5">
                      <a:extLst>
                        <a:ext uri="{28A0092B-C50C-407E-A947-70E740481C1C}"/>
                      </a:extLst>
                    </a:blip>
                    <a:srcRect/>
                    <a:stretch>
                      <a:fillRect/>
                    </a:stretch>
                  </pic:blipFill>
                  <pic:spPr bwMode="auto">
                    <a:xfrm>
                      <a:off x="0" y="0"/>
                      <a:ext cx="614362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-48260</wp:posOffset>
            </wp:positionV>
            <wp:extent cx="25717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6">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42" w:lineRule="exact"/>
        <w:rPr>
          <w:sz w:val="20"/>
          <w:szCs w:val="20"/>
          <w:color w:val="auto"/>
        </w:rPr>
      </w:pPr>
    </w:p>
    <w:p>
      <w:pPr>
        <w:ind w:left="8"/>
        <w:spacing w:after="0"/>
        <w:tabs>
          <w:tab w:leader="none" w:pos="1108"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Report of Independent Registered Public Accounting Firm on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-7620</wp:posOffset>
            </wp:positionV>
            <wp:extent cx="40519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7">
                      <a:extLst>
                        <a:ext uri="{28A0092B-C50C-407E-A947-70E740481C1C}"/>
                      </a:extLst>
                    </a:blip>
                    <a:srcRect/>
                    <a:stretch>
                      <a:fillRect/>
                    </a:stretch>
                  </pic:blipFill>
                  <pic:spPr bwMode="auto">
                    <a:xfrm>
                      <a:off x="0" y="0"/>
                      <a:ext cx="40519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8"/>
          </w:cols>
          <w:pgMar w:left="432" w:top="972" w:right="439" w:bottom="1440" w:gutter="0" w:footer="0" w:header="0"/>
        </w:sectPr>
      </w:pPr>
    </w:p>
    <w:bookmarkStart w:id="143" w:name="page144"/>
    <w:bookmarkEnd w:id="143"/>
    <w:tbl>
      <w:tblPr>
        <w:tblLayout w:type="fixed"/>
        <w:tblInd w:w="1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90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5" w:right="51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58"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8"/>
          <w:szCs w:val="18"/>
          <w:b w:val="1"/>
          <w:bCs w:val="1"/>
          <w:color w:val="auto"/>
        </w:rPr>
        <w:t>SIXTH STREET LENDING PARTNERS</w:t>
      </w:r>
    </w:p>
    <w:p>
      <w:pPr>
        <w:spacing w:after="0" w:line="25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14,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Chief Executive Officer, Trustee and Chairman of the Board of Trustees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Principal</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103</w:t>
            </w:r>
          </w:p>
        </w:tc>
      </w:tr>
      <w:tr>
        <w:trPr>
          <w:trHeight w:val="763"/>
        </w:trPr>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STREET SPECIALTY LENDING,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STREET LENDING PARTNERS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STATEMENT OF POLICY ON INSIDER TRADING</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It is illegal for any person, either personally or on behalf of others, to trade in securities on the basis of material, non-public information. It is also illegal to communicate (or “tip”) material, non-public information to others who may trade in securities on the basis of that information. These illegal activities are commonly referred to as “insider trading.”</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Potential penalties for each insider trading violation include imprisonment for up to 10 years, civil fines of up to three times the profit gained or loss avoided by the trading, and criminal fines of up to $1 million. In addition, a company whose director, officer, or employee violates the insider trading prohibitions may be liable for a civil fine of up to the greater of $1 million or three times the profit gained or loss avoided as a result of the director, officer, or employee’s insider trading violations. Furthermore, engaging in short-term trading or other speculative transactions involving the securities of Sixth Street Specialty Lending, Inc. (“</w:t>
      </w:r>
      <w:r>
        <w:rPr>
          <w:rFonts w:ascii="Times New Roman" w:cs="Times New Roman" w:eastAsia="Times New Roman" w:hAnsi="Times New Roman"/>
          <w:sz w:val="22"/>
          <w:szCs w:val="22"/>
          <w:b w:val="1"/>
          <w:bCs w:val="1"/>
          <w:i w:val="1"/>
          <w:iCs w:val="1"/>
          <w:color w:val="auto"/>
        </w:rPr>
        <w:t>SLX</w:t>
      </w:r>
      <w:r>
        <w:rPr>
          <w:rFonts w:ascii="Times New Roman" w:cs="Times New Roman" w:eastAsia="Times New Roman" w:hAnsi="Times New Roman"/>
          <w:sz w:val="22"/>
          <w:szCs w:val="22"/>
          <w:color w:val="auto"/>
        </w:rPr>
        <w:t>”) or the securities of Sixth Street Lending Partners (“</w:t>
      </w:r>
      <w:r>
        <w:rPr>
          <w:rFonts w:ascii="Times New Roman" w:cs="Times New Roman" w:eastAsia="Times New Roman" w:hAnsi="Times New Roman"/>
          <w:sz w:val="22"/>
          <w:szCs w:val="22"/>
          <w:b w:val="1"/>
          <w:bCs w:val="1"/>
          <w:i w:val="1"/>
          <w:iCs w:val="1"/>
          <w:color w:val="auto"/>
        </w:rPr>
        <w:t>SLP</w:t>
      </w:r>
      <w:r>
        <w:rPr>
          <w:rFonts w:ascii="Times New Roman" w:cs="Times New Roman" w:eastAsia="Times New Roman" w:hAnsi="Times New Roman"/>
          <w:sz w:val="22"/>
          <w:szCs w:val="22"/>
          <w:color w:val="auto"/>
        </w:rPr>
        <w:t>,” and together with SLX, the “</w:t>
      </w:r>
      <w:r>
        <w:rPr>
          <w:rFonts w:ascii="Times New Roman" w:cs="Times New Roman" w:eastAsia="Times New Roman" w:hAnsi="Times New Roman"/>
          <w:sz w:val="22"/>
          <w:szCs w:val="22"/>
          <w:b w:val="1"/>
          <w:bCs w:val="1"/>
          <w:i w:val="1"/>
          <w:iCs w:val="1"/>
          <w:color w:val="auto"/>
        </w:rPr>
        <w:t>Companies</w:t>
      </w:r>
      <w:r>
        <w:rPr>
          <w:rFonts w:ascii="Times New Roman" w:cs="Times New Roman" w:eastAsia="Times New Roman" w:hAnsi="Times New Roman"/>
          <w:sz w:val="22"/>
          <w:szCs w:val="22"/>
          <w:color w:val="auto"/>
        </w:rPr>
        <w:t>”), to the extent a trading market develops for SLP’s securities, may subject you to additional penalties.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Moreover, a director, trustee, officer, or employee’s failure to comply with a Company’s insider trading policy may subject such person to sanctions imposed by the Company, including dismissal for cause, whether or not such person’s failure to comply with this policy results in a violation of law.</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This memorandum sets forth each Company’s policy against insider trading. The objective of this policy is to protect both you and the Company from securities law violations, or even the appearance thereof. </w:t>
      </w:r>
      <w:r>
        <w:rPr>
          <w:rFonts w:ascii="Times New Roman" w:cs="Times New Roman" w:eastAsia="Times New Roman" w:hAnsi="Times New Roman"/>
          <w:sz w:val="21"/>
          <w:szCs w:val="21"/>
          <w:u w:val="single" w:color="auto"/>
          <w:color w:val="auto"/>
        </w:rPr>
        <w:t>All directors, trustees, officers,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employees (including temporary employees) of a Company, and each of its respective subsidiaries, and its respective investment adviser, Sixth Street Specialty Lending Advisers, LLC (the “</w:t>
      </w:r>
      <w:r>
        <w:rPr>
          <w:rFonts w:ascii="Times New Roman" w:cs="Times New Roman" w:eastAsia="Times New Roman" w:hAnsi="Times New Roman"/>
          <w:sz w:val="21"/>
          <w:szCs w:val="21"/>
          <w:b w:val="1"/>
          <w:bCs w:val="1"/>
          <w:i w:val="1"/>
          <w:iCs w:val="1"/>
          <w:u w:val="single" w:color="auto"/>
          <w:color w:val="auto"/>
        </w:rPr>
        <w:t>SLX Adviser</w:t>
      </w:r>
      <w:r>
        <w:rPr>
          <w:rFonts w:ascii="Times New Roman" w:cs="Times New Roman" w:eastAsia="Times New Roman" w:hAnsi="Times New Roman"/>
          <w:sz w:val="21"/>
          <w:szCs w:val="21"/>
          <w:u w:val="single" w:color="auto"/>
          <w:color w:val="auto"/>
        </w:rPr>
        <w:t>”) or Sixth Street Lending Partners Advisers, LLC (the “</w:t>
      </w:r>
      <w:r>
        <w:rPr>
          <w:rFonts w:ascii="Times New Roman" w:cs="Times New Roman" w:eastAsia="Times New Roman" w:hAnsi="Times New Roman"/>
          <w:sz w:val="21"/>
          <w:szCs w:val="21"/>
          <w:b w:val="1"/>
          <w:bCs w:val="1"/>
          <w:i w:val="1"/>
          <w:iCs w:val="1"/>
          <w:u w:val="single" w:color="auto"/>
          <w:color w:val="auto"/>
        </w:rPr>
        <w:t>SLP Adviser</w:t>
      </w:r>
      <w:r>
        <w:rPr>
          <w:rFonts w:ascii="Times New Roman" w:cs="Times New Roman" w:eastAsia="Times New Roman" w:hAnsi="Times New Roman"/>
          <w:sz w:val="21"/>
          <w:szCs w:val="21"/>
          <w:u w:val="single" w:color="auto"/>
          <w:color w:val="auto"/>
        </w:rPr>
        <w:t>,” and together with the SLX Adviser, the “</w:t>
      </w:r>
      <w:r>
        <w:rPr>
          <w:rFonts w:ascii="Times New Roman" w:cs="Times New Roman" w:eastAsia="Times New Roman" w:hAnsi="Times New Roman"/>
          <w:sz w:val="21"/>
          <w:szCs w:val="21"/>
          <w:b w:val="1"/>
          <w:bCs w:val="1"/>
          <w:i w:val="1"/>
          <w:iCs w:val="1"/>
          <w:u w:val="single" w:color="auto"/>
          <w:color w:val="auto"/>
        </w:rPr>
        <w:t>Advisers</w:t>
      </w:r>
      <w:r>
        <w:rPr>
          <w:rFonts w:ascii="Times New Roman" w:cs="Times New Roman" w:eastAsia="Times New Roman" w:hAnsi="Times New Roman"/>
          <w:sz w:val="21"/>
          <w:szCs w:val="21"/>
          <w:u w:val="single" w:color="auto"/>
          <w:color w:val="auto"/>
        </w:rPr>
        <w:t>”), as applicable, must comply with this policy</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You are encouraged to ask questions and seek any follow-up information that you may require with respect to the matters set forth in this policy. Please direct your questions to Sixth Street legal and compliance staff (“</w:t>
      </w:r>
      <w:r>
        <w:rPr>
          <w:rFonts w:ascii="Times New Roman" w:cs="Times New Roman" w:eastAsia="Times New Roman" w:hAnsi="Times New Roman"/>
          <w:sz w:val="22"/>
          <w:szCs w:val="22"/>
          <w:b w:val="1"/>
          <w:bCs w:val="1"/>
          <w:i w:val="1"/>
          <w:iCs w:val="1"/>
          <w:color w:val="auto"/>
        </w:rPr>
        <w:t>Sixth Street Legal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Compliance</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It is the policy of the Companies that no director, trustee, officer or employee (including a temporary employee) of the Companies, or each of their respective subsidiaries, and their Advisers, or any other person designated by the Chief Compliance Officer, or this policy, as being subject to this policy, who is aware of material nonpublic information relating to the Companies, the Advisers or any of the Companies’ portfolio companies may, directly or through family members or other persons or entities, (a) buy or sell securities of the Companies (other than pursuant to a pre-approved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6" w:name="page147"/>
    <w:bookmarkEnd w:id="146"/>
    <w:p>
      <w:pPr>
        <w:jc w:val="both"/>
        <w:spacing w:after="0" w:line="244" w:lineRule="auto"/>
        <w:rPr>
          <w:sz w:val="20"/>
          <w:szCs w:val="20"/>
          <w:color w:val="auto"/>
        </w:rPr>
      </w:pPr>
      <w:r>
        <w:rPr>
          <w:rFonts w:ascii="Times New Roman" w:cs="Times New Roman" w:eastAsia="Times New Roman" w:hAnsi="Times New Roman"/>
          <w:sz w:val="22"/>
          <w:szCs w:val="22"/>
          <w:color w:val="auto"/>
        </w:rPr>
        <w:t>trading plan that complies with Rule 10b5-1 of the Securities Exchange Act of 1934) or the securities of the Companies’ portfolio companies, or engage in any other action to take personal advantage of that information, or (b) pass that information on to others outside of the Companies, including family and friends.</w:t>
      </w:r>
    </w:p>
    <w:p>
      <w:pPr>
        <w:spacing w:after="0" w:line="17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In addition, it is the policy of the Companies that no director, trustee, officer, or employee (including a temporary employee) of the Companies or the Advisers who, in the course of working for or on behalf of either Company, learns of material non-public information about a company with which such Company does, or proposes to do, business, including a customer or supplier of the Company, may trade in that company’s securities until the information becomes public or is no longer material.</w:t>
      </w:r>
    </w:p>
    <w:p>
      <w:pPr>
        <w:spacing w:after="0" w:line="16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Companies’ reputation for adhering to the highest standards of conduct.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What information is </w:t>
      </w:r>
      <w:r>
        <w:rPr>
          <w:rFonts w:ascii="Times New Roman" w:cs="Times New Roman" w:eastAsia="Times New Roman" w:hAnsi="Times New Roman"/>
          <w:sz w:val="22"/>
          <w:szCs w:val="22"/>
          <w:b w:val="1"/>
          <w:bCs w:val="1"/>
          <w:u w:val="single" w:color="auto"/>
          <w:color w:val="auto"/>
        </w:rPr>
        <w:t>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information that an investor might consider important in deciding whether to buy,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or hold securities is considered material. Information that is likely to affect the price of a company’s securities is almost always material. Examples of some types of material information are:</w:t>
      </w:r>
    </w:p>
    <w:p>
      <w:pPr>
        <w:spacing w:after="0" w:line="171" w:lineRule="exact"/>
        <w:rPr>
          <w:sz w:val="20"/>
          <w:szCs w:val="20"/>
          <w:color w:val="auto"/>
        </w:rPr>
      </w:pPr>
    </w:p>
    <w:p>
      <w:pPr>
        <w:ind w:left="1880" w:hanging="375"/>
        <w:spacing w:after="0"/>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or expectations for the quarter or the year;</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forecasts;</w:t>
      </w: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distributions;</w:t>
      </w:r>
    </w:p>
    <w:p>
      <w:pPr>
        <w:ind w:left="1880" w:right="2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joint ventures and other purchases and sales of companies and investments in companies;</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customer relationships with significant customers;</w:t>
      </w: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obtaining or losing important contracts;</w:t>
      </w: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product developments;</w:t>
      </w: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financing developments;</w:t>
      </w:r>
    </w:p>
    <w:p>
      <w:pPr>
        <w:ind w:left="1880" w:hanging="375"/>
        <w:spacing w:after="0" w:line="230" w:lineRule="auto"/>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personnel changes; and</w:t>
      </w:r>
    </w:p>
    <w:p>
      <w:pPr>
        <w:ind w:left="1880" w:hanging="375"/>
        <w:spacing w:after="0"/>
        <w:tabs>
          <w:tab w:leader="none" w:pos="18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 developments.</w:t>
      </w:r>
    </w:p>
    <w:p>
      <w:pPr>
        <w:spacing w:after="0" w:line="17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What is </w:t>
      </w:r>
      <w:r>
        <w:rPr>
          <w:rFonts w:ascii="Times New Roman" w:cs="Times New Roman" w:eastAsia="Times New Roman" w:hAnsi="Times New Roman"/>
          <w:sz w:val="21"/>
          <w:szCs w:val="21"/>
          <w:b w:val="1"/>
          <w:bCs w:val="1"/>
          <w:u w:val="single" w:color="auto"/>
          <w:color w:val="auto"/>
        </w:rPr>
        <w:t>non-public</w:t>
      </w:r>
      <w:r>
        <w:rPr>
          <w:rFonts w:ascii="Times New Roman" w:cs="Times New Roman" w:eastAsia="Times New Roman" w:hAnsi="Times New Roman"/>
          <w:sz w:val="21"/>
          <w:szCs w:val="21"/>
          <w:b w:val="1"/>
          <w:bCs w:val="1"/>
          <w:color w:val="auto"/>
        </w:rPr>
        <w:t xml:space="preserve"> information? </w:t>
      </w:r>
      <w:r>
        <w:rPr>
          <w:rFonts w:ascii="Times New Roman" w:cs="Times New Roman" w:eastAsia="Times New Roman" w:hAnsi="Times New Roman"/>
          <w:sz w:val="21"/>
          <w:szCs w:val="21"/>
          <w:color w:val="auto"/>
        </w:rPr>
        <w:t>Information is considered to be non-public unless it has been effectively disclosed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public. Examples of public disclosure include public filings with the Securities and Exchange Commission and company or portfolio company press releases. Not only must the information have been publicly disclosed, but there must also have been adequate time for the market as a whole to digest the information. Although timing may vary depending upon the circumstances, a good rule of thumb is that information is considered non-public until the third business day after public disclosure.</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47" w:name="page148"/>
    <w:bookmarkEnd w:id="147"/>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What transactions are </w:t>
      </w:r>
      <w:r>
        <w:rPr>
          <w:rFonts w:ascii="Times New Roman" w:cs="Times New Roman" w:eastAsia="Times New Roman" w:hAnsi="Times New Roman"/>
          <w:sz w:val="22"/>
          <w:szCs w:val="22"/>
          <w:b w:val="1"/>
          <w:bCs w:val="1"/>
          <w:u w:val="single" w:color="auto"/>
          <w:color w:val="auto"/>
        </w:rPr>
        <w:t>prohibited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you know material, non-public information about the Companies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portfolio companies, you, your spouse, and members of your immediate family living in your household are prohibited from the following activities:</w:t>
      </w:r>
    </w:p>
    <w:p>
      <w:pPr>
        <w:spacing w:after="0" w:line="171" w:lineRule="exact"/>
        <w:rPr>
          <w:sz w:val="20"/>
          <w:szCs w:val="20"/>
          <w:color w:val="auto"/>
        </w:rPr>
      </w:pPr>
    </w:p>
    <w:p>
      <w:pPr>
        <w:ind w:left="1880" w:hanging="375"/>
        <w:spacing w:after="0"/>
        <w:tabs>
          <w:tab w:leader="none" w:pos="18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Companies’ securities (including trading in puts and calls for the Companies’ securities);</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others trade for you in the Companies’ securities;</w:t>
      </w:r>
    </w:p>
    <w:p>
      <w:pPr>
        <w:ind w:left="1880" w:hanging="375"/>
        <w:spacing w:after="0" w:line="230" w:lineRule="auto"/>
        <w:tabs>
          <w:tab w:leader="none" w:pos="18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or having others trade for you in securities of any of the Companies’ respective portfolio companies;</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information to anyone else who might then trade; and</w:t>
      </w:r>
    </w:p>
    <w:p>
      <w:pPr>
        <w:ind w:left="1880" w:hanging="375"/>
        <w:spacing w:after="0"/>
        <w:tabs>
          <w:tab w:leader="none" w:pos="18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exercising stock options </w:t>
      </w:r>
      <w:r>
        <w:rPr>
          <w:rFonts w:ascii="Times New Roman" w:cs="Times New Roman" w:eastAsia="Times New Roman" w:hAnsi="Times New Roman"/>
          <w:sz w:val="22"/>
          <w:szCs w:val="22"/>
          <w:u w:val="single" w:color="auto"/>
          <w:color w:val="auto"/>
        </w:rPr>
        <w:t>if</w:t>
      </w:r>
      <w:r>
        <w:rPr>
          <w:rFonts w:ascii="Times New Roman" w:cs="Times New Roman" w:eastAsia="Times New Roman" w:hAnsi="Times New Roman"/>
          <w:sz w:val="22"/>
          <w:szCs w:val="22"/>
          <w:color w:val="auto"/>
        </w:rPr>
        <w:t xml:space="preserve"> the option shares are to be immediately sold.</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Neither you nor anyone acting on your behalf nor anyone who learns the information from you (including your spouse and family members) can trade. This prohibition continues whenever and for as long as you know material, non-public information.</w:t>
      </w:r>
    </w:p>
    <w:p>
      <w:pPr>
        <w:spacing w:after="0" w:line="173"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Although it is most likely that any material, non-public information you might learn would be about the Companies or their respective subsidiaries, these prohibitions also apply to trading in the securities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company including any portfolio company or potential merger partner about which you have material, non-public information.</w:t>
      </w:r>
    </w:p>
    <w:p>
      <w:pPr>
        <w:spacing w:after="0" w:line="16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Transactions by Family Members. </w:t>
      </w:r>
      <w:r>
        <w:rPr>
          <w:rFonts w:ascii="Times New Roman" w:cs="Times New Roman" w:eastAsia="Times New Roman" w:hAnsi="Times New Roman"/>
          <w:sz w:val="22"/>
          <w:szCs w:val="22"/>
          <w:color w:val="auto"/>
        </w:rPr>
        <w:t>As noted above, the Companies’ insider trading policy applies to your family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who reside with you, and any family members who do not live in your household but whose transactions in the Companies’ securities or the securities of any of the Companies’ respective portfolio companies are directed by you or are subject to your influence or control (such as parents or children who consult with you before they trade in such securities). You are responsible for the transactions of these other persons and therefore should make them aware of the need to confer with you before they trade in the Companies’ securities.</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What is a Rule 10b5-1 trading plan? </w:t>
      </w:r>
      <w:r>
        <w:rPr>
          <w:rFonts w:ascii="Times New Roman" w:cs="Times New Roman" w:eastAsia="Times New Roman" w:hAnsi="Times New Roman"/>
          <w:sz w:val="22"/>
          <w:szCs w:val="22"/>
          <w:color w:val="auto"/>
        </w:rPr>
        <w:t>Notwithstanding the prohibition against insider trading, Rule 10b5-1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Act of 1934 and this policy permit directors, trustees, officers and employees to trade in the Companies’ securities regardless of their awareness of inside information if the transaction is made pursuant to a pre-arranged trading plan that was entered into when the director, trustee, officer, or employee was not in possession of material nonpublic information. This policy requires trading plans to be written and to specify the amount of, date on, and price at which the securities are to be traded or establish a formula for determining such items. A director, trustee, officer, or employee who wishes to enter into a trading plan must submit the trading plan to Sixth Street Legal and Compliance for approval prior to the adoption or amendment of the trading plan. Trading plans may not be adopted when the director, trustee, officer or employee is in possession of material nonpublic information about the Companies. A director, trustee, officer or employee may amend or replace his or her trading plan only during periods when trading is permitted in accordance with this policy.</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Company Plans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Distribution Reinvestment Plan. </w:t>
      </w:r>
      <w:r>
        <w:rPr>
          <w:rFonts w:ascii="Times New Roman" w:cs="Times New Roman" w:eastAsia="Times New Roman" w:hAnsi="Times New Roman"/>
          <w:sz w:val="22"/>
          <w:szCs w:val="22"/>
          <w:color w:val="auto"/>
        </w:rPr>
        <w:t>The Companies’ insider trading policy does not apply to purchases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securities under the Companies’ respective distribution reinvestment plans, if any, resulting from your reinvestment of distributions paid on such Company’s securities. The policy does apply, however, to voluntary purchases of the Companies’ securities resulting from your election to participate in the plan or your increase in the level of participation in the plan. The policy also applies to your sale of any securities of the Companies purchased pursuant to the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Prohibited Transactions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Companies considers it improper and inappropriate for any director, trustee, officer, or other employee of the Companies or the Advisers to engage in short-term or speculative transactions in the Companies’ securities, to the extent a trading market develops for such securities. It therefore is the Companies’ policy that directors, trustees, officers, and other employees may not engage in any of the following transactions:</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Short-Term Trading. </w:t>
      </w:r>
      <w:r>
        <w:rPr>
          <w:rFonts w:ascii="Times New Roman" w:cs="Times New Roman" w:eastAsia="Times New Roman" w:hAnsi="Times New Roman"/>
          <w:sz w:val="22"/>
          <w:szCs w:val="22"/>
          <w:color w:val="auto"/>
        </w:rPr>
        <w:t>An employee’s short-term trading of the Companies’ securities may be distracting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may unduly focus the employee on the Companies’ short-term stock market performance instead of the Companies’ long-term business objectives. For these reasons, any director, trustee, officer, or other employee of the Companies who purchases the Companies’ securities may not sell any of such Company’s securities of the same class during the six months following the purchase. In addition, Section 16(b) of the Securities Exchange Act of 1934 imposes short-swing profit restrictions on the purchase or sale of the Companies’ securities by the Companies’ respective officers and directors or trustees and certain other persons.</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Short Sales. </w:t>
      </w:r>
      <w:r>
        <w:rPr>
          <w:rFonts w:ascii="Times New Roman" w:cs="Times New Roman" w:eastAsia="Times New Roman" w:hAnsi="Times New Roman"/>
          <w:sz w:val="22"/>
          <w:szCs w:val="22"/>
          <w:color w:val="auto"/>
        </w:rPr>
        <w:t>Short sales of the Companies’ securities evidence an expectation on the part of the seller that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decline in value, and therefore signal to the market that the seller has no confidence in the relevant Company or its short-term prospects. In addition, short sales may reduce the seller’s incentive to improve the Companies’ performance. Finally, section 16(c) of the Securities Exchange Act of 1934 prohibits officers and directors, and certain other persons, from engaging in short sales.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Publicly Traded Options. </w:t>
      </w:r>
      <w:r>
        <w:rPr>
          <w:rFonts w:ascii="Times New Roman" w:cs="Times New Roman" w:eastAsia="Times New Roman" w:hAnsi="Times New Roman"/>
          <w:sz w:val="22"/>
          <w:szCs w:val="22"/>
          <w:color w:val="auto"/>
        </w:rPr>
        <w:t>A transaction in options, puts, calls, or other derivative securities is, in effect, a bet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short-term movement of the Companies’ stock and therefore creates the appearance that the director, trustee, officer, or employee is trading based on inside information. Transactions of this sort also may unduly focus the director, trustee, officer, or employee’s attention on short-term performance at the expense of the Companies’ long-term objectives. Accordingly, transactions in puts, calls, or other derivative securities, on an exchange or in any other organized market, are prohibited by this policy. (Option positions arising from certain types of hedging transactions are governed by the section below captioned “Hedging Transactions.”)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Hedging Transactions. </w:t>
      </w:r>
      <w:r>
        <w:rPr>
          <w:rFonts w:ascii="Times New Roman" w:cs="Times New Roman" w:eastAsia="Times New Roman" w:hAnsi="Times New Roman"/>
          <w:sz w:val="22"/>
          <w:szCs w:val="22"/>
          <w:color w:val="auto"/>
        </w:rPr>
        <w:t>Certain forms of hedging or monetization transactions, such as zero-cost collars and forward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contracts, allow a director, officer, or employee to lock in much of the value of his or her stock holdings, often in exchange for all or part of the potential for upside</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9" w:name="page150"/>
    <w:bookmarkEnd w:id="149"/>
    <w:p>
      <w:pPr>
        <w:jc w:val="both"/>
        <w:spacing w:after="0" w:line="238" w:lineRule="auto"/>
        <w:rPr>
          <w:sz w:val="20"/>
          <w:szCs w:val="20"/>
          <w:color w:val="auto"/>
        </w:rPr>
      </w:pPr>
      <w:r>
        <w:rPr>
          <w:rFonts w:ascii="Times New Roman" w:cs="Times New Roman" w:eastAsia="Times New Roman" w:hAnsi="Times New Roman"/>
          <w:sz w:val="22"/>
          <w:szCs w:val="22"/>
          <w:color w:val="auto"/>
        </w:rPr>
        <w:t>appreciation in the stock. These transactions allow the director, officer, or employee to continue to own the covered securities, but without the full risks and rewards of ownership. When that occurs, the director, trustee, officer, or employee may no longer have the same objectives as the relevant Company’s other shareholders. Therefore, the Companies strongly discourage you from engaging in such transactions. Any person wishing to enter into such an arrangement must first pre-clear the proposed transaction with Sixth Street Legal and Compliance.</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Margin Accounts and Pledges. </w:t>
      </w:r>
      <w:r>
        <w:rPr>
          <w:rFonts w:ascii="Times New Roman" w:cs="Times New Roman" w:eastAsia="Times New Roman" w:hAnsi="Times New Roman"/>
          <w:sz w:val="22"/>
          <w:szCs w:val="22"/>
          <w:color w:val="auto"/>
        </w:rPr>
        <w:t>Securities held in a margin account may be sold by the broker without the customer’s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Companies’ securities, directors, trustees, officers, and employees are prohibited from holding the Companies’ securities in a margin account or pledging the Companies’ securities as collateral for a loan. An exception to this prohibition may be granted where a person wishes to pledge the Companies’ securities as collateral for a loan (not including margin debt) and clearly demonstrates the financial capacity to repay the loan without resort to the pledged securities. Any person who wishes to pledge the Companies’ securities as collateral for a loan must submit a request for approval to Sixth Street Legal and Compliance at least two weeks prior to the proposed execution of documents evidencing the proposed pledge.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00" w:lineRule="exact"/>
        <w:rPr>
          <w:sz w:val="20"/>
          <w:szCs w:val="20"/>
          <w:color w:val="auto"/>
        </w:rPr>
      </w:pPr>
    </w:p>
    <w:p>
      <w:pPr>
        <w:spacing w:after="0" w:line="25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policy continues to apply to your transactions in the Companies’ securities even after you have terminated employment or otherwise disassociated yourself from the Companies and/or the Advisers. If you are in possession of material, non-public information when your relationship terminates, you may not trade in the Companies’ securities until that information has become public or is no longer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Unauthorized Disclosure</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As discussed above, the disclosure of material, non-public information to others can lead to significant legal difficulties. Therefore, you should not discuss material, non-public information about the Companies with anyone, including other employees, except as required in the performance of your regular duties.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Also, it is important that only specifically designated representatives of the Companies discuss the Companies with the news media, securities analysts, and investors. Inquiries of this type received by any employee should be referred to the Chief Executive Officer, Chief Compliance Officer, either Company’s Investor Relations, and Sixth Street Communications.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Procedures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50" w:name="page151"/>
    <w:bookmarkEnd w:id="150"/>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To help prevent inadvertent violations of the federal securities laws and to avoid even the appearance of trading on inside information, directors, trustees and executive officers of the Companies and any other persons designated by Sixth Street Legal and Compliance as being subject to the Companies’ pre-clearance procedures, together with their immediate family members living in their households, may not engage in any transaction involving the Companies’ securities (including a stock plan transaction such as an option exercise, gift, loan or pledge or hedge, contribution to a trust, or any other transfer) without first obtaining pre-clearance of the transaction from Sixth Street Legal and Compliance. Sixth Street Legal and Compliance is under no obligation to approve a trade submitted for pre-clearance, and may determine not to permit the trade.</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Any person subject to the pre-clearance requirements who wishes to implement a trading plan under Rule 10b5-1 of the Securities Exchange Act of 1934 must first pre-clear the plan with Sixth Street Legal and Compliance. As required by Rule 10b5-1, you may enter into a trading plan only when you are not in possession of material nonpublic information. In addition, you may not enter into a trading plan during a blackout period. Transactions effected pursuant to a pre-cleared trading plan will not require further pre-clearance at the time of the transaction if the plan specifies the dates, prices, and amounts of the contemplated trades, or establishes a formula for determining the dates, prices, and amounts.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Open Window and Blackout Periods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Open Window Periods</w:t>
      </w:r>
      <w:r>
        <w:rPr>
          <w:rFonts w:ascii="Times New Roman" w:cs="Times New Roman" w:eastAsia="Times New Roman" w:hAnsi="Times New Roman"/>
          <w:sz w:val="22"/>
          <w:szCs w:val="22"/>
          <w:color w:val="auto"/>
        </w:rPr>
        <w:t>. No Sixth Street employee, director, trustee or officer, nor Sixth Street itself (which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Company) may execute a transaction in a Company’s security except during an “open window period,” which ordinarily will begin at the close of business on the second business day following the release of such Company’s earnings and will end three weeks thereafter. The ability to trade during such an open window period may be curtailed where specific events so require in a so-called “event-specific blackout period,” as discussed below. The ability to trade during such an open window period may be curtailed at the discretion of Sixth Street Legal and Compliance. Any trading by insiders of the Companies must be pre-cleared by Sixth Street Legal and Compliance and trading in either Company’s securities by Sixth Street Employees is subject to normal Sixth Street trade pre-clearance requirements, expect with respect to trades executed pursuant to an approved Company 10b5-1 trading plan as described above.</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Event-specific Blackout Periods. </w:t>
      </w:r>
      <w:r>
        <w:rPr>
          <w:rFonts w:ascii="Times New Roman" w:cs="Times New Roman" w:eastAsia="Times New Roman" w:hAnsi="Times New Roman"/>
          <w:sz w:val="22"/>
          <w:szCs w:val="22"/>
          <w:color w:val="auto"/>
        </w:rPr>
        <w:t>From time to time, during the open window period, an event may occur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to the Companies and is known by only a few directors, trustees or executives. So long as the event remains material and nonpublic, directors, trustees, executive officers, and such other persons as are designated by Sixth Street Legal and Compliance may not trade in the Companies’ securities. This restriction applies regardless of whether such persons have actual knowledge of the material event in question. The existence of an event-specific blackout will not be announced, other than to those who are aware of the event giving rise to the blackout. If, however, a person whose trades are subject to pre-clearance requests permission to trade in the Companies’ securities during an event-specific blackout, Sixth Street Legal and Compliance will inform the requester of the existence of a blackout period, without disclosing the reason for the blackout. Any person made aware of the existence of an event-specific blackout should not disclose</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51" w:name="page152"/>
    <w:bookmarkEnd w:id="151"/>
    <w:p>
      <w:pPr>
        <w:jc w:val="both"/>
        <w:spacing w:after="0" w:line="244" w:lineRule="auto"/>
        <w:rPr>
          <w:sz w:val="20"/>
          <w:szCs w:val="20"/>
          <w:color w:val="auto"/>
        </w:rPr>
      </w:pPr>
      <w:r>
        <w:rPr>
          <w:rFonts w:ascii="Times New Roman" w:cs="Times New Roman" w:eastAsia="Times New Roman" w:hAnsi="Times New Roman"/>
          <w:sz w:val="22"/>
          <w:szCs w:val="22"/>
          <w:color w:val="auto"/>
        </w:rPr>
        <w:t>the existence of the blackout to any other person. The failure of Sixth Street Legal and Compliance to designate a person as being subject to an event-specific blackout will not relieve that person of the obligation not to trade while aware of material, nonpublic information.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Questions about this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Compliance by all directors, trustees, officers, and employees with this policy is of the utmost importance both for you and for the Companies. If you have any questions about the application of this policy to any particular case, please immediately contact Sixth Street Legal and Compliance.</w:t>
      </w:r>
    </w:p>
    <w:p>
      <w:pPr>
        <w:spacing w:after="0" w:line="16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Your failure to observe this policy could lead to significant legal problems, as well as other serious consequences, including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52" w:name="page153"/>
    <w:bookmarkEnd w:id="152"/>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SIXTH STREET LENDING PARTNERS</w:t>
            </w:r>
          </w:p>
        </w:tc>
      </w:tr>
      <w:tr>
        <w:trPr>
          <w:trHeight w:val="365"/>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Jurisdiction</w:t>
            </w:r>
          </w:p>
        </w:tc>
      </w:tr>
      <w:tr>
        <w:trPr>
          <w:trHeight w:val="191"/>
        </w:trPr>
        <w:tc>
          <w:tcPr>
            <w:tcW w:w="30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SSLP Lending, LLC</w:t>
            </w: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LP Holding II, LLC</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Lending Partners Sub, LLC</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1519"/>
        </w:trPr>
        <w:tc>
          <w:tcPr>
            <w:tcW w:w="3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3" w:name="page154"/>
    <w:bookmarkEnd w:id="1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7"/>
        <w:spacing w:after="0"/>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Sixth Street Lending Partners;</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80" w:hanging="517"/>
        <w:spacing w:after="0" w:line="276" w:lineRule="auto"/>
        <w:tabs>
          <w:tab w:leader="none" w:pos="7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40" w:hanging="517"/>
        <w:spacing w:after="0" w:line="282" w:lineRule="auto"/>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7"/>
        <w:spacing w:after="0"/>
        <w:tabs>
          <w:tab w:leader="none" w:pos="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Sixth Street Lending Partners;</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80" w:hanging="517"/>
        <w:spacing w:after="0" w:line="276" w:lineRule="auto"/>
        <w:tabs>
          <w:tab w:leader="none" w:pos="7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40" w:hanging="517"/>
        <w:spacing w:after="0" w:line="282" w:lineRule="auto"/>
        <w:tabs>
          <w:tab w:leader="none" w:pos="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Sixth Street Lending Partners (the “Company”) for the annual period ended December 31,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517"/>
        <w:spacing w:after="0"/>
        <w:tabs>
          <w:tab w:leader="none" w:pos="7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517"/>
        <w:spacing w:after="0"/>
        <w:tabs>
          <w:tab w:leader="none" w:pos="7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 Supplemental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Trustees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Sixth Street Lending Partners:</w:t>
      </w:r>
    </w:p>
    <w:p>
      <w:pPr>
        <w:spacing w:after="0" w:line="15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audited, in accordance with the standards of the Public Company Accounting Oversight Board (United States) (the PCAOB), the consolidated financial statements of Sixth Street Lending Partners and subsidiaries (the Company) as of December 31, 2024 and 2023, and for each of the years in the two-year period ended December 31, 2024 and for the period from April 5, 2022 (inception) to December 31, 2022, and our report dated February 14, 2025 expressed an unqualified opinion on those consolidated financial statements.</w:t>
      </w:r>
    </w:p>
    <w:p>
      <w:pPr>
        <w:spacing w:after="0" w:line="1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also previously audited, in accordance with the standards of the PCAOB, the consolidated balance sheet of the Company, including the consolidated schedule of investments, as of December 31, 2022 (none of which is presented herein), and we expressed an unqualified opinion on those consolidated financial statements. The senior securities information included in Part II, Item 5 of the Annual Report on Form 10-K of the Company as of December 31, 2024,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1)"/>
      <w:numFmt w:val="lowerRoman"/>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lvl w:ilvl="1">
      <w:lvlJc w:val="left"/>
      <w:lvlText w:val="(%2)"/>
      <w:numFmt w:val="lowerLetter"/>
      <w:start w:val="1"/>
    </w:lvl>
  </w:abstractNum>
  <w:abstractNum w:abstractNumId="69">
    <w:nsid w:val="14E17E33"/>
    <w:multiLevelType w:val="hybridMultilevel"/>
    <w:lvl w:ilvl="0">
      <w:lvlJc w:val="left"/>
      <w:lvlText w:val="(%1)"/>
      <w:numFmt w:val="decimal"/>
      <w:start w:val="1"/>
    </w:lvl>
    <w:lvl w:ilvl="1">
      <w:lvlJc w:val="left"/>
      <w:lvlText w:val="%2"/>
      <w:numFmt w:val="lowerLetter"/>
      <w:start w:val="1"/>
    </w:lvl>
  </w:abstractNum>
  <w:abstractNum w:abstractNumId="70">
    <w:nsid w:val="3222E7CD"/>
    <w:multiLevelType w:val="hybridMultilevel"/>
    <w:lvl w:ilvl="0">
      <w:lvlJc w:val="left"/>
      <w:lvlText w:val="(%1)"/>
      <w:numFmt w:val="decimal"/>
      <w:start w:val="3"/>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1)"/>
      <w:numFmt w:val="lowerRoman"/>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decimal"/>
      <w:start w:val="3"/>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decimal"/>
      <w:start w:val="10"/>
    </w:lvl>
  </w:abstractNum>
  <w:abstractNum w:abstractNumId="87">
    <w:nsid w:val="488AC1A"/>
    <w:multiLevelType w:val="hybridMultilevel"/>
    <w:lvl w:ilvl="0">
      <w:lvlJc w:val="left"/>
      <w:lvlText w:val="%1."/>
      <w:numFmt w:val="decimal"/>
      <w:start w:val="11"/>
    </w:lvl>
  </w:abstractNum>
  <w:abstractNum w:abstractNumId="88">
    <w:nsid w:val="5FB8011C"/>
    <w:multiLevelType w:val="hybridMultilevel"/>
    <w:lvl w:ilvl="0">
      <w:lvlJc w:val="left"/>
      <w:lvlText w:val="%1."/>
      <w:numFmt w:val="decimal"/>
      <w:start w:val="12"/>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amp;"/>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3"/>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32"/>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55" Type="http://schemas.openxmlformats.org/officeDocument/2006/relationships/image" Target="media/image627.png"/><Relationship Id="rId656" Type="http://schemas.openxmlformats.org/officeDocument/2006/relationships/image" Target="media/image628.png"/><Relationship Id="rId657" Type="http://schemas.openxmlformats.org/officeDocument/2006/relationships/image" Target="media/image629.png"/><Relationship Id="rId658" Type="http://schemas.openxmlformats.org/officeDocument/2006/relationships/image" Target="media/image630.png"/><Relationship Id="rId659" Type="http://schemas.openxmlformats.org/officeDocument/2006/relationships/image" Target="media/image631.png"/><Relationship Id="rId660" Type="http://schemas.openxmlformats.org/officeDocument/2006/relationships/image" Target="media/image632.png"/><Relationship Id="rId661" Type="http://schemas.openxmlformats.org/officeDocument/2006/relationships/image" Target="media/image633.png"/><Relationship Id="rId662" Type="http://schemas.openxmlformats.org/officeDocument/2006/relationships/image" Target="media/image634.png"/><Relationship Id="rId663" Type="http://schemas.openxmlformats.org/officeDocument/2006/relationships/image" Target="media/image635.png"/><Relationship Id="rId664" Type="http://schemas.openxmlformats.org/officeDocument/2006/relationships/image" Target="media/image636.png"/><Relationship Id="rId665" Type="http://schemas.openxmlformats.org/officeDocument/2006/relationships/image" Target="media/image637.png"/><Relationship Id="rId666" Type="http://schemas.openxmlformats.org/officeDocument/2006/relationships/image" Target="media/image638.png"/><Relationship Id="rId667" Type="http://schemas.openxmlformats.org/officeDocument/2006/relationships/image" Target="media/image639.png"/><Relationship Id="rId668" Type="http://schemas.openxmlformats.org/officeDocument/2006/relationships/image" Target="media/image640.png"/><Relationship Id="rId669" Type="http://schemas.openxmlformats.org/officeDocument/2006/relationships/image" Target="media/image641.png"/><Relationship Id="rId670" Type="http://schemas.openxmlformats.org/officeDocument/2006/relationships/image" Target="media/image642.png"/><Relationship Id="rId671" Type="http://schemas.openxmlformats.org/officeDocument/2006/relationships/image" Target="media/image643.png"/><Relationship Id="rId672" Type="http://schemas.openxmlformats.org/officeDocument/2006/relationships/image" Target="media/image644.png"/><Relationship Id="rId673" Type="http://schemas.openxmlformats.org/officeDocument/2006/relationships/image" Target="media/image645.png"/><Relationship Id="rId674" Type="http://schemas.openxmlformats.org/officeDocument/2006/relationships/image" Target="media/image646.png"/><Relationship Id="rId675" Type="http://schemas.openxmlformats.org/officeDocument/2006/relationships/image" Target="media/image647.png"/><Relationship Id="rId676" Type="http://schemas.openxmlformats.org/officeDocument/2006/relationships/image" Target="media/image648.png"/><Relationship Id="rId677" Type="http://schemas.openxmlformats.org/officeDocument/2006/relationships/image" Target="media/image649.png"/><Relationship Id="rId678" Type="http://schemas.openxmlformats.org/officeDocument/2006/relationships/image" Target="media/image650.png"/><Relationship Id="rId679" Type="http://schemas.openxmlformats.org/officeDocument/2006/relationships/image" Target="media/image651.png"/><Relationship Id="rId632" Type="http://schemas.openxmlformats.org/officeDocument/2006/relationships/hyperlink" Target="https://www.sec.gov/Archives/edgar/data/1925309/000119312522226504/d260658dex31.htm" TargetMode="External"/><Relationship Id="rId633" Type="http://schemas.openxmlformats.org/officeDocument/2006/relationships/hyperlink" Target="https://www.sec.gov/Archives/edgar/data/1925309/000119312522183512/d260658dex32.htm" TargetMode="External"/><Relationship Id="rId634" Type="http://schemas.openxmlformats.org/officeDocument/2006/relationships/hyperlink" Target="https://www.sec.gov/Archives/edgar/data/1925309/000119312522183512/d260658dex41.htm" TargetMode="External"/><Relationship Id="rId635" Type="http://schemas.openxmlformats.org/officeDocument/2006/relationships/hyperlink" Target="https://www.sec.gov/Archives/edgar/data/1925309/000095017024016336/ck0001925309-ex4_2.htm" TargetMode="External"/><Relationship Id="rId636" Type="http://schemas.openxmlformats.org/officeDocument/2006/relationships/hyperlink" Target="https://www.sec.gov/Archives/edgar/data/1925309/000119312524069137/d813134dex41.htm" TargetMode="External"/><Relationship Id="rId637" Type="http://schemas.openxmlformats.org/officeDocument/2006/relationships/hyperlink" Target="https://www.sec.gov/Archives/edgar/data/1925309/000119312524069137/d813134dex42.htm" TargetMode="External"/><Relationship Id="rId638" Type="http://schemas.openxmlformats.org/officeDocument/2006/relationships/hyperlink" Target="https://www.sec.gov/Archives/edgar/data/1925309/000119312524069137/d813134dex44.htm" TargetMode="External"/><Relationship Id="rId639" Type="http://schemas.openxmlformats.org/officeDocument/2006/relationships/hyperlink" Target="https://www.sec.gov/Archives/edgar/data/1925309/000119312524165652/d859581dex43.htm" TargetMode="External"/><Relationship Id="rId640" Type="http://schemas.openxmlformats.org/officeDocument/2006/relationships/hyperlink" Target="https://www.sec.gov/Archives/edgar/data/1925309/000119312524165652/d859581dex45.htm" TargetMode="External"/><Relationship Id="rId641" Type="http://schemas.openxmlformats.org/officeDocument/2006/relationships/hyperlink" Target="https://www.sec.gov/Archives/edgar/data/1925309/000119312524222899/d887743dex42.htm" TargetMode="External"/><Relationship Id="rId644" Type="http://schemas.openxmlformats.org/officeDocument/2006/relationships/hyperlink" Target="https://www.sec.gov/Archives/edgar/data/1925309/000119312524222899/d887743dex44.htm" TargetMode="External"/><Relationship Id="rId645" Type="http://schemas.openxmlformats.org/officeDocument/2006/relationships/hyperlink" Target="https://www.sec.gov/Archives/edgar/data/1925309/000119312522183512/d260658dex101.htm" TargetMode="External"/><Relationship Id="rId646" Type="http://schemas.openxmlformats.org/officeDocument/2006/relationships/hyperlink" Target="https://www.sec.gov/Archives/edgar/data/1925309/000119312522183512/d260658dex102.htm" TargetMode="External"/><Relationship Id="rId647" Type="http://schemas.openxmlformats.org/officeDocument/2006/relationships/hyperlink" Target="https://www.sec.gov/Archives/edgar/data/1925309/000119312522183512/d260658dex103.htm" TargetMode="External"/><Relationship Id="rId648" Type="http://schemas.openxmlformats.org/officeDocument/2006/relationships/hyperlink" Target="https://www.sec.gov/Archives/edgar/data/1925309/000119312522183512/d260658dex104.htm" TargetMode="External"/><Relationship Id="rId649" Type="http://schemas.openxmlformats.org/officeDocument/2006/relationships/hyperlink" Target="https://www.sec.gov/Archives/edgar/data/1925309/000119312522183512/d260658dex105.htm" TargetMode="External"/><Relationship Id="rId650" Type="http://schemas.openxmlformats.org/officeDocument/2006/relationships/hyperlink" Target="https://www.sec.gov/Archives/edgar/data/1925309/000119312522226504/d260658dex106.htm" TargetMode="External"/><Relationship Id="rId651" Type="http://schemas.openxmlformats.org/officeDocument/2006/relationships/hyperlink" Target="https://www.sec.gov/Archives/edgar/data/1925309/000119312522239007/d304088dex101.htm" TargetMode="External"/><Relationship Id="rId652" Type="http://schemas.openxmlformats.org/officeDocument/2006/relationships/hyperlink" Target="https://www.sec.gov/Archives/edgar/data/1925309/000119312522311034/d413255dex101.htm" TargetMode="External"/><Relationship Id="rId653" Type="http://schemas.openxmlformats.org/officeDocument/2006/relationships/hyperlink" Target="https://www.sec.gov/Archives/edgar/data/1925309/000119312523014261/d426575dex101.htm" TargetMode="External"/><Relationship Id="rId654" Type="http://schemas.openxmlformats.org/officeDocument/2006/relationships/hyperlink" Target="https://www.sec.gov/Archives/edgar/data/1925309/000119312524030209/d7346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2025-02-14T15:25:00Z</dcterms:created>
  <dcterms:modified xsi:type="dcterms:W3CDTF">2025-02-14T15:25:00Z</dcterms:modified>
</cp:coreProperties>
</file>