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27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11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 xml:space="preserve">(Amendment No. ) </w:t>
      </w:r>
      <w:r>
        <w:rPr>
          <w:rFonts w:ascii="Times New Roman" w:cs="Times New Roman" w:eastAsia="Times New Roman" w:hAnsi="Times New Roman"/>
          <w:sz w:val="35"/>
          <w:szCs w:val="35"/>
          <w:color w:val="auto"/>
          <w:vertAlign w:val="superscript"/>
        </w:rPr>
        <w:t>*</w:t>
      </w:r>
    </w:p>
    <w:p>
      <w:pPr>
        <w:spacing w:after="0" w:line="9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SIXTH STREET LENDING PARTNERS</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of Issuer)</w:t>
      </w:r>
    </w:p>
    <w:p>
      <w:pPr>
        <w:spacing w:after="0" w:line="2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Common shares of beneficial interest, par value $0.001 per share</w:t>
      </w:r>
    </w:p>
    <w:p>
      <w:pPr>
        <w:spacing w:after="0" w:line="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N/A</w:t>
      </w:r>
    </w:p>
    <w:p>
      <w:pPr>
        <w:spacing w:after="0" w:line="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(CUSIP Number)</w:t>
      </w:r>
    </w:p>
    <w:p>
      <w:pPr>
        <w:spacing w:after="0" w:line="2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October 27, 2022</w:t>
      </w:r>
    </w:p>
    <w:p>
      <w:pPr>
        <w:spacing w:after="0" w:line="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Event Which Requires Filing this Statement)</w:t>
      </w:r>
    </w:p>
    <w:p>
      <w:pPr>
        <w:spacing w:after="0" w:line="3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17" w:lineRule="exact"/>
        <w:rPr>
          <w:sz w:val="24"/>
          <w:szCs w:val="24"/>
          <w:color w:val="auto"/>
        </w:rPr>
      </w:pPr>
    </w:p>
    <w:p>
      <w:pPr>
        <w:ind w:left="220"/>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Rule 13d-1(b)</w:t>
      </w:r>
    </w:p>
    <w:p>
      <w:pPr>
        <w:spacing w:after="0" w:line="22" w:lineRule="exact"/>
        <w:rPr>
          <w:sz w:val="24"/>
          <w:szCs w:val="24"/>
          <w:color w:val="auto"/>
        </w:rPr>
      </w:pPr>
    </w:p>
    <w:p>
      <w:pPr>
        <w:jc w:val="both"/>
        <w:ind w:left="220" w:right="9760" w:hanging="5"/>
        <w:spacing w:after="0" w:line="330" w:lineRule="auto"/>
        <w:tabs>
          <w:tab w:leader="none" w:pos="427" w:val="left"/>
        </w:tabs>
        <w:numPr>
          <w:ilvl w:val="1"/>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Rule 13d-1(c) </w:t>
      </w:r>
      <w:r>
        <w:rPr>
          <w:rFonts w:ascii="Wingdings" w:cs="Wingdings" w:eastAsia="Wingdings" w:hAnsi="Wingdings"/>
          <w:sz w:val="16"/>
          <w:szCs w:val="16"/>
          <w:b w:val="1"/>
          <w:bCs w:val="1"/>
          <w:color w:val="auto"/>
        </w:rPr>
        <w:t xml:space="preserve">o </w:t>
      </w:r>
      <w:r>
        <w:rPr>
          <w:rFonts w:ascii="Times New Roman" w:cs="Times New Roman" w:eastAsia="Times New Roman" w:hAnsi="Times New Roman"/>
          <w:sz w:val="16"/>
          <w:szCs w:val="16"/>
          <w:color w:val="auto"/>
        </w:rPr>
        <w:t>Rule 13d-1(d)</w:t>
      </w:r>
    </w:p>
    <w:p>
      <w:pPr>
        <w:spacing w:after="0" w:line="348" w:lineRule="exact"/>
        <w:rPr>
          <w:rFonts w:ascii="MS PGothic" w:cs="MS PGothic" w:eastAsia="MS PGothic" w:hAnsi="MS PGothic"/>
          <w:sz w:val="16"/>
          <w:szCs w:val="16"/>
          <w:color w:val="auto"/>
        </w:rPr>
      </w:pPr>
    </w:p>
    <w:p>
      <w:pPr>
        <w:spacing w:after="0" w:line="216" w:lineRule="auto"/>
        <w:rPr>
          <w:rFonts w:ascii="MS PGothic" w:cs="MS PGothic" w:eastAsia="MS PGothic" w:hAnsi="MS PGothic"/>
          <w:sz w:val="16"/>
          <w:szCs w:val="16"/>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90"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89" w:right="3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1"/>
        </w:trPr>
        <w:tc>
          <w:tcPr>
            <w:tcW w:w="8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CUSIP</w:t>
            </w:r>
          </w:p>
        </w:tc>
        <w:tc>
          <w:tcPr>
            <w:tcW w:w="2040" w:type="dxa"/>
            <w:vAlign w:val="bottom"/>
            <w:tcBorders>
              <w:top w:val="single" w:sz="8" w:color="auto"/>
              <w:left w:val="single" w:sz="8" w:color="auto"/>
              <w:right w:val="single" w:sz="8" w:color="auto"/>
            </w:tcBorders>
          </w:tcPr>
          <w:p>
            <w:pPr>
              <w:ind w:left="860"/>
              <w:spacing w:after="0" w:line="201" w:lineRule="exact"/>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42"/>
        </w:trPr>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w:t>
            </w:r>
          </w:p>
        </w:tc>
        <w:tc>
          <w:tcPr>
            <w:tcW w:w="2040" w:type="dxa"/>
            <w:vAlign w:val="bottom"/>
            <w:tcBorders>
              <w:left w:val="single" w:sz="8" w:color="auto"/>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800" w:type="dxa"/>
            <w:vAlign w:val="bottom"/>
            <w:vMerge w:val="continue"/>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920" w:right="7680" w:hanging="704"/>
        <w:spacing w:after="0" w:line="180" w:lineRule="auto"/>
        <w:tabs>
          <w:tab w:leader="none" w:pos="920" w:val="left"/>
        </w:tabs>
        <w:numPr>
          <w:ilvl w:val="0"/>
          <w:numId w:val="2"/>
        </w:numPr>
        <w:rPr>
          <w:rFonts w:ascii="Times New Roman" w:cs="Times New Roman" w:eastAsia="Times New Roman" w:hAnsi="Times New Roman"/>
          <w:sz w:val="35"/>
          <w:szCs w:val="35"/>
          <w:b w:val="1"/>
          <w:bCs w:val="1"/>
          <w:color w:val="auto"/>
          <w:vertAlign w:val="subscript"/>
        </w:rPr>
      </w:pPr>
      <w:r>
        <w:rPr>
          <w:rFonts w:ascii="Times New Roman" w:cs="Times New Roman" w:eastAsia="Times New Roman" w:hAnsi="Times New Roman"/>
          <w:sz w:val="14"/>
          <w:szCs w:val="14"/>
          <w:color w:val="auto"/>
        </w:rPr>
        <w:t>NAMES OF REPORTING PERSONS Qatar Investment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132320" cy="27857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785745"/>
                    </a:xfrm>
                    <a:prstGeom prst="rect">
                      <a:avLst/>
                    </a:prstGeom>
                    <a:noFill/>
                  </pic:spPr>
                </pic:pic>
              </a:graphicData>
            </a:graphic>
          </wp:anchor>
        </w:drawing>
      </w:r>
    </w:p>
    <w:p>
      <w:pPr>
        <w:ind w:left="920" w:hanging="704"/>
        <w:spacing w:after="0" w:line="233" w:lineRule="auto"/>
        <w:tabs>
          <w:tab w:leader="none" w:pos="920" w:val="left"/>
        </w:tabs>
        <w:numPr>
          <w:ilvl w:val="0"/>
          <w:numId w:val="3"/>
        </w:numPr>
        <w:rPr>
          <w:rFonts w:ascii="Times New Roman" w:cs="Times New Roman" w:eastAsia="Times New Roman" w:hAnsi="Times New Roman"/>
          <w:sz w:val="63"/>
          <w:szCs w:val="63"/>
          <w:b w:val="1"/>
          <w:bCs w:val="1"/>
          <w:color w:val="auto"/>
          <w:vertAlign w:val="subscript"/>
        </w:rPr>
      </w:pPr>
      <w:r>
        <w:rPr>
          <w:rFonts w:ascii="Times New Roman" w:cs="Times New Roman" w:eastAsia="Times New Roman" w:hAnsi="Times New Roman"/>
          <w:sz w:val="17"/>
          <w:szCs w:val="17"/>
          <w:color w:val="auto"/>
        </w:rPr>
        <w:t>CHECK THE APPROPRIATE BOX IF A MEMBER OF A GROUP (SEE INSTRUCTIONS)</w:t>
      </w:r>
    </w:p>
    <w:p>
      <w:pPr>
        <w:spacing w:after="0" w:line="232" w:lineRule="exact"/>
        <w:rPr>
          <w:rFonts w:ascii="Times New Roman" w:cs="Times New Roman" w:eastAsia="Times New Roman" w:hAnsi="Times New Roman"/>
          <w:sz w:val="63"/>
          <w:szCs w:val="63"/>
          <w:b w:val="1"/>
          <w:bCs w:val="1"/>
          <w:color w:val="auto"/>
          <w:vertAlign w:val="subscript"/>
        </w:rPr>
      </w:pPr>
    </w:p>
    <w:p>
      <w:pPr>
        <w:ind w:left="1280" w:hanging="355"/>
        <w:spacing w:after="0"/>
        <w:tabs>
          <w:tab w:leader="none" w:pos="1280" w:val="left"/>
        </w:tabs>
        <w:numPr>
          <w:ilvl w:val="1"/>
          <w:numId w:val="3"/>
        </w:numPr>
        <w:rPr>
          <w:rFonts w:ascii="Times New Roman" w:cs="Times New Roman" w:eastAsia="Times New Roman" w:hAnsi="Times New Roman"/>
          <w:sz w:val="17"/>
          <w:szCs w:val="17"/>
          <w:color w:val="auto"/>
        </w:rPr>
      </w:pPr>
      <w:r>
        <w:rPr>
          <w:rFonts w:ascii="Wingdings" w:cs="Wingdings" w:eastAsia="Wingdings" w:hAnsi="Wingdings"/>
          <w:sz w:val="17"/>
          <w:szCs w:val="17"/>
          <w:b w:val="1"/>
          <w:bCs w:val="1"/>
          <w:color w:val="auto"/>
        </w:rPr>
        <w:t>o</w:t>
      </w:r>
    </w:p>
    <w:p>
      <w:pPr>
        <w:spacing w:after="0" w:line="17" w:lineRule="exact"/>
        <w:rPr>
          <w:rFonts w:ascii="Times New Roman" w:cs="Times New Roman" w:eastAsia="Times New Roman" w:hAnsi="Times New Roman"/>
          <w:sz w:val="17"/>
          <w:szCs w:val="17"/>
          <w:color w:val="auto"/>
        </w:rPr>
      </w:pPr>
    </w:p>
    <w:p>
      <w:pPr>
        <w:ind w:left="1300" w:hanging="375"/>
        <w:spacing w:after="0" w:line="196" w:lineRule="exact"/>
        <w:tabs>
          <w:tab w:leader="none" w:pos="1300" w:val="left"/>
        </w:tabs>
        <w:numPr>
          <w:ilvl w:val="1"/>
          <w:numId w:val="3"/>
        </w:numPr>
        <w:rPr>
          <w:rFonts w:ascii="Times New Roman" w:cs="Times New Roman" w:eastAsia="Times New Roman" w:hAnsi="Times New Roman"/>
          <w:sz w:val="17"/>
          <w:szCs w:val="17"/>
          <w:color w:val="auto"/>
        </w:rPr>
      </w:pPr>
      <w:r>
        <w:rPr>
          <w:rFonts w:ascii="MS PGothic" w:cs="MS PGothic" w:eastAsia="MS PGothic" w:hAnsi="MS PGothic"/>
          <w:sz w:val="17"/>
          <w:szCs w:val="17"/>
          <w:color w:val="auto"/>
        </w:rPr>
        <w:t>☑</w:t>
      </w:r>
    </w:p>
    <w:p>
      <w:pPr>
        <w:spacing w:after="0" w:line="312" w:lineRule="exact"/>
        <w:rPr>
          <w:sz w:val="20"/>
          <w:szCs w:val="20"/>
          <w:color w:val="auto"/>
        </w:rPr>
      </w:pPr>
    </w:p>
    <w:p>
      <w:pPr>
        <w:ind w:left="920" w:hanging="704"/>
        <w:spacing w:after="0"/>
        <w:tabs>
          <w:tab w:leader="none" w:pos="920" w:val="left"/>
        </w:tabs>
        <w:numPr>
          <w:ilvl w:val="0"/>
          <w:numId w:val="4"/>
        </w:numPr>
        <w:rPr>
          <w:rFonts w:ascii="Times New Roman" w:cs="Times New Roman" w:eastAsia="Times New Roman" w:hAnsi="Times New Roman"/>
          <w:sz w:val="31"/>
          <w:szCs w:val="31"/>
          <w:b w:val="1"/>
          <w:bCs w:val="1"/>
          <w:color w:val="auto"/>
        </w:rPr>
      </w:pPr>
      <w:r>
        <w:rPr>
          <w:rFonts w:ascii="Times New Roman" w:cs="Times New Roman" w:eastAsia="Times New Roman" w:hAnsi="Times New Roman"/>
          <w:sz w:val="17"/>
          <w:szCs w:val="17"/>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920" w:right="6840" w:hanging="704"/>
        <w:spacing w:after="0" w:line="202" w:lineRule="auto"/>
        <w:tabs>
          <w:tab w:leader="none" w:pos="920" w:val="left"/>
        </w:tabs>
        <w:numPr>
          <w:ilvl w:val="0"/>
          <w:numId w:val="5"/>
        </w:numPr>
        <w:rPr>
          <w:rFonts w:ascii="Times New Roman" w:cs="Times New Roman" w:eastAsia="Times New Roman" w:hAnsi="Times New Roman"/>
          <w:sz w:val="31"/>
          <w:szCs w:val="31"/>
          <w:b w:val="1"/>
          <w:bCs w:val="1"/>
          <w:color w:val="auto"/>
        </w:rPr>
      </w:pPr>
      <w:r>
        <w:rPr>
          <w:rFonts w:ascii="Times New Roman" w:cs="Times New Roman" w:eastAsia="Times New Roman" w:hAnsi="Times New Roman"/>
          <w:sz w:val="17"/>
          <w:szCs w:val="17"/>
          <w:color w:val="auto"/>
        </w:rPr>
        <w:t>CITIZENSHIP OR PLACE OF ORGANIZATION Qatar</w:t>
      </w:r>
    </w:p>
    <w:p>
      <w:pPr>
        <w:sectPr>
          <w:pgSz w:w="11900" w:h="16838" w:orient="portrait"/>
          <w:cols w:equalWidth="0" w:num="1">
            <w:col w:w="11240"/>
          </w:cols>
          <w:pgMar w:left="320" w:top="8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NUMBER OF</w:t>
      </w:r>
    </w:p>
    <w:p>
      <w:pPr>
        <w:spacing w:after="0" w:line="200" w:lineRule="exact"/>
        <w:rPr>
          <w:sz w:val="20"/>
          <w:szCs w:val="20"/>
          <w:color w:val="auto"/>
        </w:rPr>
      </w:pPr>
    </w:p>
    <w:p>
      <w:pPr>
        <w:spacing w:after="0" w:line="226" w:lineRule="exact"/>
        <w:rPr>
          <w:sz w:val="20"/>
          <w:szCs w:val="20"/>
          <w:color w:val="auto"/>
        </w:rPr>
      </w:pPr>
    </w:p>
    <w:p>
      <w:pPr>
        <w:jc w:val="center"/>
        <w:ind w:left="120"/>
        <w:spacing w:after="0" w:line="314" w:lineRule="auto"/>
        <w:rPr>
          <w:sz w:val="20"/>
          <w:szCs w:val="20"/>
          <w:color w:val="auto"/>
        </w:rPr>
      </w:pPr>
      <w:r>
        <w:rPr>
          <w:rFonts w:ascii="Times New Roman" w:cs="Times New Roman" w:eastAsia="Times New Roman" w:hAnsi="Times New Roman"/>
          <w:sz w:val="17"/>
          <w:szCs w:val="17"/>
          <w:color w:val="auto"/>
        </w:rPr>
        <w:t>SHARES BENEFICIALLY OWNED BY</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ind w:left="397" w:right="7420" w:hanging="397"/>
        <w:spacing w:after="0" w:line="403" w:lineRule="auto"/>
        <w:tabs>
          <w:tab w:leader="none" w:pos="397" w:val="left"/>
        </w:tabs>
        <w:numPr>
          <w:ilvl w:val="0"/>
          <w:numId w:val="6"/>
        </w:numPr>
        <w:rPr>
          <w:rFonts w:ascii="Times New Roman" w:cs="Times New Roman" w:eastAsia="Times New Roman" w:hAnsi="Times New Roman"/>
          <w:sz w:val="31"/>
          <w:szCs w:val="31"/>
          <w:b w:val="1"/>
          <w:bCs w:val="1"/>
          <w:color w:val="auto"/>
        </w:rPr>
      </w:pPr>
      <w:r>
        <w:rPr>
          <w:rFonts w:ascii="Times New Roman" w:cs="Times New Roman" w:eastAsia="Times New Roman" w:hAnsi="Times New Roman"/>
          <w:sz w:val="17"/>
          <w:szCs w:val="17"/>
          <w:color w:val="auto"/>
        </w:rPr>
        <w:t>SOLE VOTING POWER 1,470,977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-137160</wp:posOffset>
            </wp:positionV>
            <wp:extent cx="6197600" cy="394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97600" cy="394335"/>
                    </a:xfrm>
                    <a:prstGeom prst="rect">
                      <a:avLst/>
                    </a:prstGeom>
                    <a:noFill/>
                  </pic:spPr>
                </pic:pic>
              </a:graphicData>
            </a:graphic>
          </wp:anchor>
        </w:drawing>
      </w:r>
    </w:p>
    <w:p>
      <w:pPr>
        <w:spacing w:after="0" w:line="160" w:lineRule="exact"/>
        <w:rPr>
          <w:sz w:val="20"/>
          <w:szCs w:val="20"/>
          <w:color w:val="auto"/>
        </w:rPr>
      </w:pPr>
    </w:p>
    <w:p>
      <w:pPr>
        <w:ind w:left="397" w:right="7180" w:hanging="397"/>
        <w:spacing w:after="0" w:line="403" w:lineRule="auto"/>
        <w:tabs>
          <w:tab w:leader="none" w:pos="397" w:val="left"/>
        </w:tabs>
        <w:numPr>
          <w:ilvl w:val="0"/>
          <w:numId w:val="7"/>
        </w:numPr>
        <w:rPr>
          <w:rFonts w:ascii="Times New Roman" w:cs="Times New Roman" w:eastAsia="Times New Roman" w:hAnsi="Times New Roman"/>
          <w:sz w:val="31"/>
          <w:szCs w:val="31"/>
          <w:b w:val="1"/>
          <w:bCs w:val="1"/>
          <w:color w:val="auto"/>
        </w:rPr>
      </w:pPr>
      <w:r>
        <w:rPr>
          <w:rFonts w:ascii="Times New Roman" w:cs="Times New Roman" w:eastAsia="Times New Roman" w:hAnsi="Times New Roman"/>
          <w:sz w:val="17"/>
          <w:szCs w:val="17"/>
          <w:color w:val="auto"/>
        </w:rPr>
        <w:t>SHARED VOTING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-137160</wp:posOffset>
            </wp:positionV>
            <wp:extent cx="6197600" cy="394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97600" cy="394335"/>
                    </a:xfrm>
                    <a:prstGeom prst="rect">
                      <a:avLst/>
                    </a:prstGeom>
                    <a:noFill/>
                  </pic:spPr>
                </pic:pic>
              </a:graphicData>
            </a:graphic>
          </wp:anchor>
        </w:drawing>
      </w:r>
    </w:p>
    <w:p>
      <w:pPr>
        <w:spacing w:after="0" w:line="180" w:lineRule="exact"/>
        <w:rPr>
          <w:sz w:val="20"/>
          <w:szCs w:val="20"/>
          <w:color w:val="auto"/>
        </w:rPr>
      </w:pPr>
    </w:p>
    <w:p>
      <w:pPr>
        <w:sectPr>
          <w:pgSz w:w="11900" w:h="16838" w:orient="portrait"/>
          <w:cols w:equalWidth="0" w:num="2">
            <w:col w:w="1340" w:space="303"/>
            <w:col w:w="9597"/>
          </w:cols>
          <w:pgMar w:left="320" w:top="818" w:right="339" w:bottom="1440" w:gutter="0" w:footer="0" w:header="0"/>
          <w:type w:val="continuous"/>
        </w:sectPr>
      </w:pPr>
    </w:p>
    <w:p>
      <w:pPr>
        <w:jc w:val="center"/>
        <w:ind w:left="260"/>
        <w:spacing w:after="0"/>
        <w:rPr>
          <w:sz w:val="20"/>
          <w:szCs w:val="20"/>
          <w:color w:val="auto"/>
        </w:rPr>
      </w:pPr>
      <w:r>
        <w:rPr>
          <w:rFonts w:ascii="Times New Roman" w:cs="Times New Roman" w:eastAsia="Times New Roman" w:hAnsi="Times New Roman"/>
          <w:sz w:val="17"/>
          <w:szCs w:val="17"/>
          <w:color w:val="auto"/>
        </w:rPr>
        <w:t>EACH</w:t>
      </w:r>
    </w:p>
    <w:p>
      <w:pPr>
        <w:spacing w:after="0" w:line="48"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6"/>
          <w:szCs w:val="16"/>
          <w:color w:val="auto"/>
        </w:rPr>
        <w:t>REPORTING</w:t>
      </w:r>
    </w:p>
    <w:p>
      <w:pPr>
        <w:spacing w:after="0" w:line="59"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7"/>
          <w:szCs w:val="17"/>
          <w:color w:val="auto"/>
        </w:rPr>
        <w:t>PERSON</w:t>
      </w:r>
    </w:p>
    <w:p>
      <w:pPr>
        <w:spacing w:after="0" w:line="200" w:lineRule="exact"/>
        <w:rPr>
          <w:sz w:val="20"/>
          <w:szCs w:val="20"/>
          <w:color w:val="auto"/>
        </w:rPr>
      </w:pPr>
    </w:p>
    <w:p>
      <w:pPr>
        <w:spacing w:after="0" w:line="22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WITH:</w:t>
      </w:r>
    </w:p>
    <w:p>
      <w:pPr>
        <w:spacing w:after="0" w:line="20" w:lineRule="exact"/>
        <w:rPr>
          <w:sz w:val="20"/>
          <w:szCs w:val="20"/>
          <w:color w:val="auto"/>
        </w:rPr>
      </w:pPr>
      <w:r>
        <w:rPr>
          <w:sz w:val="20"/>
          <w:szCs w:val="20"/>
          <w:color w:val="auto"/>
        </w:rPr>
        <w:br w:type="column"/>
      </w:r>
    </w:p>
    <w:p>
      <w:pPr>
        <w:ind w:left="397" w:right="7040" w:hanging="397"/>
        <w:spacing w:after="0" w:line="403" w:lineRule="auto"/>
        <w:tabs>
          <w:tab w:leader="none" w:pos="397" w:val="left"/>
        </w:tabs>
        <w:numPr>
          <w:ilvl w:val="0"/>
          <w:numId w:val="8"/>
        </w:numPr>
        <w:rPr>
          <w:rFonts w:ascii="Times New Roman" w:cs="Times New Roman" w:eastAsia="Times New Roman" w:hAnsi="Times New Roman"/>
          <w:sz w:val="31"/>
          <w:szCs w:val="31"/>
          <w:b w:val="1"/>
          <w:bCs w:val="1"/>
          <w:color w:val="auto"/>
        </w:rPr>
      </w:pPr>
      <w:r>
        <w:rPr>
          <w:rFonts w:ascii="Times New Roman" w:cs="Times New Roman" w:eastAsia="Times New Roman" w:hAnsi="Times New Roman"/>
          <w:sz w:val="17"/>
          <w:szCs w:val="17"/>
          <w:color w:val="auto"/>
        </w:rPr>
        <w:t>SOLE DISPOSITIVE POWER 1,470,977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-137160</wp:posOffset>
            </wp:positionV>
            <wp:extent cx="6197600" cy="394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97600" cy="394335"/>
                    </a:xfrm>
                    <a:prstGeom prst="rect">
                      <a:avLst/>
                    </a:prstGeom>
                    <a:noFill/>
                  </pic:spPr>
                </pic:pic>
              </a:graphicData>
            </a:graphic>
          </wp:anchor>
        </w:drawing>
      </w:r>
    </w:p>
    <w:p>
      <w:pPr>
        <w:spacing w:after="0" w:line="26" w:lineRule="exact"/>
        <w:rPr>
          <w:sz w:val="20"/>
          <w:szCs w:val="20"/>
          <w:color w:val="auto"/>
        </w:rPr>
      </w:pPr>
    </w:p>
    <w:p>
      <w:pPr>
        <w:ind w:left="397" w:hanging="397"/>
        <w:spacing w:after="0"/>
        <w:tabs>
          <w:tab w:leader="none" w:pos="397" w:val="left"/>
        </w:tabs>
        <w:numPr>
          <w:ilvl w:val="0"/>
          <w:numId w:val="9"/>
        </w:numPr>
        <w:rPr>
          <w:rFonts w:ascii="Times New Roman" w:cs="Times New Roman" w:eastAsia="Times New Roman" w:hAnsi="Times New Roman"/>
          <w:sz w:val="31"/>
          <w:szCs w:val="31"/>
          <w:b w:val="1"/>
          <w:bCs w:val="1"/>
          <w:color w:val="auto"/>
        </w:rPr>
      </w:pPr>
      <w:r>
        <w:rPr>
          <w:rFonts w:ascii="Times New Roman" w:cs="Times New Roman" w:eastAsia="Times New Roman" w:hAnsi="Times New Roman"/>
          <w:sz w:val="17"/>
          <w:szCs w:val="17"/>
          <w:color w:val="auto"/>
        </w:rPr>
        <w:t>SHARED DISPOSITIVE POWER</w:t>
      </w:r>
    </w:p>
    <w:p>
      <w:pPr>
        <w:spacing w:after="0" w:line="200" w:lineRule="exact"/>
        <w:rPr>
          <w:sz w:val="20"/>
          <w:szCs w:val="20"/>
          <w:color w:val="auto"/>
        </w:rPr>
      </w:pPr>
    </w:p>
    <w:p>
      <w:pPr>
        <w:sectPr>
          <w:pgSz w:w="11900" w:h="16838" w:orient="portrait"/>
          <w:cols w:equalWidth="0" w:num="2">
            <w:col w:w="1200" w:space="443"/>
            <w:col w:w="9597"/>
          </w:cols>
          <w:pgMar w:left="320" w:top="818" w:right="339" w:bottom="1440" w:gutter="0" w:footer="0" w:header="0"/>
          <w:type w:val="continuous"/>
        </w:sectPr>
      </w:pPr>
    </w:p>
    <w:p>
      <w:pPr>
        <w:spacing w:after="0" w:line="54"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1945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19456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920" w:right="4100" w:hanging="704"/>
        <w:spacing w:after="0" w:line="203" w:lineRule="auto"/>
        <w:tabs>
          <w:tab w:leader="none" w:pos="920" w:val="left"/>
        </w:tabs>
        <w:numPr>
          <w:ilvl w:val="0"/>
          <w:numId w:val="10"/>
        </w:numPr>
        <w:rPr>
          <w:rFonts w:ascii="Times New Roman" w:cs="Times New Roman" w:eastAsia="Times New Roman" w:hAnsi="Times New Roman"/>
          <w:sz w:val="31"/>
          <w:szCs w:val="31"/>
          <w:b w:val="1"/>
          <w:bCs w:val="1"/>
          <w:color w:val="auto"/>
        </w:rPr>
      </w:pPr>
      <w:r>
        <w:rPr>
          <w:rFonts w:ascii="Times New Roman" w:cs="Times New Roman" w:eastAsia="Times New Roman" w:hAnsi="Times New Roman"/>
          <w:sz w:val="17"/>
          <w:szCs w:val="17"/>
          <w:color w:val="auto"/>
        </w:rPr>
        <w:t>AGGREGATE AMOUNT BENEFICIALLY OWNED BY EACH REPORTING PERSON 1,470,977 (see Item 4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680" w:type="dxa"/>
            <w:vAlign w:val="bottom"/>
          </w:tcPr>
          <w:p>
            <w:pPr>
              <w:jc w:val="center"/>
              <w:spacing w:after="0"/>
              <w:rPr>
                <w:sz w:val="20"/>
                <w:szCs w:val="20"/>
                <w:color w:val="auto"/>
              </w:rPr>
            </w:pPr>
            <w:r>
              <w:rPr>
                <w:rFonts w:ascii="Times New Roman" w:cs="Times New Roman" w:eastAsia="Times New Roman" w:hAnsi="Times New Roman"/>
                <w:sz w:val="31"/>
                <w:szCs w:val="31"/>
                <w:b w:val="1"/>
                <w:bCs w:val="1"/>
                <w:color w:val="auto"/>
              </w:rPr>
              <w:t>10</w:t>
            </w:r>
          </w:p>
        </w:tc>
        <w:tc>
          <w:tcPr>
            <w:tcW w:w="105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CHECK IF THE AGGREGATE AMOUNT IN ROW (9) EXCLUDES CERTAIN SHARES (SEE INSTRUCTIONS)</w:t>
            </w:r>
          </w:p>
        </w:tc>
      </w:tr>
      <w:tr>
        <w:trPr>
          <w:trHeight w:val="225"/>
        </w:trPr>
        <w:tc>
          <w:tcPr>
            <w:tcW w:w="680" w:type="dxa"/>
            <w:vAlign w:val="bottom"/>
            <w:tcBorders>
              <w:bottom w:val="single" w:sz="8" w:color="auto"/>
            </w:tcBorders>
          </w:tcPr>
          <w:p>
            <w:pPr>
              <w:spacing w:after="0"/>
              <w:rPr>
                <w:sz w:val="19"/>
                <w:szCs w:val="19"/>
                <w:color w:val="auto"/>
              </w:rPr>
            </w:pPr>
          </w:p>
        </w:tc>
        <w:tc>
          <w:tcPr>
            <w:tcW w:w="10560" w:type="dxa"/>
            <w:vAlign w:val="bottom"/>
            <w:tcBorders>
              <w:bottom w:val="single" w:sz="8" w:color="auto"/>
            </w:tcBorders>
          </w:tcPr>
          <w:p>
            <w:pPr>
              <w:ind w:left="240"/>
              <w:spacing w:after="0"/>
              <w:rPr>
                <w:sz w:val="20"/>
                <w:szCs w:val="20"/>
                <w:color w:val="auto"/>
              </w:rPr>
            </w:pPr>
            <w:r>
              <w:rPr>
                <w:rFonts w:ascii="Wingdings" w:cs="Wingdings" w:eastAsia="Wingdings" w:hAnsi="Wingdings"/>
                <w:sz w:val="17"/>
                <w:szCs w:val="17"/>
                <w:b w:val="1"/>
                <w:bCs w:val="1"/>
                <w:color w:val="auto"/>
              </w:rPr>
              <w:t>o</w:t>
            </w:r>
          </w:p>
        </w:tc>
      </w:tr>
      <w:tr>
        <w:trPr>
          <w:trHeight w:val="613"/>
        </w:trPr>
        <w:tc>
          <w:tcPr>
            <w:tcW w:w="680" w:type="dxa"/>
            <w:vAlign w:val="bottom"/>
          </w:tcPr>
          <w:p>
            <w:pPr>
              <w:jc w:val="center"/>
              <w:spacing w:after="0"/>
              <w:rPr>
                <w:sz w:val="20"/>
                <w:szCs w:val="20"/>
                <w:color w:val="auto"/>
              </w:rPr>
            </w:pPr>
            <w:r>
              <w:rPr>
                <w:rFonts w:ascii="Times New Roman" w:cs="Times New Roman" w:eastAsia="Times New Roman" w:hAnsi="Times New Roman"/>
                <w:sz w:val="31"/>
                <w:szCs w:val="31"/>
                <w:b w:val="1"/>
                <w:bCs w:val="1"/>
                <w:color w:val="auto"/>
                <w:w w:val="96"/>
              </w:rPr>
              <w:t>11</w:t>
            </w:r>
          </w:p>
        </w:tc>
        <w:tc>
          <w:tcPr>
            <w:tcW w:w="105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PERCENT OF CLASS REPRESENTED BY AMOUNT IN ROW (9)</w:t>
            </w:r>
          </w:p>
        </w:tc>
      </w:tr>
      <w:tr>
        <w:trPr>
          <w:trHeight w:val="234"/>
        </w:trPr>
        <w:tc>
          <w:tcPr>
            <w:tcW w:w="680" w:type="dxa"/>
            <w:vAlign w:val="bottom"/>
            <w:tcBorders>
              <w:bottom w:val="single" w:sz="8" w:color="auto"/>
            </w:tcBorders>
          </w:tcPr>
          <w:p>
            <w:pPr>
              <w:spacing w:after="0"/>
              <w:rPr>
                <w:sz w:val="20"/>
                <w:szCs w:val="20"/>
                <w:color w:val="auto"/>
              </w:rPr>
            </w:pPr>
          </w:p>
        </w:tc>
        <w:tc>
          <w:tcPr>
            <w:tcW w:w="105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9.88% (1)</w:t>
            </w:r>
          </w:p>
        </w:tc>
      </w:tr>
      <w:tr>
        <w:trPr>
          <w:trHeight w:val="616"/>
        </w:trPr>
        <w:tc>
          <w:tcPr>
            <w:tcW w:w="680" w:type="dxa"/>
            <w:vAlign w:val="bottom"/>
          </w:tcPr>
          <w:p>
            <w:pPr>
              <w:jc w:val="center"/>
              <w:spacing w:after="0"/>
              <w:rPr>
                <w:sz w:val="20"/>
                <w:szCs w:val="20"/>
                <w:color w:val="auto"/>
              </w:rPr>
            </w:pPr>
            <w:r>
              <w:rPr>
                <w:rFonts w:ascii="Times New Roman" w:cs="Times New Roman" w:eastAsia="Times New Roman" w:hAnsi="Times New Roman"/>
                <w:sz w:val="31"/>
                <w:szCs w:val="31"/>
                <w:b w:val="1"/>
                <w:bCs w:val="1"/>
                <w:color w:val="auto"/>
              </w:rPr>
              <w:t>12</w:t>
            </w:r>
          </w:p>
        </w:tc>
        <w:tc>
          <w:tcPr>
            <w:tcW w:w="105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TYPE OF REPORTING PERSON (SEE INSTRUCTIONS)</w:t>
            </w:r>
          </w:p>
        </w:tc>
      </w:tr>
      <w:tr>
        <w:trPr>
          <w:trHeight w:val="226"/>
        </w:trPr>
        <w:tc>
          <w:tcPr>
            <w:tcW w:w="680" w:type="dxa"/>
            <w:vAlign w:val="bottom"/>
          </w:tcPr>
          <w:p>
            <w:pPr>
              <w:spacing w:after="0"/>
              <w:rPr>
                <w:sz w:val="19"/>
                <w:szCs w:val="19"/>
                <w:color w:val="auto"/>
              </w:rPr>
            </w:pPr>
          </w:p>
        </w:tc>
        <w:tc>
          <w:tcPr>
            <w:tcW w:w="105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OO</w:t>
            </w:r>
          </w:p>
        </w:tc>
      </w:tr>
    </w:tbl>
    <w:p>
      <w:pPr>
        <w:jc w:val="both"/>
        <w:ind w:left="660" w:right="620" w:hanging="328"/>
        <w:spacing w:after="0" w:line="292" w:lineRule="auto"/>
        <w:tabs>
          <w:tab w:leader="none" w:pos="6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14,886,052 Common shares of beneficial interest, par value $0.001 per share, of Sixth Street Lending Partners outstanding as of November 10, 2022, as reported in in the Issuer’s Form 10-Q, filed with the Securities and Exchange Commission on November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8" w:right="339" w:bottom="1440" w:gutter="0" w:footer="0" w:header="0"/>
          <w:type w:val="continuous"/>
        </w:sectPr>
      </w:pPr>
    </w:p>
    <w:bookmarkStart w:id="2" w:name="page3"/>
    <w:bookmarkEnd w:id="2"/>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28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Sixth Street Lending Partners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Address of Issuer’s Principal Executive Offices:</w:t>
      </w:r>
    </w:p>
    <w:p>
      <w:pPr>
        <w:spacing w:after="0" w:line="28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2100 McKinney Avenue,</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Suite 1500,</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Dallas, TX 75201</w:t>
      </w:r>
    </w:p>
    <w:p>
      <w:pPr>
        <w:spacing w:after="0" w:line="23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7"/>
          <w:szCs w:val="17"/>
          <w:b w:val="1"/>
          <w:bCs w:val="1"/>
          <w:color w:val="auto"/>
        </w:rPr>
        <w:t>Name of Person Filing:</w:t>
      </w:r>
    </w:p>
    <w:p>
      <w:pPr>
        <w:spacing w:after="0" w:line="28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Qatar Investment Authority (the “</w:t>
      </w:r>
      <w:r>
        <w:rPr>
          <w:rFonts w:ascii="Times New Roman" w:cs="Times New Roman" w:eastAsia="Times New Roman" w:hAnsi="Times New Roman"/>
          <w:sz w:val="18"/>
          <w:szCs w:val="18"/>
          <w:u w:val="single" w:color="auto"/>
          <w:color w:val="auto"/>
        </w:rPr>
        <w:t>Reporting Person</w:t>
      </w:r>
      <w:r>
        <w:rPr>
          <w:rFonts w:ascii="Times New Roman" w:cs="Times New Roman" w:eastAsia="Times New Roman" w:hAnsi="Times New Roman"/>
          <w:sz w:val="18"/>
          <w:szCs w:val="18"/>
          <w:color w:val="auto"/>
        </w:rPr>
        <w:t>”)</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2(b).  Address of Principal Business Office or, if none, Residence:</w:t>
      </w:r>
    </w:p>
    <w:p>
      <w:pPr>
        <w:spacing w:after="0" w:line="28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Ooredoo Tower (Building 14), Al Dafna Street (Street 801), Al Dafna (Zone 61), P.O. Box 23224, Doha, Qatar.</w:t>
      </w:r>
    </w:p>
    <w:p>
      <w:pPr>
        <w:spacing w:after="0" w:line="27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7"/>
          <w:szCs w:val="17"/>
          <w:b w:val="1"/>
          <w:bCs w:val="1"/>
          <w:color w:val="auto"/>
        </w:rPr>
        <w:t>Citizenship:</w:t>
      </w:r>
    </w:p>
    <w:p>
      <w:pPr>
        <w:spacing w:after="0" w:line="28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Qatar</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2(d).  Title of Class of Securities:</w:t>
      </w:r>
    </w:p>
    <w:p>
      <w:pPr>
        <w:spacing w:after="0" w:line="28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Common shares of beneficial interest, par value $0.001 per share.</w:t>
      </w:r>
    </w:p>
    <w:p>
      <w:pPr>
        <w:spacing w:after="0" w:line="27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color w:val="auto"/>
        </w:rPr>
        <w:t>CUSIP Number:</w:t>
      </w:r>
    </w:p>
    <w:p>
      <w:pPr>
        <w:spacing w:after="0" w:line="28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N/A</w:t>
      </w:r>
    </w:p>
    <w:p>
      <w:pPr>
        <w:spacing w:after="0" w:line="27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If this statement is filed pursuant to §§ 240.13d—1(b) or 240.13d—2(b) or (c), check whether the person filing is a:</w:t>
      </w:r>
    </w:p>
    <w:p>
      <w:pPr>
        <w:spacing w:after="0" w:line="28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Ownership.</w:t>
      </w:r>
    </w:p>
    <w:p>
      <w:pPr>
        <w:spacing w:after="0" w:line="28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Provide the following information regarding the aggregate number and percentage of the class of securities of the issuer identified in Item 1.</w:t>
      </w:r>
    </w:p>
    <w:p>
      <w:pPr>
        <w:spacing w:after="0" w:line="345" w:lineRule="exact"/>
        <w:rPr>
          <w:sz w:val="20"/>
          <w:szCs w:val="20"/>
          <w:color w:val="auto"/>
        </w:rPr>
      </w:pPr>
    </w:p>
    <w:p>
      <w:pPr>
        <w:ind w:left="1360" w:right="7600" w:hanging="569"/>
        <w:spacing w:after="0" w:line="516" w:lineRule="auto"/>
        <w:tabs>
          <w:tab w:leader="none" w:pos="1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1,470,977</w:t>
      </w:r>
    </w:p>
    <w:p>
      <w:pPr>
        <w:ind w:left="1360" w:hanging="569"/>
        <w:spacing w:after="0"/>
        <w:tabs>
          <w:tab w:leader="none" w:pos="1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9.88</w:t>
      </w:r>
      <w:r>
        <w:rPr>
          <w:rFonts w:ascii="Times New Roman" w:cs="Times New Roman" w:eastAsia="Times New Roman" w:hAnsi="Times New Roman"/>
          <w:sz w:val="17"/>
          <w:szCs w:val="17"/>
          <w:color w:val="auto"/>
        </w:rPr>
        <w:t>%</w:t>
      </w:r>
    </w:p>
    <w:p>
      <w:pPr>
        <w:spacing w:after="0" w:line="279" w:lineRule="exact"/>
        <w:rPr>
          <w:rFonts w:ascii="Times New Roman" w:cs="Times New Roman" w:eastAsia="Times New Roman" w:hAnsi="Times New Roman"/>
          <w:sz w:val="18"/>
          <w:szCs w:val="18"/>
          <w:color w:val="auto"/>
        </w:rPr>
      </w:pPr>
    </w:p>
    <w:p>
      <w:pPr>
        <w:ind w:left="1360" w:hanging="569"/>
        <w:spacing w:after="0"/>
        <w:tabs>
          <w:tab w:leader="none" w:pos="1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79" w:lineRule="exact"/>
        <w:rPr>
          <w:rFonts w:ascii="Times New Roman" w:cs="Times New Roman" w:eastAsia="Times New Roman" w:hAnsi="Times New Roman"/>
          <w:sz w:val="18"/>
          <w:szCs w:val="18"/>
          <w:color w:val="auto"/>
        </w:rPr>
      </w:pPr>
    </w:p>
    <w:p>
      <w:pPr>
        <w:ind w:left="2040" w:right="6180" w:hanging="682"/>
        <w:spacing w:after="0" w:line="563" w:lineRule="auto"/>
        <w:tabs>
          <w:tab w:leader="none" w:pos="20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1,470,977</w:t>
      </w:r>
    </w:p>
    <w:p>
      <w:pPr>
        <w:ind w:left="2040" w:right="6000" w:hanging="682"/>
        <w:spacing w:after="0" w:line="563" w:lineRule="auto"/>
        <w:tabs>
          <w:tab w:leader="none" w:pos="20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ind w:left="2040" w:right="5280" w:hanging="682"/>
        <w:spacing w:after="0" w:line="563" w:lineRule="auto"/>
        <w:tabs>
          <w:tab w:leader="none" w:pos="20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1,470,977</w:t>
      </w:r>
    </w:p>
    <w:p>
      <w:pPr>
        <w:ind w:left="2040" w:right="5100" w:hanging="682"/>
        <w:spacing w:after="0" w:line="595" w:lineRule="auto"/>
        <w:tabs>
          <w:tab w:leader="none" w:pos="20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576" w:right="559" w:bottom="681" w:gutter="0" w:footer="0" w:header="0"/>
        </w:sectPr>
      </w:pPr>
    </w:p>
    <w:bookmarkStart w:id="3" w:name="page4"/>
    <w:bookmarkEnd w:id="3"/>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8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ind w:left="1380" w:right="420" w:hanging="1362"/>
        <w:spacing w:after="0" w:line="286" w:lineRule="auto"/>
        <w:tabs>
          <w:tab w:leader="none" w:pos="13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18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See Exhibit A</w:t>
      </w:r>
    </w:p>
    <w:p>
      <w:pPr>
        <w:spacing w:after="0" w:line="275"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8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8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Certifications.</w:t>
      </w:r>
    </w:p>
    <w:p>
      <w:pPr>
        <w:spacing w:after="0" w:line="229" w:lineRule="exact"/>
        <w:rPr>
          <w:sz w:val="20"/>
          <w:szCs w:val="20"/>
          <w:color w:val="auto"/>
        </w:rPr>
      </w:pPr>
    </w:p>
    <w:p>
      <w:pPr>
        <w:ind w:left="138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1659890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062" w:right="459" w:bottom="1440" w:gutter="0" w:footer="0" w:header="0"/>
        </w:sectPr>
      </w:pPr>
    </w:p>
    <w:bookmarkStart w:id="4" w:name="page5"/>
    <w:bookmarkEnd w:id="4"/>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ind w:right="120" w:firstLine="539"/>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Date: November 17, 2022</w:t>
      </w:r>
    </w:p>
    <w:p>
      <w:pPr>
        <w:spacing w:after="0" w:line="33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QATAR INVESTMENT AUTHORITY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960"/>
        <w:spacing w:after="0"/>
        <w:tabs>
          <w:tab w:leader="none" w:pos="55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Andrew Watkins</w:t>
      </w:r>
    </w:p>
    <w:p>
      <w:pPr>
        <w:spacing w:after="0" w:line="41" w:lineRule="exact"/>
        <w:rPr>
          <w:sz w:val="20"/>
          <w:szCs w:val="20"/>
          <w:color w:val="auto"/>
        </w:rPr>
      </w:pPr>
    </w:p>
    <w:tbl>
      <w:tblPr>
        <w:tblLayout w:type="fixed"/>
        <w:tblInd w:w="5520" w:type="dxa"/>
        <w:tblCellMar>
          <w:top w:w="0" w:type="dxa"/>
          <w:left w:w="0" w:type="dxa"/>
          <w:bottom w:w="0" w:type="dxa"/>
          <w:right w:w="0" w:type="dxa"/>
        </w:tblCellMar>
      </w:tblPr>
      <w:tr>
        <w:trPr>
          <w:trHeight w:val="218"/>
        </w:trPr>
        <w:tc>
          <w:tcPr>
            <w:tcW w:w="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362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Andrew Watkins**</w:t>
            </w:r>
          </w:p>
        </w:tc>
      </w:tr>
      <w:tr>
        <w:trPr>
          <w:trHeight w:val="248"/>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Associate General Counsel, Compliance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firstLine="8"/>
        <w:spacing w:after="0" w:line="282" w:lineRule="auto"/>
        <w:tabs>
          <w:tab w:leader="none" w:pos="22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of authority to sign on behalf of Qatar Investment Authority is set forth in a Certificate of Incumbency dated February 02, 2022, and included as Exhibit B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1254125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792" w:right="459" w:bottom="1440" w:gutter="0" w:footer="0" w:header="0"/>
        </w:sectPr>
      </w:pPr>
    </w:p>
    <w:bookmarkStart w:id="5" w:name="page6"/>
    <w:bookmarkEnd w:id="5"/>
    <w:p>
      <w:pPr>
        <w:jc w:val="right"/>
        <w:ind w:right="3659"/>
        <w:spacing w:after="0"/>
        <w:rPr>
          <w:sz w:val="20"/>
          <w:szCs w:val="20"/>
          <w:color w:val="auto"/>
        </w:rPr>
      </w:pPr>
      <w:r>
        <w:rPr>
          <w:rFonts w:ascii="Times New Roman" w:cs="Times New Roman" w:eastAsia="Times New Roman" w:hAnsi="Times New Roman"/>
          <w:sz w:val="18"/>
          <w:szCs w:val="18"/>
          <w:color w:val="auto"/>
        </w:rPr>
        <w:t>INDEX TO EXHIBITS</w:t>
      </w:r>
    </w:p>
    <w:p>
      <w:pPr>
        <w:spacing w:after="0" w:line="279"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color w:val="auto"/>
        </w:rPr>
        <w:t>Exhibit No.</w:t>
        <w:tab/>
        <w:t>Description</w:t>
      </w:r>
    </w:p>
    <w:p>
      <w:pPr>
        <w:spacing w:after="0" w:line="200" w:lineRule="exact"/>
        <w:rPr>
          <w:sz w:val="20"/>
          <w:szCs w:val="20"/>
          <w:color w:val="auto"/>
        </w:rPr>
      </w:pPr>
    </w:p>
    <w:p>
      <w:pPr>
        <w:spacing w:after="0" w:line="268" w:lineRule="exact"/>
        <w:rPr>
          <w:sz w:val="20"/>
          <w:szCs w:val="20"/>
          <w:color w:val="auto"/>
        </w:rPr>
      </w:pPr>
    </w:p>
    <w:p>
      <w:pPr>
        <w:ind w:left="1060" w:hanging="1052"/>
        <w:spacing w:after="0"/>
        <w:tabs>
          <w:tab w:leader="none" w:pos="10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7 Information</w:t>
      </w:r>
    </w:p>
    <w:p>
      <w:pPr>
        <w:spacing w:after="0" w:line="27" w:lineRule="exact"/>
        <w:rPr>
          <w:sz w:val="20"/>
          <w:szCs w:val="20"/>
          <w:color w:val="auto"/>
        </w:rPr>
      </w:pPr>
    </w:p>
    <w:p>
      <w:pPr>
        <w:ind w:left="1060" w:hanging="1052"/>
        <w:spacing w:after="0"/>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 of Incumbency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2037715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96" w:right="1440" w:bottom="1440" w:gutter="0" w:footer="0" w:header="0"/>
        </w:sectPr>
      </w:pPr>
    </w:p>
    <w:bookmarkStart w:id="6" w:name="page7"/>
    <w:bookmarkEnd w:id="6"/>
    <w:p>
      <w:pPr>
        <w:jc w:val="center"/>
        <w:ind w:right="80"/>
        <w:spacing w:after="0"/>
        <w:rPr>
          <w:sz w:val="20"/>
          <w:szCs w:val="20"/>
          <w:color w:val="auto"/>
        </w:rPr>
      </w:pPr>
      <w:r>
        <w:rPr>
          <w:rFonts w:ascii="Times New Roman" w:cs="Times New Roman" w:eastAsia="Times New Roman" w:hAnsi="Times New Roman"/>
          <w:sz w:val="18"/>
          <w:szCs w:val="18"/>
          <w:color w:val="auto"/>
        </w:rPr>
        <w:t>EXHIBIT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 13G to which this attachment is appended is filed by Qatar Investment Authority on behalf of itself and the following subsidiaries: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Q West Holding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1877695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0"/>
          </w:cols>
          <w:pgMar w:left="760" w:top="121" w:right="69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color w:val="auto"/>
        </w:rPr>
        <w:t>EXHIBIT B</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CERTIFICATE OF INCUMBENCY</w:t>
      </w:r>
    </w:p>
    <w:p>
      <w:pPr>
        <w:spacing w:after="0" w:line="33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 Ahmad Mohammed F Q Al-Khanji, Chief of Legal and General Counsel, of Qatar Investment Authority, established by Emiri Decision No 22 in 2005, with its registered office at, Ooredoo Tower (Building 14), Al Dafna Street (Street 801), Al Dafna (Zone 61), Doha, State of Qatar, do hereby confirm that Andrew Watkins is the duly appointed Associate General Counsel, Compliance, an officer of the Qatar Investment Authority, and as such, is authorized to sign regulatory filings on behalf of the Qatar Investment Authority.</w:t>
      </w:r>
    </w:p>
    <w:p>
      <w:pPr>
        <w:spacing w:after="0" w:line="2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u w:val="single" w:color="auto"/>
          <w:color w:val="auto"/>
        </w:rPr>
        <w:t>/s/ Ahmad Mohammed FQ Al-Khanji</w:t>
      </w: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Name: Ahmad Mohammed F Q Al-Khanji</w:t>
      </w:r>
    </w:p>
    <w:p>
      <w:pPr>
        <w:spacing w:after="0" w:line="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Title:  Chief of Legal and General Counsel</w:t>
      </w:r>
    </w:p>
    <w:p>
      <w:pPr>
        <w:spacing w:after="0" w:line="20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Dated: February 02,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1054735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lvl w:ilvl="1">
      <w:lvlJc w:val="left"/>
      <w:lvlText w:val="☑"/>
      <w:numFmt w:val="bullet"/>
      <w:start w:val="1"/>
    </w:lvl>
  </w:abstractNum>
  <w:abstractNum w:abstractNumId="1">
    <w:nsid w:val="515F007C"/>
    <w:multiLevelType w:val="hybridMultilevel"/>
    <w:lvl w:ilvl="0">
      <w:lvlJc w:val="left"/>
      <w:lvlText w:val="1"/>
      <w:numFmt w:val="bullet"/>
      <w:start w:val="1"/>
    </w:lvl>
  </w:abstractNum>
  <w:abstractNum w:abstractNumId="2">
    <w:nsid w:val="5BD062C2"/>
    <w:multiLevelType w:val="hybridMultilevel"/>
    <w:lvl w:ilvl="0">
      <w:lvlJc w:val="left"/>
      <w:lvlText w:val="2"/>
      <w:numFmt w:val="bullet"/>
      <w:start w:val="1"/>
    </w:lvl>
    <w:lvl w:ilvl="1">
      <w:lvlJc w:val="left"/>
      <w:lvlText w:val="(%2)"/>
      <w:numFmt w:val="lowerLetter"/>
      <w:start w:val="1"/>
    </w:lvl>
  </w:abstractNum>
  <w:abstractNum w:abstractNumId="3">
    <w:nsid w:val="12200854"/>
    <w:multiLevelType w:val="hybridMultilevel"/>
    <w:lvl w:ilvl="0">
      <w:lvlJc w:val="left"/>
      <w:lvlText w:val="3"/>
      <w:numFmt w:val="bullet"/>
      <w:start w:val="1"/>
    </w:lvl>
  </w:abstractNum>
  <w:abstractNum w:abstractNumId="4">
    <w:nsid w:val="4DB127F8"/>
    <w:multiLevelType w:val="hybridMultilevel"/>
    <w:lvl w:ilvl="0">
      <w:lvlJc w:val="left"/>
      <w:lvlText w:val="4"/>
      <w:numFmt w:val="bullet"/>
      <w:start w:val="1"/>
    </w:lvl>
  </w:abstractNum>
  <w:abstractNum w:abstractNumId="5">
    <w:nsid w:val="216231B"/>
    <w:multiLevelType w:val="hybridMultilevel"/>
    <w:lvl w:ilvl="0">
      <w:lvlJc w:val="left"/>
      <w:lvlText w:val="5"/>
      <w:numFmt w:val="bullet"/>
      <w:start w:val="1"/>
    </w:lvl>
  </w:abstractNum>
  <w:abstractNum w:abstractNumId="6">
    <w:nsid w:val="1F16E9E8"/>
    <w:multiLevelType w:val="hybridMultilevel"/>
    <w:lvl w:ilvl="0">
      <w:lvlJc w:val="left"/>
      <w:lvlText w:val="6"/>
      <w:numFmt w:val="bullet"/>
      <w:start w:val="1"/>
    </w:lvl>
  </w:abstractNum>
  <w:abstractNum w:abstractNumId="7">
    <w:nsid w:val="1190CDE7"/>
    <w:multiLevelType w:val="hybridMultilevel"/>
    <w:lvl w:ilvl="0">
      <w:lvlJc w:val="left"/>
      <w:lvlText w:val="7"/>
      <w:numFmt w:val="bullet"/>
      <w:start w:val="1"/>
    </w:lvl>
  </w:abstractNum>
  <w:abstractNum w:abstractNumId="8">
    <w:nsid w:val="66EF438D"/>
    <w:multiLevelType w:val="hybridMultilevel"/>
    <w:lvl w:ilvl="0">
      <w:lvlJc w:val="left"/>
      <w:lvlText w:val="8"/>
      <w:numFmt w:val="bullet"/>
      <w:start w:val="1"/>
    </w:lvl>
  </w:abstractNum>
  <w:abstractNum w:abstractNumId="9">
    <w:nsid w:val="140E0F76"/>
    <w:multiLevelType w:val="hybridMultilevel"/>
    <w:lvl w:ilvl="0">
      <w:lvlJc w:val="left"/>
      <w:lvlText w:val="9"/>
      <w:numFmt w:val="bullet"/>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lowerLetter"/>
      <w:start w:val="1"/>
    </w:lvl>
    <w:lvl w:ilvl="1">
      <w:lvlJc w:val="left"/>
      <w:lvlText w:val="(%2)"/>
      <w:numFmt w:val="lowerRoman"/>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A"/>
      <w:numFmt w:val="bullet"/>
      <w:start w:val="1"/>
    </w:lvl>
  </w:abstractNum>
  <w:abstractNum w:abstractNumId="14">
    <w:nsid w:val="1BEFD79F"/>
    <w:multiLevelType w:val="hybridMultilevel"/>
    <w:lvl w:ilvl="0">
      <w:lvlJc w:val="left"/>
      <w:lvlText w:val="B"/>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2022-11-17T07:05:12Z</dcterms:created>
  <dcterms:modified xsi:type="dcterms:W3CDTF">2022-11-17T07:05:12Z</dcterms:modified>
</cp:coreProperties>
</file>