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Waxman Alan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SIXTH STREET LENDING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2100 MCKINNEY AVENUE,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Sixth Street Lending Partners</w:t>
              </w:r>
            </w:hyperlink>
            <w:r>
              <w:rPr/>
              <w:t xml:space="preserve"> [ </w:t>
            </w:r>
            <w:r>
              <w:rPr>
                <w:rFonts w:ascii="Times;serif" w:hAnsi="Times;serif"/>
                <w:color w:val="0000FF"/>
                <w:sz w:val="24"/>
                <w:shd w:fill="FFFFFF" w:val="clear"/>
              </w:rPr>
              <w:t>NONE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7"/>
        <w:gridCol w:w="898"/>
        <w:gridCol w:w="771"/>
        <w:gridCol w:w="596"/>
        <w:gridCol w:w="333"/>
        <w:gridCol w:w="1129"/>
        <w:gridCol w:w="414"/>
        <w:gridCol w:w="732"/>
        <w:gridCol w:w="1320"/>
        <w:gridCol w:w="946"/>
        <w:gridCol w:w="10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 par value $0.001</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1,405,583</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28.78</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12,560,764</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19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 par value $0.001</w:t>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255,924</w:t>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28.78</w:t>
            </w:r>
          </w:p>
        </w:tc>
        <w:tc>
          <w:tcPr>
            <w:tcW w:w="13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2,255,597</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held directly by Sixth Street Lending Partners Note Issuer, LLC ("Note Issuer"). Note Issuer is controlled by its members, which are indirectly controlled by TAO Sutton Holdings, LLC. TAO Insurance Holdings, LLC is the managing member of TAO Sutton Holdings, LLC. A. Michael Muscolino is the managing member of TAO Insurance Holdings, LLC. Pursuant to the limited liability company agreement of TAO Insurance Holdings, LLC, Reporting Person, as designated member of TAO Insurance Holdings, LLC has the authority to appoint the managing member of TAO Insurance Holdings,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directly by Sixth Street Lending Partners Advisers, LLC ("Adviser"). Adviser is managed by TSSP HoldCo Management, LLC ("Holdco Management"). Holdco Management is managed by a board of directors, which is currently comprised of Reporting Person. Reporting Person is the CEO of Holdco Management.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Reporting Person disclaims beneficial ownership of the securities reported herein, except to the extent of his pecuniary interest therein, and, pursuant to Rule 16a-1(a)(4) under the Securities Exchange Act of 1934, Reporting Person states that the inclusion of these securities in this report shall not be deemed an admission of beneficial ownership of all of the reported securities for purposes of Section 16 or for any other purpose. (A) Anton Brett is signing on behalf of Reporting Person pursuant to a Power of Attorney dated June 28, 2022, which was previously filed with the SEC.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Anton Brett, attorney-in-fact (A)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5132" TargetMode="External"/><Relationship Id="rId5" Type="http://schemas.openxmlformats.org/officeDocument/2006/relationships/hyperlink" Target="http://www.sec.gov/cgi-bin/browse-edgar?action=getcompany&amp;CIK=00019253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827</Words>
  <Characters>4523</Characters>
  <CharactersWithSpaces>5269</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