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8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Ricardo Davidovich,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144"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Public Institution for Social Security</w:t>
      </w:r>
    </w:p>
    <w:p>
      <w:pPr>
        <w:spacing w:after="0" w:line="40"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40"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Kuwait</w:t>
      </w:r>
    </w:p>
    <w:p>
      <w:pPr>
        <w:spacing w:after="0" w:line="40" w:lineRule="exact"/>
        <w:rPr>
          <w:rFonts w:ascii="Times New Roman" w:cs="Times New Roman" w:eastAsia="Times New Roman" w:hAnsi="Times New Roman"/>
          <w:sz w:val="18"/>
          <w:szCs w:val="18"/>
          <w:color w:val="auto"/>
        </w:rPr>
      </w:pPr>
    </w:p>
    <w:p>
      <w:pPr>
        <w:ind w:left="1744" w:hanging="426"/>
        <w:spacing w:after="0"/>
        <w:tabs>
          <w:tab w:leader="none" w:pos="17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3,585,485</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3,585,485</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8"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40"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3,585,485</w:t>
      </w:r>
    </w:p>
    <w:p>
      <w:pPr>
        <w:spacing w:after="0" w:line="40"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18.99% (1)</w:t>
      </w:r>
    </w:p>
    <w:p>
      <w:pPr>
        <w:spacing w:after="0" w:line="40"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w:t>
      </w:r>
    </w:p>
    <w:p>
      <w:pPr>
        <w:spacing w:after="0" w:line="28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18,884,437 Shares outstanding as of December 13, 2022, as disclosed by the Issuer to the Reporting Person in connection with the issuance of additional Shares.</w:t>
      </w:r>
    </w:p>
    <w:p>
      <w:pPr>
        <w:sectPr>
          <w:pgSz w:w="11900" w:h="16838" w:orient="portrait"/>
          <w:cols w:equalWidth="0" w:num="1">
            <w:col w:w="10904"/>
          </w:cols>
          <w:pgMar w:left="436" w:top="270" w:right="55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8"/>
          <w:szCs w:val="18"/>
          <w:b w:val="1"/>
          <w:bCs w:val="1"/>
          <w:color w:val="auto"/>
        </w:rPr>
        <w:t>Security and the Issuer</w:t>
      </w:r>
    </w:p>
    <w:p>
      <w:pPr>
        <w:spacing w:after="0" w:line="117"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This statement on Schedule 13D (this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 relates to common shares of beneficial interest,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Sixth Street Lending Partners, a Delaware statutory trust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The address of the principal executive offices of the Issuer is located at 2100 McKinney Avenue, Suite 1500, Dallas, TX 75201.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ind w:firstLine="436"/>
        <w:spacing w:after="0" w:line="286"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The Public Institution for Social Security (the “</w:t>
      </w:r>
      <w:r>
        <w:rPr>
          <w:rFonts w:ascii="Times New Roman" w:cs="Times New Roman" w:eastAsia="Times New Roman" w:hAnsi="Times New Roman"/>
          <w:sz w:val="18"/>
          <w:szCs w:val="18"/>
          <w:b w:val="1"/>
          <w:bCs w:val="1"/>
          <w:i w:val="1"/>
          <w:iCs w:val="1"/>
          <w:color w:val="auto"/>
        </w:rPr>
        <w:t>Reporting Person</w:t>
      </w:r>
      <w:r>
        <w:rPr>
          <w:rFonts w:ascii="Times New Roman" w:cs="Times New Roman" w:eastAsia="Times New Roman" w:hAnsi="Times New Roman"/>
          <w:sz w:val="18"/>
          <w:szCs w:val="18"/>
          <w:color w:val="auto"/>
        </w:rPr>
        <w:t>”), a public pension plan that is indirectly owned and controlled by the government of the State of Kuwait.</w:t>
      </w:r>
    </w:p>
    <w:p>
      <w:pPr>
        <w:spacing w:after="0" w:line="159"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40" w:lineRule="exact"/>
        <w:rPr>
          <w:sz w:val="20"/>
          <w:szCs w:val="20"/>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the Reporting Person is AlMurqab, Al-Soor St, Ta’aminat Building, Kuwait City 13104 Kuwait.</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the Reporting Person is acting as a public pension plan for the State of Kuwait.</w:t>
      </w:r>
    </w:p>
    <w:p>
      <w:pPr>
        <w:spacing w:after="0" w:line="225"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during the last five years, been a party to a civil proceeding of a judicial or administrative body of competent jurisdiction as a result of which the Reporting Person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of organization of the Reporting Person is listed in paragraph (b) of this Item 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further described in Item 6 below, the Reporting Person previously entered into a subscription agreement with the Issuer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 form of which is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pursuant to which the Reporting Person subscribed for and agreed to purchase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capital commitment equal to the lesser of (i) $400,000,000 and (ii) the amount of the largest commitment as of the Final Closing Date (as defined in the Issuer’s Form 10-12G/A filed with the Securities and Exchange Commission August 23, 2022) (the “</w:t>
      </w:r>
      <w:r>
        <w:rPr>
          <w:rFonts w:ascii="Times New Roman" w:cs="Times New Roman" w:eastAsia="Times New Roman" w:hAnsi="Times New Roman"/>
          <w:sz w:val="18"/>
          <w:szCs w:val="18"/>
          <w:b w:val="1"/>
          <w:bCs w:val="1"/>
          <w:i w:val="1"/>
          <w:iCs w:val="1"/>
          <w:color w:val="auto"/>
        </w:rPr>
        <w:t>Capital Commitment</w:t>
      </w:r>
      <w:r>
        <w:rPr>
          <w:rFonts w:ascii="Times New Roman" w:cs="Times New Roman" w:eastAsia="Times New Roman" w:hAnsi="Times New Roman"/>
          <w:sz w:val="18"/>
          <w:szCs w:val="18"/>
          <w:color w:val="auto"/>
        </w:rPr>
        <w:t xml:space="preserve">”). Pursuant to the Subscription Agreement, the Reporting Person is required to fund drawdowns to purchase Shares up to the amount of the Capital Commitment on an as-needed basis each time the Issuer delivers a drawdown notice to the Reporting Person. The Subscription Agreement was entered into between the Issuer and the Reporting Person, and the Capital Commitment was made, prior to the effective date of the Form 10 filing with respect to the Shares. The foregoing description of the Reporting Person’s commitment to the Issuer does not purport to be complete and is qualified in its entirety by reference to the Subscription Agreement, as agreed between Sixth Street Lending Partners and The Public Institution for Social Security, a form of which is attached hereto and incorporated herein by reference to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As of December 13, 2022, the Reporting Person has purchased, and currently owns, 3,585,485 Shares of the Issuer and the aggregate consideration paid for such Shares was approximately $88,712,802 in capital contributions to the Issuer, pursuant to capital drawdown notices from the Issuer with respect to its Capital Commitment in accordance with the Subscription Agreement. Specifically, (i) on August 31, 2022, the Reporting Person purchased 766,467 Shares from the Issuer for an aggregate purchase price of $19,161,677, (ii) on September 28, 2022, the Reporting Person purchased 1,321,844 Shares from the Issuer for an aggregate purchase price of approximately $32,590,179, (iii) on October 27, 2022, the Reporting Person purchased 1,193,313 Shares from the Issuer for an aggregate purchase price of approximately $29,367,453, and (iv) on December 13, 2022, the Reporting Person purchased 303,861 Shares from the Issuer for an aggregate purchase price of approximately $7,593,493.</w:t>
      </w:r>
    </w:p>
    <w:p>
      <w:pPr>
        <w:sectPr>
          <w:pgSz w:w="11900" w:h="16838" w:orient="portrait"/>
          <w:cols w:equalWidth="0" w:num="1">
            <w:col w:w="11020"/>
          </w:cols>
          <w:pgMar w:left="440" w:top="266" w:right="43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source of the funds for the purchase of Shares was the available investment capital of the Reporting Person.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Items 3, 5 and 6 of this Schedule 13D is incorporated herein by reference.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All Shares of the Issuer currently owned by the Reporting Person were acquired for investment purposes. Pursuant to the Subscription Agreement, the Reporting Person is obligated to purchase additional Shares from the Issuer from time to time for an aggregate purchase price not to exceed its Capital Commitment.</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Reporting Person intends to review its investment in the Issuer on a continuing basis and depending on such review may consider from time to time various alternative courses of action. The Reporting Person reserves the right, in light of its ongoing evaluation of the Issuer’s financial condition, business, operations and prospects, the market price and availability of the Shares or other securities of the Issuer, conditions in the securities markets generally, general economic and industry conditions, regulatory requirements, other investment opportunities available to it, its business and investment objectives and other relevant factors, to change its plans and intentions at any time or to take such actions with respect to its investment in the Issuer as it deems appropriate. In particular, the Reporting Person (and its affiliates) reserves the right, in each case subject to any applicable law and any applicable restrictions, conditions or limitations set forth in the Subscription Agreement and other applicable agreements, to (i) purchase additional Shares, commit to purchase additional Shares or make a new or additional capital commitment to the Issuer with respect to the purchase of Shares or other securities of the Issuer, (ii) sell or transfer the securities of the Issuer beneficially owned by the Reporting Person from time to time in public (open-market) or private transactions or an underwritten offering (including the sale or transfer of all or a portion of the Shares owned by the Reporting Person to one or more affiliates of the Reporting Person), (iii) cause the Reporting Person to distribute in kind to their respective partners or members, as the case may be, securities of the Issuer owned by such persons or entities, (iv) enter into privately negotiated derivative transactions with institutional counterparties to hedge the market risk of some or all of the Reporting Person’s positions in the securities of the Issuer, and (v) consider participating in a business combination transaction that would result in the acquisition of all of the Issuer’s outstanding Shares.</w:t>
      </w:r>
    </w:p>
    <w:p>
      <w:pPr>
        <w:spacing w:after="0" w:line="19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Except to the extent that the foregoing may be deemed to be a plan or proposal, the Reporting Person does not currently have any plans or proposals that relate to or would result in any of the actions specified in clause (a) through (j) of Item 4 of Schedule 13D. Depending upon the foregoing factors and to the extent deemed advisable in light of its general investment policies, or other factors, the Reporting Person may, at any time and from time to time, formulate other purposes, plans or proposals regarding the Issuer or the Shares, or any other actions that could involve one or more of the types of transactions or have one or more of the results described in paragraphs (a) through (j) of Item 4 of Schedule 13D. The foregoing is subject to change at any time, and there can be no assurance that the Reporting Person will take any of the actions set forth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and 4 of this Schedule 13D is hereby incorporated herein by reference.</w:t>
      </w:r>
    </w:p>
    <w:p>
      <w:pPr>
        <w:spacing w:after="0" w:line="225" w:lineRule="exact"/>
        <w:rPr>
          <w:sz w:val="20"/>
          <w:szCs w:val="20"/>
          <w:color w:val="auto"/>
        </w:rPr>
      </w:pPr>
    </w:p>
    <w:p>
      <w:pPr>
        <w:ind w:right="340" w:firstLine="436"/>
        <w:spacing w:after="0" w:line="282"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percentage of the class of securities identified pursuant to Item 1 beneficially owned by the Reporting Person is stated in Items 11 and 13 on the cover page(s) hereto.</w:t>
      </w:r>
    </w:p>
    <w:p>
      <w:pPr>
        <w:spacing w:after="0" w:line="162"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ectPr>
          <w:pgSz w:w="11900" w:h="16838" w:orient="portrait"/>
          <w:cols w:equalWidth="0" w:num="1">
            <w:col w:w="11000"/>
          </w:cols>
          <w:pgMar w:left="440" w:top="270" w:right="459" w:bottom="1440" w:gutter="0" w:footer="0" w:header="0"/>
        </w:sectPr>
      </w:pPr>
    </w:p>
    <w:bookmarkStart w:id="4" w:name="page5"/>
    <w:bookmarkEnd w:id="4"/>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83" w:lineRule="exact"/>
        <w:rPr>
          <w:sz w:val="20"/>
          <w:szCs w:val="20"/>
          <w:color w:val="auto"/>
        </w:rPr>
      </w:pPr>
    </w:p>
    <w:p>
      <w:pPr>
        <w:ind w:left="704" w:hanging="264"/>
        <w:spacing w:after="0"/>
        <w:tabs>
          <w:tab w:leader="none" w:pos="7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Reporting Person has:</w:t>
      </w:r>
    </w:p>
    <w:p>
      <w:pPr>
        <w:spacing w:after="0" w:line="130" w:lineRule="exact"/>
        <w:rPr>
          <w:rFonts w:ascii="Times New Roman" w:cs="Times New Roman" w:eastAsia="Times New Roman" w:hAnsi="Times New Roman"/>
          <w:sz w:val="18"/>
          <w:szCs w:val="18"/>
          <w:color w:val="auto"/>
        </w:rPr>
      </w:pPr>
    </w:p>
    <w:p>
      <w:pPr>
        <w:jc w:val="both"/>
        <w:ind w:left="1424" w:right="6620" w:hanging="439"/>
        <w:spacing w:after="0" w:line="383"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7 on the cover page(s) hereto.</w:t>
      </w:r>
    </w:p>
    <w:p>
      <w:pPr>
        <w:ind w:left="1424" w:right="6440" w:hanging="439"/>
        <w:spacing w:after="0" w:line="383"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8 on the cover page(s) hereto.</w:t>
      </w:r>
    </w:p>
    <w:p>
      <w:pPr>
        <w:ind w:left="1424" w:right="5720" w:hanging="439"/>
        <w:spacing w:after="0" w:line="383"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9 on the cover page(s) hereto.</w:t>
      </w:r>
    </w:p>
    <w:p>
      <w:pPr>
        <w:ind w:left="1424" w:right="5540" w:hanging="439"/>
        <w:spacing w:after="0" w:line="407"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10 on the cover page(s) hereto.</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the date hereof, the Reporting Person owns only the Shares of the Issuer as set forth in this Item 5.</w:t>
      </w:r>
    </w:p>
    <w:p>
      <w:pPr>
        <w:spacing w:after="0" w:line="225" w:lineRule="exact"/>
        <w:rPr>
          <w:sz w:val="20"/>
          <w:szCs w:val="20"/>
          <w:color w:val="auto"/>
        </w:rPr>
      </w:pPr>
    </w:p>
    <w:p>
      <w:pPr>
        <w:ind w:left="4" w:firstLine="436"/>
        <w:spacing w:after="0" w:line="282"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below, there have been no transactions in the class of securities reported on that were effected by the Reporting Person during the past sixty days or since the most recent filing of Schedule 13D, whichever is less.</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4520" w:type="dxa"/>
            <w:vAlign w:val="bottom"/>
            <w:vMerge w:val="restart"/>
          </w:tcPr>
          <w:p>
            <w:pPr>
              <w:spacing w:after="0"/>
              <w:rPr>
                <w:sz w:val="13"/>
                <w:szCs w:val="13"/>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2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2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of Transaction</w:t>
            </w:r>
          </w:p>
        </w:tc>
        <w:tc>
          <w:tcPr>
            <w:tcW w:w="122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6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Public Institution for Social Security</w:t>
            </w: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10/27/2022</w:t>
            </w:r>
          </w:p>
        </w:tc>
        <w:tc>
          <w:tcPr>
            <w:tcW w:w="3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Capital Call Drawdown</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1,193,313(1)</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24.61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Public Institution for Social Security</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12/13/2022</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Capital Call Drawdown</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303,861(2)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100" w:hanging="424"/>
        <w:spacing w:after="0" w:line="276" w:lineRule="auto"/>
        <w:tabs>
          <w:tab w:leader="none" w:pos="4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27, 2022, the Issuer issued 1,193,313 Shares to the Reporting Person in connection with a mandatory capital call submitted by the Issuer pursuant to the terms and conditions of the Subscription Agreement previously entered into between the Reporting Person and the Issuer.</w:t>
      </w:r>
    </w:p>
    <w:p>
      <w:pPr>
        <w:ind w:left="424" w:right="100" w:hanging="424"/>
        <w:spacing w:after="0" w:line="290" w:lineRule="auto"/>
        <w:tabs>
          <w:tab w:leader="none" w:pos="4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13, 2022, the Issuer issued 303,861 Shares to the Reporting Person in connection with a mandatory capital call submitted by the Issuer pursuant to the terms and conditions of the Subscription Agreement previously entered into between the Reporting Person and the Issuer.</w:t>
      </w:r>
    </w:p>
    <w:p>
      <w:pPr>
        <w:spacing w:after="0" w:line="157"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64"/>
          </w:cols>
          <w:pgMar w:left="436" w:top="270" w:right="599" w:bottom="1440" w:gutter="0" w:footer="0" w:header="0"/>
        </w:sectPr>
      </w:pPr>
    </w:p>
    <w:bookmarkStart w:id="5" w:name="page6"/>
    <w:bookmarkEnd w:id="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4 and Item 3 of this Schedule 13D is hereby incorporated herein by reference.</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As described in Item 3 above, the Reporting Person has entered into the Subscription Agreement with the Issuer, pursuant to which the Reporting Person has subscribed for and agreed to purchase Shares of the Issuer with a Capital Commitment of the lesser of (i) $400,000,000 and (ii) the amount of the largest commitment as of the Final Closing Date (as defined in the Issuer’s Form 10-12G/A filed with the Securities and Exchange Commission August 23, 2022). Pursuant to the Subscription Agreement, the Reporting Person is required to purchase Shares of the Issuer up to the amount of the Capital Commitment within ten days of receipt of a capital drawdown notice from the Issuer. The Subscription Agreement contains customary representations, warranties and covenants of the Issuer and the Reporting Person, and customary indemnification provisions in favor of the Issuer.</w:t>
      </w:r>
    </w:p>
    <w:p>
      <w:pPr>
        <w:spacing w:after="0" w:line="17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this Schedule 13D, there are no contracts, arrangements, understandings or between the Reporting Person and any other person, with respect to the Shares of the Issuer.</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as exhibits hereto:</w:t>
      </w:r>
    </w:p>
    <w:p>
      <w:pPr>
        <w:spacing w:after="0" w:line="246"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 of Exhibit</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Power of Attorney (filed herewith).</w:t>
      </w:r>
    </w:p>
    <w:p>
      <w:pPr>
        <w:spacing w:after="0" w:line="117" w:lineRule="exact"/>
        <w:rPr>
          <w:sz w:val="20"/>
          <w:szCs w:val="20"/>
          <w:color w:val="auto"/>
        </w:rPr>
      </w:pPr>
    </w:p>
    <w:p>
      <w:pPr>
        <w:ind w:left="880" w:right="2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Form of Subscription Agreement between Sixth Street Lending Partners and The Public Institution for Social Security (incorporated by reference to Exhibit 4.1 to the Issuer’s Form 10-12G filed with the Securities and Exchange Commission June 28, 2022).</w:t>
      </w:r>
    </w:p>
    <w:p>
      <w:pPr>
        <w:sectPr>
          <w:pgSz w:w="11900" w:h="16838" w:orient="portrait"/>
          <w:cols w:equalWidth="0" w:num="1">
            <w:col w:w="10900"/>
          </w:cols>
          <w:pgMar w:left="440" w:top="266" w:right="55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December 22, 2022</w:t>
      </w:r>
      <w:r>
        <w:rPr>
          <w:sz w:val="20"/>
          <w:szCs w:val="20"/>
          <w:color w:val="auto"/>
        </w:rPr>
        <w:tab/>
      </w:r>
      <w:r>
        <w:rPr>
          <w:rFonts w:ascii="Times New Roman" w:cs="Times New Roman" w:eastAsia="Times New Roman" w:hAnsi="Times New Roman"/>
          <w:sz w:val="17"/>
          <w:szCs w:val="17"/>
          <w:b w:val="1"/>
          <w:bCs w:val="1"/>
          <w:color w:val="auto"/>
        </w:rPr>
        <w:t>THE PUBLIC INSTITUTION FOR SOCIAL SECURITY</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Ricardo Davidovich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Ricardo Davidovich</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900"/>
          </w:cols>
          <w:pgMar w:left="440" w:top="266" w:right="5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Know by all these presents, that the undersigned does hereby constitute and appoint Ricardo Davidovich, signing singly, as the undersigned’s true and lawful attorney-in-fact to:</w:t>
      </w:r>
    </w:p>
    <w:p>
      <w:pPr>
        <w:spacing w:after="0" w:line="189" w:lineRule="exact"/>
        <w:rPr>
          <w:sz w:val="20"/>
          <w:szCs w:val="20"/>
          <w:color w:val="auto"/>
        </w:rPr>
      </w:pPr>
    </w:p>
    <w:p>
      <w:pPr>
        <w:ind w:left="960" w:right="60" w:hanging="532"/>
        <w:spacing w:after="0" w:line="25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for and on behalf of the undersigned, in the undersigned’s name, place and stead in any and all capacities related to securities held by the undersigned, any and all filings by The Public Institution for Social Security (the “Company”) with the United States Securities and Exchange Commission (the “SEC”) (a) pursuant to Section 13 of the Securities Exchange Act of 1934 and the rules thereunder, as amended, and (b) pursuant to Section 16 of the Securities Exchange Act of 1934 and the rules thereunder, as amended, and with respect to either of the foregoing clauses (a) and (b), any other forms or reports the undersigned or the Company may be required to file in connection with the undersigned’s ownership, acquisition, or disposition of securities;</w:t>
      </w:r>
    </w:p>
    <w:p>
      <w:pPr>
        <w:spacing w:after="0" w:line="92"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execute and deliver any such filing as described in paragraph (1) above, or other form or report, and timely file such form or report with the SEC and any stock exchange or similar authority; and</w:t>
      </w:r>
    </w:p>
    <w:p>
      <w:pPr>
        <w:spacing w:after="0" w:line="81" w:lineRule="exact"/>
        <w:rPr>
          <w:rFonts w:ascii="Times New Roman" w:cs="Times New Roman" w:eastAsia="Times New Roman" w:hAnsi="Times New Roman"/>
          <w:sz w:val="18"/>
          <w:szCs w:val="18"/>
          <w:color w:val="auto"/>
        </w:rPr>
      </w:pPr>
    </w:p>
    <w:p>
      <w:pPr>
        <w:ind w:left="960" w:right="320" w:hanging="532"/>
        <w:spacing w:after="0" w:line="261"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the undersigned’s responsibilities to comply with Section 13 or Section 16 of the Securities Exchange Act of 1934 and the rules thereunder, as amended.</w:t>
      </w:r>
    </w:p>
    <w:p>
      <w:pPr>
        <w:spacing w:after="0" w:line="189"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such filing as described in paragraph (1) above, unless earlier revoked by the undersigned in a signed writing delivered to the foregoing attorney-in-fact.</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Power of Attorney to be executed as of December 20, 2022.</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THE PUBLIC INSTITUTION FOR SOCIAL</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Ahmad H. Althunayan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Ahmad H. Althunayan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Acting Director General</w:t>
            </w:r>
          </w:p>
        </w:tc>
      </w:tr>
    </w:tbl>
    <w:p>
      <w:pPr>
        <w:spacing w:after="0" w:line="1" w:lineRule="exact"/>
        <w:rPr>
          <w:sz w:val="20"/>
          <w:szCs w:val="20"/>
          <w:color w:val="auto"/>
        </w:rPr>
      </w:pPr>
    </w:p>
    <w:sectPr>
      <w:pgSz w:w="11900" w:h="16838" w:orient="portrait"/>
      <w:cols w:equalWidth="0" w:num="1">
        <w:col w:w="10580"/>
      </w:cols>
      <w:pgMar w:left="88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lvl w:ilvl="1">
      <w:lvlJc w:val="left"/>
      <w:lvlText w:val="%2."/>
      <w:numFmt w:val="decimal"/>
      <w:start w:val="7"/>
    </w:lvl>
  </w:abstractNum>
  <w:abstractNum w:abstractNumId="3">
    <w:nsid w:val="515F007C"/>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5BD062C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1220085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2"/>
    </w:lvl>
    <w:lvl w:ilvl="1">
      <w:lvlJc w:val="left"/>
      <w:lvlText w:val="(%2)"/>
      <w:numFmt w:val="lowerRoman"/>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decimal"/>
      <w:start w:val="1"/>
    </w:lvl>
    <w:lvl w:ilvl="1">
      <w:lvlJc w:val="left"/>
      <w:lvlText w:val="(%2)"/>
      <w:numFmt w:val="lowerLetter"/>
      <w:start w:val="4"/>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2022-12-22T16:06:10Z</dcterms:created>
  <dcterms:modified xsi:type="dcterms:W3CDTF">2022-12-22T16:06:10Z</dcterms:modified>
</cp:coreProperties>
</file>