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40005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4040" w:right="2060" w:hanging="4034"/>
        <w:spacing w:after="0" w:line="292" w:lineRule="auto"/>
        <w:tabs>
          <w:tab w:leader="none" w:pos="85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 w:lineRule="exact"/>
        <w:rPr>
          <w:sz w:val="24"/>
          <w:szCs w:val="24"/>
          <w:color w:val="auto"/>
        </w:rPr>
      </w:pPr>
    </w:p>
    <w:p>
      <w:pPr>
        <w:ind w:left="4120" w:right="1740" w:hanging="4114"/>
        <w:spacing w:after="0" w:line="323" w:lineRule="auto"/>
        <w:tabs>
          <w:tab w:leader="none" w:pos="86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0</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8"/>
          <w:szCs w:val="38"/>
          <w:b w:val="1"/>
          <w:bCs w:val="1"/>
          <w:color w:val="auto"/>
        </w:rPr>
        <w:t>Sixth Street Lending Partners</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7660" w:type="dxa"/>
            <w:vAlign w:val="bottom"/>
            <w:gridSpan w:val="5"/>
          </w:tcPr>
          <w:p>
            <w:pPr>
              <w:jc w:val="center"/>
              <w:ind w:right="1553"/>
              <w:spacing w:after="0"/>
              <w:rPr>
                <w:sz w:val="20"/>
                <w:szCs w:val="20"/>
                <w:color w:val="auto"/>
              </w:rPr>
            </w:pPr>
            <w:r>
              <w:rPr>
                <w:rFonts w:ascii="Times New Roman" w:cs="Times New Roman" w:eastAsia="Times New Roman" w:hAnsi="Times New Roman"/>
                <w:sz w:val="16"/>
                <w:szCs w:val="16"/>
                <w:b w:val="1"/>
                <w:bCs w:val="1"/>
                <w:color w:val="auto"/>
                <w:w w:val="97"/>
              </w:rPr>
              <w:t>(Exact Name of Registrant as Specified in Its Charter)</w:t>
            </w:r>
          </w:p>
        </w:tc>
      </w:tr>
      <w:tr>
        <w:trPr>
          <w:trHeight w:val="239"/>
        </w:trPr>
        <w:tc>
          <w:tcPr>
            <w:tcW w:w="2260" w:type="dxa"/>
            <w:vAlign w:val="bottom"/>
          </w:tcPr>
          <w:p>
            <w:pPr>
              <w:spacing w:after="0"/>
              <w:rPr>
                <w:sz w:val="20"/>
                <w:szCs w:val="20"/>
                <w:color w:val="auto"/>
              </w:rPr>
            </w:pPr>
          </w:p>
        </w:tc>
        <w:tc>
          <w:tcPr>
            <w:tcW w:w="4060" w:type="dxa"/>
            <w:vAlign w:val="bottom"/>
            <w:gridSpan w:val="2"/>
          </w:tcPr>
          <w:p>
            <w:pPr>
              <w:jc w:val="center"/>
              <w:ind w:right="32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80" w:type="dxa"/>
            <w:vAlign w:val="bottom"/>
          </w:tcPr>
          <w:p>
            <w:pPr>
              <w:jc w:val="right"/>
              <w:ind w:right="1553"/>
              <w:spacing w:after="0"/>
              <w:rPr>
                <w:sz w:val="20"/>
                <w:szCs w:val="20"/>
                <w:color w:val="auto"/>
              </w:rPr>
            </w:pPr>
            <w:r>
              <w:rPr>
                <w:rFonts w:ascii="Times New Roman" w:cs="Times New Roman" w:eastAsia="Times New Roman" w:hAnsi="Times New Roman"/>
                <w:sz w:val="16"/>
                <w:szCs w:val="16"/>
                <w:b w:val="1"/>
                <w:bCs w:val="1"/>
                <w:color w:val="auto"/>
              </w:rPr>
              <w:t>88-1710161</w:t>
            </w:r>
          </w:p>
        </w:tc>
      </w:tr>
      <w:tr>
        <w:trPr>
          <w:trHeight w:val="144"/>
        </w:trPr>
        <w:tc>
          <w:tcPr>
            <w:tcW w:w="6320" w:type="dxa"/>
            <w:vAlign w:val="bottom"/>
            <w:gridSpan w:val="3"/>
          </w:tcPr>
          <w:p>
            <w:pPr>
              <w:jc w:val="center"/>
              <w:ind w:right="948"/>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80" w:type="dxa"/>
            <w:vAlign w:val="bottom"/>
          </w:tcPr>
          <w:p>
            <w:pPr>
              <w:jc w:val="center"/>
              <w:ind w:right="833"/>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6320" w:type="dxa"/>
            <w:vAlign w:val="bottom"/>
            <w:gridSpan w:val="3"/>
          </w:tcPr>
          <w:p>
            <w:pPr>
              <w:jc w:val="center"/>
              <w:ind w:right="948"/>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80" w:type="dxa"/>
            <w:vAlign w:val="bottom"/>
          </w:tcPr>
          <w:p>
            <w:pPr>
              <w:jc w:val="center"/>
              <w:ind w:right="83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25"/>
        </w:trPr>
        <w:tc>
          <w:tcPr>
            <w:tcW w:w="6320" w:type="dxa"/>
            <w:vAlign w:val="bottom"/>
            <w:gridSpan w:val="3"/>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w w:val="98"/>
              </w:rPr>
              <w:t>2100 McKinney Avenue, Suite 1500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92"/>
        </w:trPr>
        <w:tc>
          <w:tcPr>
            <w:tcW w:w="2260" w:type="dxa"/>
            <w:vAlign w:val="bottom"/>
          </w:tcPr>
          <w:p>
            <w:pPr>
              <w:spacing w:after="0"/>
              <w:rPr>
                <w:sz w:val="16"/>
                <w:szCs w:val="16"/>
                <w:color w:val="auto"/>
              </w:rPr>
            </w:pPr>
          </w:p>
        </w:tc>
        <w:tc>
          <w:tcPr>
            <w:tcW w:w="4060" w:type="dxa"/>
            <w:vAlign w:val="bottom"/>
            <w:gridSpan w:val="2"/>
          </w:tcPr>
          <w:p>
            <w:pPr>
              <w:jc w:val="center"/>
              <w:ind w:right="322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Pr>
          <w:p>
            <w:pPr>
              <w:jc w:val="right"/>
              <w:ind w:right="1733"/>
              <w:spacing w:after="0"/>
              <w:rPr>
                <w:sz w:val="20"/>
                <w:szCs w:val="20"/>
                <w:color w:val="auto"/>
              </w:rPr>
            </w:pPr>
            <w:r>
              <w:rPr>
                <w:rFonts w:ascii="Times New Roman" w:cs="Times New Roman" w:eastAsia="Times New Roman" w:hAnsi="Times New Roman"/>
                <w:sz w:val="16"/>
                <w:szCs w:val="16"/>
                <w:b w:val="1"/>
                <w:bCs w:val="1"/>
                <w:color w:val="auto"/>
              </w:rPr>
              <w:t>75201</w:t>
            </w:r>
          </w:p>
        </w:tc>
      </w:tr>
      <w:tr>
        <w:trPr>
          <w:trHeight w:val="159"/>
        </w:trPr>
        <w:tc>
          <w:tcPr>
            <w:tcW w:w="6320" w:type="dxa"/>
            <w:vAlign w:val="bottom"/>
            <w:gridSpan w:val="3"/>
          </w:tcPr>
          <w:p>
            <w:pPr>
              <w:jc w:val="center"/>
              <w:ind w:right="948"/>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80" w:type="dxa"/>
            <w:vAlign w:val="bottom"/>
          </w:tcPr>
          <w:p>
            <w:pPr>
              <w:jc w:val="center"/>
              <w:ind w:right="83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238"/>
        </w:trPr>
        <w:tc>
          <w:tcPr>
            <w:tcW w:w="2260" w:type="dxa"/>
            <w:vAlign w:val="bottom"/>
          </w:tcPr>
          <w:p>
            <w:pPr>
              <w:spacing w:after="0"/>
              <w:rPr>
                <w:sz w:val="20"/>
                <w:szCs w:val="20"/>
                <w:color w:val="auto"/>
              </w:rPr>
            </w:pPr>
          </w:p>
        </w:tc>
        <w:tc>
          <w:tcPr>
            <w:tcW w:w="7660" w:type="dxa"/>
            <w:vAlign w:val="bottom"/>
            <w:gridSpan w:val="5"/>
          </w:tcPr>
          <w:p>
            <w:pPr>
              <w:jc w:val="center"/>
              <w:ind w:right="1533"/>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(469) 621-3001</w:t>
            </w:r>
          </w:p>
        </w:tc>
      </w:tr>
      <w:tr>
        <w:trPr>
          <w:trHeight w:val="228"/>
        </w:trPr>
        <w:tc>
          <w:tcPr>
            <w:tcW w:w="2260" w:type="dxa"/>
            <w:vAlign w:val="bottom"/>
          </w:tcPr>
          <w:p>
            <w:pPr>
              <w:spacing w:after="0"/>
              <w:rPr>
                <w:sz w:val="19"/>
                <w:szCs w:val="19"/>
                <w:color w:val="auto"/>
              </w:rPr>
            </w:pPr>
          </w:p>
        </w:tc>
        <w:tc>
          <w:tcPr>
            <w:tcW w:w="7660" w:type="dxa"/>
            <w:vAlign w:val="bottom"/>
            <w:gridSpan w:val="5"/>
          </w:tcPr>
          <w:p>
            <w:pPr>
              <w:jc w:val="center"/>
              <w:ind w:right="1533"/>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r>
      <w:tr>
        <w:trPr>
          <w:trHeight w:val="218"/>
        </w:trPr>
        <w:tc>
          <w:tcPr>
            <w:tcW w:w="2260" w:type="dxa"/>
            <w:vAlign w:val="bottom"/>
          </w:tcPr>
          <w:p>
            <w:pPr>
              <w:jc w:val="center"/>
              <w:ind w:left="1214"/>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tcPr>
          <w:p>
            <w:pPr>
              <w:jc w:val="center"/>
              <w:ind w:left="79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38"/>
        </w:trPr>
        <w:tc>
          <w:tcPr>
            <w:tcW w:w="2260" w:type="dxa"/>
            <w:vAlign w:val="bottom"/>
          </w:tcPr>
          <w:p>
            <w:pPr>
              <w:jc w:val="center"/>
              <w:ind w:left="1214"/>
              <w:spacing w:after="0"/>
              <w:rPr>
                <w:sz w:val="20"/>
                <w:szCs w:val="20"/>
                <w:color w:val="auto"/>
              </w:rPr>
            </w:pPr>
            <w:r>
              <w:rPr>
                <w:rFonts w:ascii="Times New Roman" w:cs="Times New Roman" w:eastAsia="Times New Roman" w:hAnsi="Times New Roman"/>
                <w:sz w:val="16"/>
                <w:szCs w:val="16"/>
                <w:b w:val="1"/>
                <w:bCs w:val="1"/>
                <w:color w:val="auto"/>
                <w:w w:val="95"/>
              </w:rPr>
              <w:t>None</w:t>
            </w:r>
          </w:p>
        </w:tc>
        <w:tc>
          <w:tcPr>
            <w:tcW w:w="19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None</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80" w:type="dxa"/>
            <w:vAlign w:val="bottom"/>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w w:val="95"/>
              </w:rPr>
              <w:t>None</w:t>
            </w:r>
          </w:p>
        </w:tc>
      </w:tr>
      <w:tr>
        <w:trPr>
          <w:trHeight w:val="228"/>
        </w:trPr>
        <w:tc>
          <w:tcPr>
            <w:tcW w:w="2260" w:type="dxa"/>
            <w:vAlign w:val="bottom"/>
          </w:tcPr>
          <w:p>
            <w:pPr>
              <w:spacing w:after="0"/>
              <w:rPr>
                <w:sz w:val="19"/>
                <w:szCs w:val="19"/>
                <w:color w:val="auto"/>
              </w:rPr>
            </w:pPr>
          </w:p>
        </w:tc>
        <w:tc>
          <w:tcPr>
            <w:tcW w:w="7660" w:type="dxa"/>
            <w:vAlign w:val="bottom"/>
            <w:gridSpan w:val="5"/>
          </w:tcPr>
          <w:p>
            <w:pPr>
              <w:jc w:val="center"/>
              <w:ind w:right="1533"/>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12(g) of the Act:</w:t>
            </w:r>
          </w:p>
        </w:tc>
      </w:tr>
      <w:tr>
        <w:trPr>
          <w:trHeight w:val="228"/>
        </w:trPr>
        <w:tc>
          <w:tcPr>
            <w:tcW w:w="2260" w:type="dxa"/>
            <w:vAlign w:val="bottom"/>
          </w:tcPr>
          <w:p>
            <w:pPr>
              <w:spacing w:after="0"/>
              <w:rPr>
                <w:sz w:val="19"/>
                <w:szCs w:val="19"/>
                <w:color w:val="auto"/>
              </w:rPr>
            </w:pPr>
          </w:p>
        </w:tc>
        <w:tc>
          <w:tcPr>
            <w:tcW w:w="7660" w:type="dxa"/>
            <w:vAlign w:val="bottom"/>
            <w:gridSpan w:val="5"/>
          </w:tcPr>
          <w:p>
            <w:pPr>
              <w:jc w:val="center"/>
              <w:ind w:right="1533"/>
              <w:spacing w:after="0"/>
              <w:rPr>
                <w:sz w:val="20"/>
                <w:szCs w:val="20"/>
                <w:color w:val="auto"/>
              </w:rPr>
            </w:pPr>
            <w:r>
              <w:rPr>
                <w:rFonts w:ascii="Times New Roman" w:cs="Times New Roman" w:eastAsia="Times New Roman" w:hAnsi="Times New Roman"/>
                <w:sz w:val="16"/>
                <w:szCs w:val="16"/>
                <w:b w:val="1"/>
                <w:bCs w:val="1"/>
                <w:color w:val="auto"/>
                <w:w w:val="97"/>
              </w:rPr>
              <w:t>Common shares of beneficial interest, par value $0.001 per share</w:t>
            </w:r>
          </w:p>
        </w:tc>
      </w:tr>
      <w:tr>
        <w:trPr>
          <w:trHeight w:val="228"/>
        </w:trPr>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class)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58"/>
        </w:trPr>
        <w:tc>
          <w:tcPr>
            <w:tcW w:w="4240" w:type="dxa"/>
            <w:vAlign w:val="bottom"/>
            <w:gridSpan w:val="2"/>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02"/>
        </w:trPr>
        <w:tc>
          <w:tcPr>
            <w:tcW w:w="6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08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3"/>
        </w:trPr>
        <w:tc>
          <w:tcPr>
            <w:tcW w:w="6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20" w:type="dxa"/>
            <w:vAlign w:val="bottom"/>
          </w:tcPr>
          <w:p>
            <w:pPr>
              <w:spacing w:after="0"/>
              <w:rPr>
                <w:sz w:val="19"/>
                <w:szCs w:val="19"/>
                <w:color w:val="auto"/>
              </w:rPr>
            </w:pPr>
          </w:p>
        </w:tc>
        <w:tc>
          <w:tcPr>
            <w:tcW w:w="50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308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12" w:lineRule="exact"/>
        <w:rPr>
          <w:sz w:val="24"/>
          <w:szCs w:val="24"/>
          <w:color w:val="auto"/>
        </w:r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4"/>
          <w:szCs w:val="24"/>
          <w:color w:val="auto"/>
        </w:rPr>
      </w:pPr>
    </w:p>
    <w:p>
      <w:pPr>
        <w:ind w:right="3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480" w:type="dxa"/>
        <w:tblCellMar>
          <w:top w:w="0" w:type="dxa"/>
          <w:left w:w="0" w:type="dxa"/>
          <w:bottom w:w="0" w:type="dxa"/>
          <w:right w:w="0" w:type="dxa"/>
        </w:tblCellMar>
      </w:tblP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48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3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Accelerated filer</w:t>
            </w:r>
          </w:p>
        </w:tc>
        <w:tc>
          <w:tcPr>
            <w:tcW w:w="1980" w:type="dxa"/>
            <w:vAlign w:val="bottom"/>
          </w:tcPr>
          <w:p>
            <w:pPr>
              <w:ind w:left="1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48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3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980" w:type="dxa"/>
            <w:vAlign w:val="bottom"/>
          </w:tcPr>
          <w:p>
            <w:pPr>
              <w:ind w:left="1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980" w:type="dxa"/>
            <w:vAlign w:val="bottom"/>
          </w:tcPr>
          <w:p>
            <w:pPr>
              <w:ind w:left="18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2" w:lineRule="exact"/>
        <w:rPr>
          <w:sz w:val="24"/>
          <w:szCs w:val="24"/>
          <w:color w:val="auto"/>
        </w:r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 w:lineRule="exact"/>
        <w:rPr>
          <w:sz w:val="24"/>
          <w:szCs w:val="24"/>
          <w:color w:val="auto"/>
        </w:rPr>
      </w:pPr>
    </w:p>
    <w:p>
      <w:pPr>
        <w:ind w:right="28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 w:lineRule="exact"/>
        <w:rPr>
          <w:sz w:val="24"/>
          <w:szCs w:val="24"/>
          <w:color w:val="auto"/>
        </w:rPr>
      </w:pPr>
    </w:p>
    <w:p>
      <w:pPr>
        <w:ind w:right="36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 w:lineRule="exact"/>
        <w:rPr>
          <w:sz w:val="24"/>
          <w:szCs w:val="24"/>
          <w:color w:val="auto"/>
        </w:rPr>
      </w:pPr>
    </w:p>
    <w:p>
      <w:pPr>
        <w:ind w:right="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tabs>
          <w:tab w:leader="none" w:pos="5560" w:val="left"/>
          <w:tab w:leader="none" w:pos="60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shares of beneficial interest, $0.001 par value per share (the "Common Shares"), outstanding at February 13, 2026 was 150,578,335.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118110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79" w:lineRule="exact"/>
        <w:rPr>
          <w:sz w:val="24"/>
          <w:szCs w:val="24"/>
          <w:color w:val="auto"/>
        </w:rPr>
      </w:pPr>
    </w:p>
    <w:p>
      <w:pPr>
        <w:spacing w:after="0"/>
        <w:tabs>
          <w:tab w:leader="none" w:pos="1260" w:val="left"/>
          <w:tab w:leader="none" w:pos="2940" w:val="left"/>
        </w:tabs>
        <w:rPr>
          <w:sz w:val="20"/>
          <w:szCs w:val="20"/>
          <w:color w:val="auto"/>
        </w:rPr>
      </w:pPr>
      <w:r>
        <w:rPr>
          <w:rFonts w:ascii="Times New Roman" w:cs="Times New Roman" w:eastAsia="Times New Roman" w:hAnsi="Times New Roman"/>
          <w:sz w:val="13"/>
          <w:szCs w:val="13"/>
          <w:color w:val="auto"/>
        </w:rPr>
        <w:t>Auditor Firm Id:185</w:t>
        <w:tab/>
        <w:t>Auditor Name: KPMG LLP</w:t>
        <w:tab/>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47" w:right="70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80" w:type="dxa"/>
            <w:vAlign w:val="bottom"/>
            <w:gridSpan w:val="9"/>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w w:val="97"/>
              </w:rPr>
              <w:t>SIXTH STREET LENDING PARTNERS</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gridSpan w:val="9"/>
          </w:tcPr>
          <w:p>
            <w:pPr>
              <w:jc w:val="center"/>
              <w:ind w:right="1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Annual Report on Form 10-K for</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gridSpan w:val="9"/>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2025</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020" w:type="dxa"/>
            <w:vAlign w:val="bottom"/>
            <w:gridSpan w:val="6"/>
            <w:vMerge w:val="restart"/>
          </w:tcPr>
          <w:p>
            <w:pPr>
              <w:spacing w:after="0"/>
              <w:rPr>
                <w:rFonts w:ascii="Times New Roman" w:cs="Times New Roman" w:eastAsia="Times New Roman" w:hAnsi="Times New Roman"/>
                <w:sz w:val="16"/>
                <w:szCs w:val="16"/>
                <w:b w:val="1"/>
                <w:bCs w:val="1"/>
                <w:color w:val="0000FF"/>
              </w:rPr>
            </w:pPr>
            <w:hyperlink w:anchor="page6">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1020" w:type="dxa"/>
            <w:vAlign w:val="bottom"/>
            <w:gridSpan w:val="6"/>
            <w:vMerge w:val="continue"/>
          </w:tcPr>
          <w:p>
            <w:pPr>
              <w:spacing w:after="0"/>
              <w:rPr>
                <w:sz w:val="13"/>
                <w:szCs w:val="13"/>
                <w:color w:val="auto"/>
              </w:rPr>
            </w:pPr>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Business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w w:val="94"/>
              </w:rPr>
              <w:t>ITEM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1A.</w:t>
            </w: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line="20" w:lineRule="exact"/>
              <w:rPr>
                <w:sz w:val="1"/>
                <w:szCs w:val="1"/>
                <w:color w:val="auto"/>
              </w:rPr>
            </w:pPr>
          </w:p>
        </w:tc>
      </w:tr>
      <w:tr>
        <w:trPr>
          <w:trHeight w:val="160"/>
        </w:trPr>
        <w:tc>
          <w:tcPr>
            <w:tcW w:w="1020" w:type="dxa"/>
            <w:vAlign w:val="bottom"/>
            <w:gridSpan w:val="6"/>
            <w:vMerge w:val="continue"/>
          </w:tcPr>
          <w:p>
            <w:pPr>
              <w:spacing w:after="0"/>
              <w:rPr>
                <w:sz w:val="13"/>
                <w:szCs w:val="13"/>
                <w:color w:val="auto"/>
              </w:rPr>
            </w:pP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Risk Factors</w:t>
              </w:r>
            </w:hyperlink>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7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Unresolved</w:t>
              </w:r>
            </w:hyperlink>
          </w:p>
        </w:tc>
        <w:tc>
          <w:tcPr>
            <w:tcW w:w="6240" w:type="dxa"/>
            <w:vAlign w:val="bottom"/>
            <w:gridSpan w:val="17"/>
          </w:tcPr>
          <w:p>
            <w:pPr>
              <w:spacing w:after="0" w:line="160"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Staff Comments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178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Cybersecurity</w:t>
              </w:r>
            </w:hyperlink>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61">
              <w:r>
                <w:rPr>
                  <w:rFonts w:ascii="Times New Roman" w:cs="Times New Roman" w:eastAsia="Times New Roman" w:hAnsi="Times New Roman"/>
                  <w:sz w:val="16"/>
                  <w:szCs w:val="16"/>
                  <w:color w:val="0000FF"/>
                  <w:w w:val="95"/>
                </w:rPr>
                <w:t>Properties</w:t>
              </w:r>
            </w:hyperlink>
          </w:p>
        </w:tc>
        <w:tc>
          <w:tcPr>
            <w:tcW w:w="240" w:type="dxa"/>
            <w:vAlign w:val="bottom"/>
            <w:tcBorders>
              <w:top w:val="single" w:sz="8" w:color="0000EE"/>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61">
              <w:r>
                <w:rPr>
                  <w:rFonts w:ascii="Times New Roman" w:cs="Times New Roman" w:eastAsia="Times New Roman" w:hAnsi="Times New Roman"/>
                  <w:sz w:val="16"/>
                  <w:szCs w:val="16"/>
                  <w:color w:val="0000FF"/>
                </w:rPr>
                <w:t>Legal Proceedings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4.</w:t>
            </w: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line="20" w:lineRule="exact"/>
              <w:rPr>
                <w:sz w:val="1"/>
                <w:szCs w:val="1"/>
                <w:color w:val="auto"/>
              </w:rPr>
            </w:pPr>
          </w:p>
        </w:tc>
      </w:tr>
      <w:tr>
        <w:trPr>
          <w:trHeight w:val="160"/>
        </w:trPr>
        <w:tc>
          <w:tcPr>
            <w:tcW w:w="1020" w:type="dxa"/>
            <w:vAlign w:val="bottom"/>
            <w:gridSpan w:val="6"/>
            <w:vMerge w:val="continue"/>
          </w:tcPr>
          <w:p>
            <w:pPr>
              <w:spacing w:after="0"/>
              <w:rPr>
                <w:sz w:val="13"/>
                <w:szCs w:val="13"/>
                <w:color w:val="auto"/>
              </w:rPr>
            </w:pPr>
          </w:p>
        </w:tc>
        <w:tc>
          <w:tcPr>
            <w:tcW w:w="1540" w:type="dxa"/>
            <w:vAlign w:val="bottom"/>
            <w:tcBorders>
              <w:bottom w:val="single" w:sz="8" w:color="0000EE"/>
            </w:tcBorders>
            <w:gridSpan w:val="8"/>
          </w:tcPr>
          <w:p>
            <w:pPr>
              <w:spacing w:after="0" w:line="160" w:lineRule="exact"/>
              <w:rPr>
                <w:rFonts w:ascii="Times New Roman" w:cs="Times New Roman" w:eastAsia="Times New Roman" w:hAnsi="Times New Roman"/>
                <w:sz w:val="16"/>
                <w:szCs w:val="16"/>
                <w:color w:val="0000FF"/>
                <w:w w:val="96"/>
              </w:rPr>
            </w:pPr>
            <w:hyperlink w:anchor="page61">
              <w:r>
                <w:rPr>
                  <w:rFonts w:ascii="Times New Roman" w:cs="Times New Roman" w:eastAsia="Times New Roman" w:hAnsi="Times New Roman"/>
                  <w:sz w:val="16"/>
                  <w:szCs w:val="16"/>
                  <w:color w:val="0000FF"/>
                  <w:w w:val="96"/>
                </w:rPr>
                <w:t>Mine Safety Disclosures</w:t>
              </w:r>
            </w:hyperlink>
          </w:p>
        </w:tc>
        <w:tc>
          <w:tcPr>
            <w:tcW w:w="5480" w:type="dxa"/>
            <w:vAlign w:val="bottom"/>
            <w:gridSpan w:val="13"/>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20" w:type="dxa"/>
            <w:vAlign w:val="bottom"/>
            <w:gridSpan w:val="6"/>
          </w:tcPr>
          <w:p>
            <w:pPr>
              <w:spacing w:after="0"/>
              <w:rPr>
                <w:rFonts w:ascii="Times New Roman" w:cs="Times New Roman" w:eastAsia="Times New Roman" w:hAnsi="Times New Roman"/>
                <w:sz w:val="16"/>
                <w:szCs w:val="16"/>
                <w:b w:val="1"/>
                <w:bCs w:val="1"/>
                <w:color w:val="0000FF"/>
              </w:rPr>
            </w:pPr>
            <w:hyperlink w:anchor="page62">
              <w:r>
                <w:rPr>
                  <w:rFonts w:ascii="Times New Roman" w:cs="Times New Roman" w:eastAsia="Times New Roman" w:hAnsi="Times New Roman"/>
                  <w:sz w:val="16"/>
                  <w:szCs w:val="16"/>
                  <w:b w:val="1"/>
                  <w:bCs w:val="1"/>
                  <w:color w:val="0000FF"/>
                </w:rPr>
                <w:t>PART II</w:t>
              </w:r>
            </w:hyperlink>
          </w:p>
        </w:tc>
        <w:tc>
          <w:tcPr>
            <w:tcW w:w="7020" w:type="dxa"/>
            <w:vAlign w:val="bottom"/>
            <w:gridSpan w:val="21"/>
            <w:vMerge w:val="restart"/>
          </w:tcPr>
          <w:p>
            <w:pPr>
              <w:spacing w:after="0"/>
              <w:rPr>
                <w:rFonts w:ascii="Times New Roman" w:cs="Times New Roman" w:eastAsia="Times New Roman" w:hAnsi="Times New Roman"/>
                <w:sz w:val="16"/>
                <w:szCs w:val="16"/>
                <w:color w:val="0000FF"/>
                <w:w w:val="97"/>
              </w:rPr>
            </w:pPr>
            <w:hyperlink w:anchor="page62">
              <w:r>
                <w:rPr>
                  <w:rFonts w:ascii="Times New Roman" w:cs="Times New Roman" w:eastAsia="Times New Roman" w:hAnsi="Times New Roman"/>
                  <w:sz w:val="16"/>
                  <w:szCs w:val="16"/>
                  <w:color w:val="0000FF"/>
                  <w:w w:val="97"/>
                </w:rPr>
                <w:t>Market for Registrant’s Common Equity, Related Shareholder Matters and Issuer Purchases of Equity Securities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5"/>
        </w:trPr>
        <w:tc>
          <w:tcPr>
            <w:tcW w:w="600" w:type="dxa"/>
            <w:vAlign w:val="bottom"/>
            <w:tcBorders>
              <w:top w:val="single" w:sz="8" w:color="0000EE"/>
            </w:tcBorders>
            <w:gridSpan w:val="3"/>
          </w:tcPr>
          <w:p>
            <w:pPr>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20" w:type="dxa"/>
            <w:vAlign w:val="bottom"/>
            <w:tcBorders>
              <w:bottom w:val="single" w:sz="8" w:color="0000EE"/>
            </w:tcBorders>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Reserved</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7.</w:t>
            </w: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line="20" w:lineRule="exact"/>
              <w:rPr>
                <w:sz w:val="1"/>
                <w:szCs w:val="1"/>
                <w:color w:val="auto"/>
              </w:rPr>
            </w:pPr>
          </w:p>
        </w:tc>
      </w:tr>
      <w:tr>
        <w:trPr>
          <w:trHeight w:val="160"/>
        </w:trPr>
        <w:tc>
          <w:tcPr>
            <w:tcW w:w="1020" w:type="dxa"/>
            <w:vAlign w:val="bottom"/>
            <w:gridSpan w:val="6"/>
            <w:vMerge w:val="continue"/>
          </w:tcPr>
          <w:p>
            <w:pPr>
              <w:spacing w:after="0"/>
              <w:rPr>
                <w:sz w:val="13"/>
                <w:szCs w:val="13"/>
                <w:color w:val="auto"/>
              </w:rPr>
            </w:pP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6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w:anchor="page87">
              <w:r>
                <w:rPr>
                  <w:rFonts w:ascii="Times New Roman" w:cs="Times New Roman" w:eastAsia="Times New Roman" w:hAnsi="Times New Roman"/>
                  <w:sz w:val="16"/>
                  <w:szCs w:val="16"/>
                  <w:color w:val="0000FF"/>
                </w:rPr>
                <w:t>Quantitative and Qualitative Disclosures About Market Risk</w:t>
              </w:r>
            </w:hyperlink>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6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FF"/>
                <w:w w:val="97"/>
              </w:rPr>
            </w:pPr>
            <w:hyperlink w:anchor="page89">
              <w:r>
                <w:rPr>
                  <w:rFonts w:ascii="Times New Roman" w:cs="Times New Roman" w:eastAsia="Times New Roman" w:hAnsi="Times New Roman"/>
                  <w:sz w:val="16"/>
                  <w:szCs w:val="16"/>
                  <w:color w:val="0000FF"/>
                  <w:w w:val="97"/>
                </w:rPr>
                <w:t>Consolidated Financial Statements and Supplementary Data</w:t>
              </w:r>
            </w:hyperlink>
          </w:p>
        </w:tc>
        <w:tc>
          <w:tcPr>
            <w:tcW w:w="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9.</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56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Controls and Procedures</w:t>
              </w:r>
            </w:hyperlink>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54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Other Information</w:t>
              </w:r>
            </w:hyperlink>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9C.</w:t>
            </w:r>
          </w:p>
        </w:tc>
        <w:tc>
          <w:tcPr>
            <w:tcW w:w="11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line="20" w:lineRule="exact"/>
              <w:rPr>
                <w:sz w:val="1"/>
                <w:szCs w:val="1"/>
                <w:color w:val="auto"/>
              </w:rPr>
            </w:pPr>
          </w:p>
        </w:tc>
      </w:tr>
      <w:tr>
        <w:trPr>
          <w:trHeight w:val="160"/>
        </w:trPr>
        <w:tc>
          <w:tcPr>
            <w:tcW w:w="1020" w:type="dxa"/>
            <w:vAlign w:val="bottom"/>
            <w:gridSpan w:val="6"/>
            <w:vMerge w:val="continue"/>
          </w:tcPr>
          <w:p>
            <w:pPr>
              <w:spacing w:after="0"/>
              <w:rPr>
                <w:sz w:val="13"/>
                <w:szCs w:val="13"/>
                <w:color w:val="auto"/>
              </w:rPr>
            </w:pPr>
          </w:p>
        </w:tc>
        <w:tc>
          <w:tcPr>
            <w:tcW w:w="426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w:anchor="page132">
              <w:r>
                <w:rPr>
                  <w:rFonts w:ascii="Times New Roman" w:cs="Times New Roman" w:eastAsia="Times New Roman" w:hAnsi="Times New Roman"/>
                  <w:sz w:val="16"/>
                  <w:szCs w:val="16"/>
                  <w:color w:val="0000FF"/>
                  <w:w w:val="97"/>
                </w:rPr>
                <w:t>Disclosure Regarding Foreign Jurisdictions that Prevent Inspections</w:t>
              </w:r>
            </w:hyperlink>
          </w:p>
        </w:tc>
        <w:tc>
          <w:tcPr>
            <w:tcW w:w="2760" w:type="dxa"/>
            <w:vAlign w:val="bottom"/>
            <w:gridSpan w:val="5"/>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rFonts w:ascii="Times New Roman" w:cs="Times New Roman" w:eastAsia="Times New Roman" w:hAnsi="Times New Roman"/>
                <w:sz w:val="16"/>
                <w:szCs w:val="16"/>
                <w:b w:val="1"/>
                <w:bCs w:val="1"/>
                <w:color w:val="0000FF"/>
              </w:rPr>
            </w:pPr>
            <w:hyperlink w:anchor="page133">
              <w:r>
                <w:rPr>
                  <w:rFonts w:ascii="Times New Roman" w:cs="Times New Roman" w:eastAsia="Times New Roman" w:hAnsi="Times New Roman"/>
                  <w:sz w:val="16"/>
                  <w:szCs w:val="16"/>
                  <w:b w:val="1"/>
                  <w:bCs w:val="1"/>
                  <w:color w:val="0000FF"/>
                </w:rPr>
                <w:t>PART III</w:t>
              </w:r>
            </w:hyperlink>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133">
              <w:r>
                <w:rPr>
                  <w:rFonts w:ascii="Times New Roman" w:cs="Times New Roman" w:eastAsia="Times New Roman" w:hAnsi="Times New Roman"/>
                  <w:sz w:val="16"/>
                  <w:szCs w:val="16"/>
                  <w:color w:val="0000FF"/>
                </w:rPr>
                <w:t>Trustees, Executive Officers and Corporate Governance</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Borders>
              <w:top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auto"/>
                <w:w w:val="98"/>
              </w:rPr>
              <w:t>ITEM 10.</w:t>
            </w:r>
          </w:p>
        </w:tc>
        <w:tc>
          <w:tcPr>
            <w:tcW w:w="360" w:type="dxa"/>
            <w:vAlign w:val="bottom"/>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139">
              <w:r>
                <w:rPr>
                  <w:rFonts w:ascii="Times New Roman" w:cs="Times New Roman" w:eastAsia="Times New Roman" w:hAnsi="Times New Roman"/>
                  <w:sz w:val="16"/>
                  <w:szCs w:val="16"/>
                  <w:color w:val="0000FF"/>
                </w:rPr>
                <w:t>Executive Compensation</w:t>
              </w:r>
            </w:hyperlink>
          </w:p>
        </w:tc>
        <w:tc>
          <w:tcPr>
            <w:tcW w:w="1180" w:type="dxa"/>
            <w:vAlign w:val="bottom"/>
            <w:gridSpan w:val="4"/>
          </w:tcPr>
          <w:p>
            <w:pPr>
              <w:spacing w:after="0"/>
              <w:rPr>
                <w:sz w:val="13"/>
                <w:szCs w:val="13"/>
                <w:color w:val="auto"/>
              </w:rPr>
            </w:pPr>
          </w:p>
        </w:tc>
        <w:tc>
          <w:tcPr>
            <w:tcW w:w="16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rPr>
            </w:pPr>
            <w:hyperlink w:anchor="page140">
              <w:r>
                <w:rPr>
                  <w:rFonts w:ascii="Times New Roman" w:cs="Times New Roman" w:eastAsia="Times New Roman" w:hAnsi="Times New Roman"/>
                  <w:sz w:val="16"/>
                  <w:szCs w:val="16"/>
                  <w:color w:val="0000FF"/>
                </w:rPr>
                <w:t>Security Ownership of</w:t>
              </w:r>
            </w:hyperlink>
          </w:p>
        </w:tc>
        <w:tc>
          <w:tcPr>
            <w:tcW w:w="5460" w:type="dxa"/>
            <w:vAlign w:val="bottom"/>
            <w:gridSpan w:val="12"/>
          </w:tcPr>
          <w:p>
            <w:pPr>
              <w:spacing w:after="0" w:line="160" w:lineRule="exact"/>
              <w:rPr>
                <w:rFonts w:ascii="Times New Roman" w:cs="Times New Roman" w:eastAsia="Times New Roman" w:hAnsi="Times New Roman"/>
                <w:sz w:val="16"/>
                <w:szCs w:val="16"/>
                <w:color w:val="0000FF"/>
              </w:rPr>
            </w:pPr>
            <w:hyperlink w:anchor="page140">
              <w:r>
                <w:rPr>
                  <w:rFonts w:ascii="Times New Roman" w:cs="Times New Roman" w:eastAsia="Times New Roman" w:hAnsi="Times New Roman"/>
                  <w:sz w:val="16"/>
                  <w:szCs w:val="16"/>
                  <w:color w:val="0000FF"/>
                </w:rPr>
                <w:t>Certain Beneficial Owners and Management and Related Shareholder Matters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w:anchor="page141">
              <w:r>
                <w:rPr>
                  <w:rFonts w:ascii="Times New Roman" w:cs="Times New Roman" w:eastAsia="Times New Roman" w:hAnsi="Times New Roman"/>
                  <w:sz w:val="16"/>
                  <w:szCs w:val="16"/>
                  <w:color w:val="0000FF"/>
                </w:rPr>
                <w:t>Certain Relationships and Related Transactions, and Trustee Independence</w:t>
              </w:r>
            </w:hyperlink>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46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142">
              <w:r>
                <w:rPr>
                  <w:rFonts w:ascii="Times New Roman" w:cs="Times New Roman" w:eastAsia="Times New Roman" w:hAnsi="Times New Roman"/>
                  <w:sz w:val="16"/>
                  <w:szCs w:val="16"/>
                  <w:color w:val="0000FF"/>
                </w:rPr>
                <w:t>Principal Accountant Fees and Services</w:t>
              </w:r>
            </w:hyperlink>
          </w:p>
        </w:tc>
        <w:tc>
          <w:tcPr>
            <w:tcW w:w="2340" w:type="dxa"/>
            <w:vAlign w:val="bottom"/>
            <w:gridSpan w:val="4"/>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rPr>
                <w:rFonts w:ascii="Times New Roman" w:cs="Times New Roman" w:eastAsia="Times New Roman" w:hAnsi="Times New Roman"/>
                <w:sz w:val="16"/>
                <w:szCs w:val="16"/>
                <w:b w:val="1"/>
                <w:bCs w:val="1"/>
                <w:color w:val="0000FF"/>
              </w:rPr>
            </w:pPr>
            <w:hyperlink w:anchor="page145">
              <w:r>
                <w:rPr>
                  <w:rFonts w:ascii="Times New Roman" w:cs="Times New Roman" w:eastAsia="Times New Roman" w:hAnsi="Times New Roman"/>
                  <w:sz w:val="16"/>
                  <w:szCs w:val="16"/>
                  <w:b w:val="1"/>
                  <w:bCs w:val="1"/>
                  <w:color w:val="0000FF"/>
                </w:rPr>
                <w:t>PART IV</w:t>
              </w:r>
            </w:hyperlink>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20" w:type="dxa"/>
            <w:vAlign w:val="bottom"/>
            <w:gridSpan w:val="6"/>
            <w:vMerge w:val="continue"/>
          </w:tcPr>
          <w:p>
            <w:pPr>
              <w:spacing w:after="0"/>
              <w:rPr>
                <w:sz w:val="24"/>
                <w:szCs w:val="24"/>
                <w:color w:val="auto"/>
              </w:rPr>
            </w:pPr>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Exhibits and Financial Statement Schedules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0"/>
        </w:trPr>
        <w:tc>
          <w:tcPr>
            <w:tcW w:w="640" w:type="dxa"/>
            <w:vAlign w:val="bottom"/>
            <w:tcBorders>
              <w:top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auto"/>
                <w:w w:val="98"/>
              </w:rPr>
              <w:t>ITEM 15.</w:t>
            </w:r>
          </w:p>
        </w:tc>
        <w:tc>
          <w:tcPr>
            <w:tcW w:w="380" w:type="dxa"/>
            <w:vAlign w:val="bottom"/>
            <w:gridSpan w:val="2"/>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13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w:anchor="page147">
              <w:r>
                <w:rPr>
                  <w:rFonts w:ascii="Times New Roman" w:cs="Times New Roman" w:eastAsia="Times New Roman" w:hAnsi="Times New Roman"/>
                  <w:sz w:val="16"/>
                  <w:szCs w:val="16"/>
                  <w:color w:val="0000FF"/>
                  <w:w w:val="97"/>
                </w:rPr>
                <w:t>Form 10-K Summary</w:t>
              </w:r>
            </w:hyperlink>
          </w:p>
        </w:tc>
        <w:tc>
          <w:tcPr>
            <w:tcW w:w="1380" w:type="dxa"/>
            <w:vAlign w:val="bottom"/>
            <w:tcBorders>
              <w:top w:val="single" w:sz="8" w:color="0000EE"/>
            </w:tcBorders>
            <w:gridSpan w:val="5"/>
          </w:tcPr>
          <w:p>
            <w:pPr>
              <w:spacing w:after="0"/>
              <w:rPr>
                <w:sz w:val="13"/>
                <w:szCs w:val="13"/>
                <w:color w:val="auto"/>
              </w:rPr>
            </w:pPr>
          </w:p>
        </w:tc>
        <w:tc>
          <w:tcPr>
            <w:tcW w:w="4280" w:type="dxa"/>
            <w:vAlign w:val="bottom"/>
            <w:gridSpan w:val="9"/>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17"/>
          </w:tcPr>
          <w:p>
            <w:pPr>
              <w:jc w:val="center"/>
              <w:ind w:left="3762"/>
              <w:spacing w:after="0"/>
              <w:rPr>
                <w:sz w:val="20"/>
                <w:szCs w:val="20"/>
                <w:color w:val="auto"/>
              </w:rPr>
            </w:pPr>
            <w:r>
              <w:rPr>
                <w:rFonts w:ascii="Times New Roman" w:cs="Times New Roman" w:eastAsia="Times New Roman" w:hAnsi="Times New Roman"/>
                <w:sz w:val="16"/>
                <w:szCs w:val="16"/>
                <w:color w:val="auto"/>
                <w:w w:val="99"/>
              </w:rPr>
              <w:t>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7" w:right="68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0"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to factors previously identified elsewhere in the reports and other documents Sixth Street Lending Partners, has filed with the Securities and Exchange Commission (the “SEC”), the following factors, among others, could cause actual results to differ materially from forward-looking statements or historical performance:</w:t>
      </w:r>
    </w:p>
    <w:p>
      <w:pPr>
        <w:spacing w:after="0" w:line="12"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•an economic downturn could impair our portfolio companies’ abilities to continue to operate, which could lead to the loss of some or all of our investments in those portfolio companies;</w:t>
      </w:r>
    </w:p>
    <w:p>
      <w:pPr>
        <w:spacing w:after="0" w:line="59" w:lineRule="exact"/>
        <w:rPr>
          <w:sz w:val="20"/>
          <w:szCs w:val="20"/>
          <w:color w:val="auto"/>
        </w:rPr>
      </w:pPr>
    </w:p>
    <w:p>
      <w:pPr>
        <w:ind w:left="240" w:right="68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6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w:t>
      </w:r>
    </w:p>
    <w:p>
      <w:pPr>
        <w:spacing w:after="0" w:line="59" w:lineRule="exact"/>
        <w:rPr>
          <w:sz w:val="20"/>
          <w:szCs w:val="20"/>
          <w:color w:val="auto"/>
        </w:rPr>
      </w:pPr>
    </w:p>
    <w:p>
      <w:pPr>
        <w:ind w:left="240" w:right="4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 including the effects of trade policies and government regulation;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Annual Report and elsewhere in our filings with the SEC.</w:t>
      </w:r>
    </w:p>
    <w:p>
      <w:pPr>
        <w:spacing w:after="0" w:line="18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 looking statements, which apply only as of the date of this Annual Report. We do not undertake any obligation to update or revise any forward-looking statements or any other information contained herein, except as required by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 which should be read in conjunction with the complete discussion of risk factors we face, which are set forth in “Item 1A. Risk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Business and Structure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Board of Trustees may amend our Declaration of Trust without prior shareholder approval.</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dependent upon management personnel of the Adviser, Sixth Street and their affiliates for our future success.</w:t>
      </w:r>
    </w:p>
    <w:p>
      <w:pPr>
        <w:spacing w:after="0" w:line="92" w:lineRule="exact"/>
        <w:rPr>
          <w:sz w:val="20"/>
          <w:szCs w:val="20"/>
          <w:color w:val="auto"/>
        </w:rPr>
      </w:pPr>
    </w:p>
    <w:p>
      <w:pPr>
        <w:ind w:left="240" w:right="2440"/>
        <w:spacing w:after="0" w:line="259" w:lineRule="auto"/>
        <w:rPr>
          <w:sz w:val="20"/>
          <w:szCs w:val="20"/>
          <w:color w:val="auto"/>
        </w:rPr>
      </w:pPr>
      <w:r>
        <w:rPr>
          <w:rFonts w:ascii="Times New Roman" w:cs="Times New Roman" w:eastAsia="Times New Roman" w:hAnsi="Times New Roman"/>
          <w:sz w:val="16"/>
          <w:szCs w:val="16"/>
          <w:color w:val="auto"/>
        </w:rPr>
        <w:t>•We are subject to significant regulations governing our operation as a BDC, which affect our ability to, and the way in which we, raise additional capital. Changes in regulation could adversely affect our business.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borrow money, which magnifies the potential for gain or loss and increases the risk of investing in us.</w:t>
      </w:r>
    </w:p>
    <w:p>
      <w:pPr>
        <w:spacing w:after="0" w:line="92" w:lineRule="exact"/>
        <w:rPr>
          <w:sz w:val="20"/>
          <w:szCs w:val="20"/>
          <w:color w:val="auto"/>
        </w:rPr>
      </w:pPr>
    </w:p>
    <w:p>
      <w:pPr>
        <w:ind w:left="240" w:right="2520"/>
        <w:spacing w:after="0" w:line="331" w:lineRule="auto"/>
        <w:rPr>
          <w:sz w:val="20"/>
          <w:szCs w:val="20"/>
          <w:color w:val="auto"/>
        </w:rPr>
      </w:pPr>
      <w:r>
        <w:rPr>
          <w:rFonts w:ascii="Times New Roman" w:cs="Times New Roman" w:eastAsia="Times New Roman" w:hAnsi="Times New Roman"/>
          <w:sz w:val="14"/>
          <w:szCs w:val="14"/>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w:t>
      </w:r>
    </w:p>
    <w:p>
      <w:pPr>
        <w:spacing w:after="0" w:line="92" w:lineRule="exact"/>
        <w:rPr>
          <w:sz w:val="20"/>
          <w:szCs w:val="20"/>
          <w:color w:val="auto"/>
        </w:rPr>
      </w:pPr>
    </w:p>
    <w:p>
      <w:pPr>
        <w:ind w:left="240" w:right="2560"/>
        <w:spacing w:after="0" w:line="259" w:lineRule="auto"/>
        <w:rPr>
          <w:sz w:val="20"/>
          <w:szCs w:val="20"/>
          <w:color w:val="auto"/>
        </w:rPr>
      </w:pPr>
      <w:r>
        <w:rPr>
          <w:rFonts w:ascii="Times New Roman" w:cs="Times New Roman" w:eastAsia="Times New Roman" w:hAnsi="Times New Roman"/>
          <w:sz w:val="16"/>
          <w:szCs w:val="16"/>
          <w:color w:val="auto"/>
        </w:rPr>
        <w:t>•If we are unable to source investments, access financing or manage future growth effectively, we may be unable to achieve our investment objective.</w:t>
      </w:r>
    </w:p>
    <w:p>
      <w:pPr>
        <w:spacing w:after="0" w:line="59" w:lineRule="exact"/>
        <w:rPr>
          <w:sz w:val="20"/>
          <w:szCs w:val="20"/>
          <w:color w:val="auto"/>
        </w:rPr>
      </w:pPr>
    </w:p>
    <w:p>
      <w:pPr>
        <w:ind w:left="240" w:right="2400"/>
        <w:spacing w:after="0" w:line="246" w:lineRule="auto"/>
        <w:rPr>
          <w:sz w:val="20"/>
          <w:szCs w:val="20"/>
          <w:color w:val="auto"/>
        </w:rPr>
      </w:pPr>
      <w:r>
        <w:rPr>
          <w:rFonts w:ascii="Times New Roman" w:cs="Times New Roman" w:eastAsia="Times New Roman" w:hAnsi="Times New Roman"/>
          <w:sz w:val="16"/>
          <w:szCs w:val="16"/>
          <w:color w:val="auto"/>
        </w:rPr>
        <w:t>•Even in the event the value of your investment declines, the Management Fee and, in certain circumstances, the Incentive Fee will still be payable to the Adviser.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3" w:name="page4"/>
    <w:bookmarkEnd w:id="3"/>
    <w:p>
      <w:pPr>
        <w:ind w:left="240" w:right="1760"/>
        <w:spacing w:after="0" w:line="259" w:lineRule="auto"/>
        <w:rPr>
          <w:sz w:val="20"/>
          <w:szCs w:val="20"/>
          <w:color w:val="auto"/>
        </w:rPr>
      </w:pPr>
      <w:r>
        <w:rPr>
          <w:rFonts w:ascii="Times New Roman" w:cs="Times New Roman" w:eastAsia="Times New Roman" w:hAnsi="Times New Roman"/>
          <w:sz w:val="16"/>
          <w:szCs w:val="16"/>
          <w:color w:val="auto"/>
        </w:rPr>
        <w:t>•To the extent that we do not realize income or choose not to retain after-tax realized net capital gains, we will have a greater need for additional capital to fund our investments and operating expenses.</w:t>
      </w:r>
    </w:p>
    <w:p>
      <w:pPr>
        <w:spacing w:after="0" w:line="59" w:lineRule="exact"/>
        <w:rPr>
          <w:sz w:val="20"/>
          <w:szCs w:val="20"/>
          <w:color w:val="auto"/>
        </w:rPr>
      </w:pPr>
    </w:p>
    <w:p>
      <w:pPr>
        <w:ind w:left="240" w:right="1860"/>
        <w:spacing w:after="0" w:line="259" w:lineRule="auto"/>
        <w:rPr>
          <w:sz w:val="20"/>
          <w:szCs w:val="20"/>
          <w:color w:val="auto"/>
        </w:rPr>
      </w:pPr>
      <w:r>
        <w:rPr>
          <w:rFonts w:ascii="Times New Roman" w:cs="Times New Roman" w:eastAsia="Times New Roman" w:hAnsi="Times New Roman"/>
          <w:sz w:val="16"/>
          <w:szCs w:val="16"/>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9" w:lineRule="exact"/>
        <w:rPr>
          <w:sz w:val="20"/>
          <w:szCs w:val="20"/>
          <w:color w:val="auto"/>
        </w:rPr>
      </w:pPr>
    </w:p>
    <w:p>
      <w:pPr>
        <w:ind w:left="240" w:right="1660"/>
        <w:spacing w:after="0" w:line="259" w:lineRule="auto"/>
        <w:rPr>
          <w:sz w:val="20"/>
          <w:szCs w:val="20"/>
          <w:color w:val="auto"/>
        </w:rPr>
      </w:pPr>
      <w:r>
        <w:rPr>
          <w:rFonts w:ascii="Times New Roman" w:cs="Times New Roman" w:eastAsia="Times New Roman" w:hAnsi="Times New Roman"/>
          <w:sz w:val="16"/>
          <w:szCs w:val="16"/>
          <w:color w:val="auto"/>
        </w:rPr>
        <w:t>•We can be expected to retain some income and capital gains in excess of what is permissible for excise tax purposes and such amounts will be subject to 4% U.S. federal excise tax.</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Adviser and its affiliates, officers and employees may face certain conflicts of interest.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ability to enter into transactions with our affiliates is restricted.</w:t>
      </w:r>
    </w:p>
    <w:p>
      <w:pPr>
        <w:spacing w:after="0" w:line="92" w:lineRule="exact"/>
        <w:rPr>
          <w:sz w:val="20"/>
          <w:szCs w:val="20"/>
          <w:color w:val="auto"/>
        </w:rPr>
      </w:pPr>
    </w:p>
    <w:p>
      <w:pPr>
        <w:ind w:left="240" w:right="1740"/>
        <w:spacing w:after="0" w:line="247" w:lineRule="auto"/>
        <w:rPr>
          <w:sz w:val="20"/>
          <w:szCs w:val="20"/>
          <w:color w:val="auto"/>
        </w:rPr>
      </w:pPr>
      <w:r>
        <w:rPr>
          <w:rFonts w:ascii="Times New Roman" w:cs="Times New Roman" w:eastAsia="Times New Roman" w:hAnsi="Times New Roman"/>
          <w:sz w:val="16"/>
          <w:szCs w:val="16"/>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8" w:lineRule="exact"/>
        <w:rPr>
          <w:sz w:val="20"/>
          <w:szCs w:val="20"/>
          <w:color w:val="auto"/>
        </w:rPr>
      </w:pPr>
    </w:p>
    <w:p>
      <w:pPr>
        <w:ind w:left="240" w:right="1680"/>
        <w:spacing w:after="0" w:line="247" w:lineRule="auto"/>
        <w:rPr>
          <w:sz w:val="20"/>
          <w:szCs w:val="20"/>
          <w:color w:val="auto"/>
        </w:rPr>
      </w:pPr>
      <w:r>
        <w:rPr>
          <w:rFonts w:ascii="Times New Roman" w:cs="Times New Roman" w:eastAsia="Times New Roman" w:hAnsi="Times New Roman"/>
          <w:sz w:val="16"/>
          <w:szCs w:val="16"/>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failure to maintain our status as a BDC would reduce our operating flexibility.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•Certain investors are limited in their ability to make significant investments in 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•Cybersecurity risks and cyber incidents may adversely affect our business or those of our portfolio companies.</w:t>
      </w:r>
    </w:p>
    <w:p>
      <w:pPr>
        <w:spacing w:after="0" w:line="92" w:lineRule="exact"/>
        <w:rPr>
          <w:sz w:val="20"/>
          <w:szCs w:val="20"/>
          <w:color w:val="auto"/>
        </w:rPr>
      </w:pPr>
    </w:p>
    <w:p>
      <w:pPr>
        <w:ind w:left="240" w:right="2180"/>
        <w:spacing w:after="0" w:line="259" w:lineRule="auto"/>
        <w:rPr>
          <w:sz w:val="20"/>
          <w:szCs w:val="20"/>
          <w:color w:val="auto"/>
        </w:rPr>
      </w:pPr>
      <w:r>
        <w:rPr>
          <w:rFonts w:ascii="Times New Roman" w:cs="Times New Roman" w:eastAsia="Times New Roman" w:hAnsi="Times New Roman"/>
          <w:sz w:val="16"/>
          <w:szCs w:val="16"/>
          <w:color w:val="auto"/>
        </w:rPr>
        <w:t>•Our Board may change our investment objective, operating policies and strategies without prior notice or shareholder approval.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Economic Conditions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current state of the economy and financial markets increases the likelihood of adverse effects on our financial position and results of operations.</w:t>
      </w:r>
    </w:p>
    <w:p>
      <w:pPr>
        <w:spacing w:after="0" w:line="115" w:lineRule="exact"/>
        <w:rPr>
          <w:sz w:val="20"/>
          <w:szCs w:val="20"/>
          <w:color w:val="auto"/>
        </w:rPr>
      </w:pPr>
    </w:p>
    <w:p>
      <w:pPr>
        <w:ind w:left="240" w:right="2200"/>
        <w:spacing w:after="0" w:line="259" w:lineRule="auto"/>
        <w:rPr>
          <w:sz w:val="20"/>
          <w:szCs w:val="20"/>
          <w:color w:val="auto"/>
        </w:rPr>
      </w:pPr>
      <w:r>
        <w:rPr>
          <w:rFonts w:ascii="Times New Roman" w:cs="Times New Roman" w:eastAsia="Times New Roman" w:hAnsi="Times New Roman"/>
          <w:sz w:val="16"/>
          <w:szCs w:val="16"/>
          <w:color w:val="auto"/>
        </w:rPr>
        <w:t>•Uncertainty about financial stability could have a significant adverse effect on our business, results of operations and financial condition.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Portfolio Company Investments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investments are very risky and highly speculative.</w:t>
      </w:r>
    </w:p>
    <w:p>
      <w:pPr>
        <w:spacing w:after="0" w:line="92" w:lineRule="exact"/>
        <w:rPr>
          <w:sz w:val="20"/>
          <w:szCs w:val="20"/>
          <w:color w:val="auto"/>
        </w:rPr>
      </w:pPr>
    </w:p>
    <w:p>
      <w:pPr>
        <w:ind w:left="240" w:right="1640"/>
        <w:spacing w:after="0" w:line="247" w:lineRule="auto"/>
        <w:rPr>
          <w:sz w:val="20"/>
          <w:szCs w:val="20"/>
          <w:color w:val="auto"/>
        </w:rPr>
      </w:pPr>
      <w:r>
        <w:rPr>
          <w:rFonts w:ascii="Times New Roman" w:cs="Times New Roman" w:eastAsia="Times New Roman" w:hAnsi="Times New Roman"/>
          <w:sz w:val="16"/>
          <w:szCs w:val="16"/>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lack of liquidity in our investments may adversely affect our business.</w:t>
      </w:r>
    </w:p>
    <w:p>
      <w:pPr>
        <w:spacing w:after="0" w:line="92" w:lineRule="exact"/>
        <w:rPr>
          <w:sz w:val="20"/>
          <w:szCs w:val="20"/>
          <w:color w:val="auto"/>
        </w:rPr>
      </w:pPr>
    </w:p>
    <w:p>
      <w:pPr>
        <w:ind w:left="240" w:right="1720"/>
        <w:spacing w:after="0" w:line="247" w:lineRule="auto"/>
        <w:rPr>
          <w:sz w:val="20"/>
          <w:szCs w:val="20"/>
          <w:color w:val="auto"/>
        </w:rPr>
      </w:pPr>
      <w:r>
        <w:rPr>
          <w:rFonts w:ascii="Times New Roman" w:cs="Times New Roman" w:eastAsia="Times New Roman" w:hAnsi="Times New Roman"/>
          <w:sz w:val="16"/>
          <w:szCs w:val="16"/>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may securitize certain of our investments, which may subject us to certain structured financing risks.</w:t>
      </w:r>
    </w:p>
    <w:p>
      <w:pPr>
        <w:spacing w:after="0" w:line="92" w:lineRule="exact"/>
        <w:rPr>
          <w:sz w:val="20"/>
          <w:szCs w:val="20"/>
          <w:color w:val="auto"/>
        </w:rPr>
      </w:pPr>
    </w:p>
    <w:p>
      <w:pPr>
        <w:ind w:left="240" w:right="1760"/>
        <w:spacing w:after="0" w:line="247" w:lineRule="auto"/>
        <w:rPr>
          <w:sz w:val="20"/>
          <w:szCs w:val="20"/>
          <w:color w:val="auto"/>
        </w:rPr>
      </w:pPr>
      <w:r>
        <w:rPr>
          <w:rFonts w:ascii="Times New Roman" w:cs="Times New Roman" w:eastAsia="Times New Roman" w:hAnsi="Times New Roman"/>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exposed to risks associated with changes in interest rates.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may not be able to realize expected returns on our invested capital.</w:t>
      </w:r>
    </w:p>
    <w:p>
      <w:pPr>
        <w:spacing w:after="0" w:line="92" w:lineRule="exact"/>
        <w:rPr>
          <w:sz w:val="20"/>
          <w:szCs w:val="20"/>
          <w:color w:val="auto"/>
        </w:rPr>
      </w:pPr>
    </w:p>
    <w:p>
      <w:pPr>
        <w:ind w:left="240" w:right="1820"/>
        <w:spacing w:after="0" w:line="259" w:lineRule="auto"/>
        <w:rPr>
          <w:sz w:val="20"/>
          <w:szCs w:val="20"/>
          <w:color w:val="auto"/>
        </w:rPr>
      </w:pPr>
      <w:r>
        <w:rPr>
          <w:rFonts w:ascii="Times New Roman" w:cs="Times New Roman" w:eastAsia="Times New Roman" w:hAnsi="Times New Roman"/>
          <w:sz w:val="16"/>
          <w:szCs w:val="16"/>
          <w:color w:val="auto"/>
        </w:rPr>
        <w:t>•By originating loans to companies that are experiencing significant financial or business difficulties, we may be exposed to distressed lending risks.</w:t>
      </w:r>
    </w:p>
    <w:p>
      <w:pPr>
        <w:spacing w:after="0" w:line="59" w:lineRule="exact"/>
        <w:rPr>
          <w:sz w:val="20"/>
          <w:szCs w:val="20"/>
          <w:color w:val="auto"/>
        </w:rPr>
      </w:pPr>
    </w:p>
    <w:p>
      <w:pPr>
        <w:ind w:left="240" w:right="1640"/>
        <w:spacing w:after="0" w:line="259" w:lineRule="auto"/>
        <w:rPr>
          <w:sz w:val="20"/>
          <w:szCs w:val="20"/>
          <w:color w:val="auto"/>
        </w:rPr>
      </w:pPr>
      <w:r>
        <w:rPr>
          <w:rFonts w:ascii="Times New Roman" w:cs="Times New Roman" w:eastAsia="Times New Roman" w:hAnsi="Times New Roman"/>
          <w:sz w:val="16"/>
          <w:szCs w:val="16"/>
          <w:color w:val="auto"/>
        </w:rPr>
        <w:t>•Our portfolio companies may incur debt or issue equity securities that rank equally with, or senior to, our investments in those companies and we may be exposed to special risks associated with bankruptcy cases.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failure to make follow-on investments in our portfolio companies could impair the value of our investments.</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09" w:right="1440"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6"/>
          <w:szCs w:val="16"/>
          <w:color w:val="auto"/>
        </w:rPr>
        <w:t>•Any acquisitions or strategic investments that we pursue are subject to risks and uncertainties.</w:t>
      </w:r>
    </w:p>
    <w:p>
      <w:pPr>
        <w:spacing w:after="0" w:line="92" w:lineRule="exact"/>
        <w:rPr>
          <w:sz w:val="20"/>
          <w:szCs w:val="20"/>
          <w:color w:val="auto"/>
        </w:rPr>
      </w:pPr>
    </w:p>
    <w:p>
      <w:pPr>
        <w:ind w:left="240" w:right="1760"/>
        <w:spacing w:after="0" w:line="259" w:lineRule="auto"/>
        <w:rPr>
          <w:sz w:val="20"/>
          <w:szCs w:val="20"/>
          <w:color w:val="auto"/>
        </w:rPr>
      </w:pPr>
      <w:r>
        <w:rPr>
          <w:rFonts w:ascii="Times New Roman" w:cs="Times New Roman" w:eastAsia="Times New Roman" w:hAnsi="Times New Roman"/>
          <w:sz w:val="16"/>
          <w:szCs w:val="16"/>
          <w:color w:val="auto"/>
        </w:rPr>
        <w:t>•We cannot guarantee that we will be able to obtain various required licenses in U.S. states or in any other jurisdiction where they may be required in the future.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investments in foreign companies may involve significant risks in addition to the risks inherent in U.S.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expose ourselves to risks when we engage in hedging transactions.</w:t>
      </w:r>
    </w:p>
    <w:p>
      <w:pPr>
        <w:spacing w:after="0" w:line="92" w:lineRule="exact"/>
        <w:rPr>
          <w:sz w:val="20"/>
          <w:szCs w:val="20"/>
          <w:color w:val="auto"/>
        </w:rPr>
      </w:pPr>
    </w:p>
    <w:p>
      <w:pPr>
        <w:ind w:left="240" w:right="1720"/>
        <w:spacing w:after="0" w:line="259" w:lineRule="auto"/>
        <w:rPr>
          <w:sz w:val="20"/>
          <w:szCs w:val="20"/>
          <w:color w:val="auto"/>
        </w:rPr>
      </w:pPr>
      <w:r>
        <w:rPr>
          <w:rFonts w:ascii="Times New Roman" w:cs="Times New Roman" w:eastAsia="Times New Roman" w:hAnsi="Times New Roman"/>
          <w:sz w:val="16"/>
          <w:szCs w:val="16"/>
          <w:color w:val="auto"/>
        </w:rPr>
        <w:t>•The market structure applicable to derivatives imposed by the Dodd-Frank Act may affect our ability to use over-the-counter (“OTC”) derivatives for hedging purposes.</w:t>
      </w:r>
    </w:p>
    <w:p>
      <w:pPr>
        <w:spacing w:after="0" w:line="59" w:lineRule="exact"/>
        <w:rPr>
          <w:sz w:val="20"/>
          <w:szCs w:val="20"/>
          <w:color w:val="auto"/>
        </w:rPr>
      </w:pPr>
    </w:p>
    <w:p>
      <w:pPr>
        <w:ind w:left="240" w:right="1900"/>
        <w:spacing w:after="0" w:line="259" w:lineRule="auto"/>
        <w:rPr>
          <w:sz w:val="20"/>
          <w:szCs w:val="20"/>
          <w:color w:val="auto"/>
        </w:rPr>
      </w:pPr>
      <w:r>
        <w:rPr>
          <w:rFonts w:ascii="Times New Roman" w:cs="Times New Roman" w:eastAsia="Times New Roman" w:hAnsi="Times New Roman"/>
          <w:sz w:val="16"/>
          <w:szCs w:val="16"/>
          <w:color w:val="auto"/>
        </w:rPr>
        <w:t>•If we cease to be eligible for an exemption from regulation as a commodity pool operator, our compliance expenses could increase substantially.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portfolio investments may present special tax issues.</w:t>
      </w:r>
    </w:p>
    <w:p>
      <w:pPr>
        <w:spacing w:after="0" w:line="92" w:lineRule="exact"/>
        <w:rPr>
          <w:sz w:val="20"/>
          <w:szCs w:val="20"/>
          <w:color w:val="auto"/>
        </w:rPr>
      </w:pPr>
    </w:p>
    <w:p>
      <w:pPr>
        <w:ind w:left="240" w:right="1920"/>
        <w:spacing w:after="0" w:line="241" w:lineRule="auto"/>
        <w:rPr>
          <w:sz w:val="20"/>
          <w:szCs w:val="20"/>
          <w:color w:val="auto"/>
        </w:rPr>
      </w:pPr>
      <w:r>
        <w:rPr>
          <w:rFonts w:ascii="Times New Roman" w:cs="Times New Roman" w:eastAsia="Times New Roman" w:hAnsi="Times New Roman"/>
          <w:sz w:val="16"/>
          <w:szCs w:val="16"/>
          <w:color w:val="auto"/>
        </w:rPr>
        <w:t>•If we are not treated as a publicly offered regulated investment company, certain non-corporate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 Under current law, miscellaneous itemized deductions are generally not deductible by any such shareholder.</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are certain risks associated with holding debt obligations that have original issue discount or payment-in-kind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investment in our Common Shares will have limited liquidity.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is a risk that investors in our Common Shares may not receive dividends or that our dividends may not grow over time.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•Investing in our securities may involve a high degree of risk.</w:t>
      </w:r>
    </w:p>
    <w:p>
      <w:pPr>
        <w:spacing w:after="0" w:line="92" w:lineRule="exact"/>
        <w:rPr>
          <w:sz w:val="20"/>
          <w:szCs w:val="20"/>
          <w:color w:val="auto"/>
        </w:rPr>
      </w:pPr>
    </w:p>
    <w:p>
      <w:pPr>
        <w:ind w:right="1920" w:firstLine="228"/>
        <w:spacing w:after="0" w:line="360" w:lineRule="auto"/>
        <w:rPr>
          <w:sz w:val="20"/>
          <w:szCs w:val="20"/>
          <w:color w:val="auto"/>
        </w:rPr>
      </w:pPr>
      <w:r>
        <w:rPr>
          <w:rFonts w:ascii="Times New Roman" w:cs="Times New Roman" w:eastAsia="Times New Roman" w:hAnsi="Times New Roman"/>
          <w:sz w:val="16"/>
          <w:szCs w:val="16"/>
          <w:color w:val="auto"/>
        </w:rPr>
        <w:t xml:space="preserve">•Our shareholders will experience dilution in their ownership percentage if they opt out of our dividend reinvestment plan. </w:t>
      </w:r>
      <w:r>
        <w:rPr>
          <w:rFonts w:ascii="Times New Roman" w:cs="Times New Roman" w:eastAsia="Times New Roman" w:hAnsi="Times New Roman"/>
          <w:sz w:val="16"/>
          <w:szCs w:val="16"/>
          <w:i w:val="1"/>
          <w:iCs w:val="1"/>
          <w:color w:val="auto"/>
        </w:rPr>
        <w:t>General Risk Factors</w:t>
      </w:r>
    </w:p>
    <w:p>
      <w:pPr>
        <w:ind w:left="240" w:right="1680"/>
        <w:spacing w:after="0" w:line="259" w:lineRule="auto"/>
        <w:rPr>
          <w:sz w:val="20"/>
          <w:szCs w:val="20"/>
          <w:color w:val="auto"/>
        </w:rPr>
      </w:pPr>
      <w:r>
        <w:rPr>
          <w:rFonts w:ascii="Times New Roman" w:cs="Times New Roman" w:eastAsia="Times New Roman" w:hAnsi="Times New Roman"/>
          <w:sz w:val="16"/>
          <w:szCs w:val="16"/>
          <w:color w:val="auto"/>
        </w:rPr>
        <w:t>•We are highly dependent on information systems and systems failures could significantly disrupt our business, which may, in turn, negatively affect our ability to pay dividends.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laws or regulations governing our operations may adversely affect our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risks related to sustainability matters.</w:t>
      </w: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09" w:right="1440"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66" w:lineRule="exact"/>
        <w:rPr>
          <w:sz w:val="20"/>
          <w:szCs w:val="20"/>
          <w:color w:val="auto"/>
        </w:rPr>
      </w:pPr>
    </w:p>
    <w:p>
      <w:pPr>
        <w:ind w:right="20" w:firstLine="195"/>
        <w:spacing w:after="0" w:line="331" w:lineRule="auto"/>
        <w:rPr>
          <w:sz w:val="20"/>
          <w:szCs w:val="20"/>
          <w:color w:val="auto"/>
        </w:rPr>
      </w:pPr>
      <w:r>
        <w:rPr>
          <w:rFonts w:ascii="Times New Roman" w:cs="Times New Roman" w:eastAsia="Times New Roman" w:hAnsi="Times New Roman"/>
          <w:sz w:val="14"/>
          <w:szCs w:val="14"/>
          <w:color w:val="auto"/>
        </w:rPr>
        <w:t>In this Annual Report, except where the context suggests otherwise, the terms “we,” “us,”, “our,” and “the Company” refer to Sixth Street Lending Partners. The term “Adviser” refers to Sixth Street Lending Partners Advisers, LLC, a Delaware limited liability company. The term “Sixth Street” refers to Sixth Street Partners, LLC.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94"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We are organized as a Delaware statutory trust named Sixth Street Lending Partners. The Company was formed on April 5, 2022. 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December 31, 2025, we have originated approximately $29.2 billion aggregate principal amount of investments and retained approximately $9.8 billion aggregate principal amount of these investments on our balance sheet prior to any subsequent exits and repayments. We seek to generate current income and long-term capital appreciation primarily by investing in U.S.- domiciled upper middle-market companies through direct originations of senior secured loans and, to a lesser extent, originations of mezzanine and unsecured loans and investments in corporate bonds, equity securities, and other instruments.</w:t>
      </w:r>
    </w:p>
    <w:p>
      <w:pPr>
        <w:spacing w:after="0" w:line="170" w:lineRule="exact"/>
        <w:rPr>
          <w:sz w:val="20"/>
          <w:szCs w:val="20"/>
          <w:color w:val="auto"/>
        </w:rPr>
      </w:pPr>
    </w:p>
    <w:p>
      <w:pPr>
        <w:ind w:right="40" w:firstLine="228"/>
        <w:spacing w:after="0" w:line="284" w:lineRule="auto"/>
        <w:rPr>
          <w:sz w:val="20"/>
          <w:szCs w:val="20"/>
          <w:color w:val="auto"/>
        </w:rPr>
      </w:pPr>
      <w:r>
        <w:rPr>
          <w:rFonts w:ascii="Times New Roman" w:cs="Times New Roman" w:eastAsia="Times New Roman" w:hAnsi="Times New Roman"/>
          <w:sz w:val="14"/>
          <w:szCs w:val="14"/>
          <w:color w:val="auto"/>
        </w:rPr>
        <w:t>By “upper middle-market companies,” we mean companies that have annual EBITDA (as defined below), which we believe is a useful proxy for cash flow, of greater than $ 75 million, although we may invest in smaller companies on occasion. “EBITDA” means a company’s earnings before interest, tax, depreciation and amortization. As of December 31, 2025, our core portfolio companies, which exclude certain investments that fall outside of our typical borrower profile and represent 88.9% of our total investments based on fair value, had weighted average annual revenue of $870.9 million and weighted average annual EBITDA of $261.6 million. As of December 31, 2025, our core portfolio companies had a median annual revenue of $201.9 million and median annual EBITDA of $67.5 million.</w:t>
      </w:r>
    </w:p>
    <w:p>
      <w:pPr>
        <w:spacing w:after="0" w:line="236"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have operated as a business development company, or a BDC, since we began our investment activities in August 2022. In conducting our investment activities, we believe that we benefit from the significant scale and resources of our Adviser and its affiliates.</w:t>
      </w:r>
    </w:p>
    <w:p>
      <w:pPr>
        <w:spacing w:after="0" w:line="155"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 lien debt may include secured loans, and, to a lesser extent, secured corporate bonds, with a secondary priority behind first-lien debt. As of December 31, 2025, based on fair value our portfolio consisted of 94.5% first-lien debt investments, 0.5% second -lien debt investments, 2.7% mezzanine debt investments and 2.3% equity and other investments. As of December 31, 2025, 96.9% of our debt investments based on fair value bore interest at floating rates, with 100% of these subject to interest rate floors, which we believe helps act as a portfolio-wide hedge against inflation. As of December 31, 2025, we had investments in 74 portfolio companies, with an average investment size of approximately $109.6 million based on fair value. As of December 31, 2025, the largest single investment based on fair value represented 4.8% of our total investment portfolio.</w:t>
      </w:r>
    </w:p>
    <w:p>
      <w:pPr>
        <w:spacing w:after="0" w:line="176"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our portfolio was invested across eighteen (18) different industries. The largest industry in our portfolio as of December 31, 2025 was business services, which represents, as a percentage of our portfolio, 19.7%, based on fair value.</w:t>
      </w:r>
    </w:p>
    <w:p>
      <w:pPr>
        <w:spacing w:after="0" w:line="155"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We are an externally managed, closed-end, non-diversified management investment company that has elected to be regulated as a BDC under the Investment Company Act of 1940, as amended, (the “1940 Act”). In addition, for U.S. federal income tax purposes, we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67"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borrow money from time to time within the levels permitted by the 1940 Act to fund investments and for general corporate purposes. Under the 1940 Act, we can incur borrowings, issue debt securities or issue preferred shares if immediately after the</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 w:name="page7"/>
    <w:bookmarkEnd w:id="6"/>
    <w:p>
      <w:pPr>
        <w:spacing w:after="0" w:line="6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borrowing or issuance our ratio of total assets (less total liabilities other than indebtedness) to total indebtedness plus preferred shares is at least 150%. In determining whether to borrow money, we analyze the maturity, covenant package and rate structure of the proposed borrowings, as well as the risks of those borrowings compared to our investment outlook. The use of borrowed funds or the proceeds of preferred shares offerings to make investments has its own specific set of benefits and risks, and all of the costs of borrowing funds or issuing preferred shares are borne by us, and ultimately the holders of our Common Shares. See “</w:t>
      </w:r>
      <w:r>
        <w:rPr>
          <w:rFonts w:ascii="Times New Roman" w:cs="Times New Roman" w:eastAsia="Times New Roman" w:hAnsi="Times New Roman"/>
          <w:sz w:val="16"/>
          <w:szCs w:val="16"/>
          <w:i w:val="1"/>
          <w:iCs w:val="1"/>
          <w:color w:val="auto"/>
        </w:rPr>
        <w:t>ITEM 1A. 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Related to Our Business and Structure—We borrow money, which magnifies the potential for gain or loss and increases the risk of investing in us.” </w:t>
      </w:r>
      <w:r>
        <w:rPr>
          <w:rFonts w:ascii="Times New Roman" w:cs="Times New Roman" w:eastAsia="Times New Roman" w:hAnsi="Times New Roman"/>
          <w:sz w:val="16"/>
          <w:szCs w:val="16"/>
          <w:color w:val="auto"/>
        </w:rPr>
        <w:t>See also “</w:t>
      </w:r>
      <w:r>
        <w:rPr>
          <w:rFonts w:ascii="Times New Roman" w:cs="Times New Roman" w:eastAsia="Times New Roman" w:hAnsi="Times New Roman"/>
          <w:sz w:val="16"/>
          <w:szCs w:val="16"/>
          <w:i w:val="1"/>
          <w:iCs w:val="1"/>
          <w:color w:val="auto"/>
        </w:rPr>
        <w:t>Regulation as a Business Development Company—Senior Securities.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operations comprise only a single reportable segment.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our Adviser, and Sixth Street</w:t>
      </w:r>
    </w:p>
    <w:p>
      <w:pPr>
        <w:spacing w:after="0" w:line="94"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Investment Advisers Act of 1940, as amended (the “Advisers Act”) . Our Adviser sources and manages our portfolio through a dedicated team of investment professionals predominately focused on direct lending, which we refer to as our Investment Team. Our Investment Team is led by our Adviser’s Co - Founding Partner, Co-President and Co-Chief Investment Officer Joshua Easterly, our Co-Head of Sixth Street Direct Lending and Co-Head of Growth Robert 'Bo' Stanley, Co- 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0" w:lineRule="exact"/>
        <w:rPr>
          <w:sz w:val="20"/>
          <w:szCs w:val="20"/>
          <w:color w:val="auto"/>
        </w:rPr>
      </w:pPr>
    </w:p>
    <w:p>
      <w:pPr>
        <w:ind w:right="40"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 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17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 w:name="page8"/>
    <w:bookmarkEnd w:id="7"/>
    <w:p>
      <w:pPr>
        <w:spacing w:after="0" w:line="6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67"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In November 2025, our Board renewed the Investment Advisory Agreement and the Administration Agreement. Unless earlier terminated, the Investment Advisory Agreement will remain in effect until November 2026, and may be extended subject to required approvals.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Joint Venture</w:t>
      </w:r>
    </w:p>
    <w:p>
      <w:pPr>
        <w:spacing w:after="0" w:line="19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On December 23, 2025, affiliates of Sixth Street, including us,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managed by affiliates of Sixth Street or Carlyle on a no-fee basis.</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Sixth Street affiliates own 50.0% of the equity interests in SCP and Carlyle affiliates own 50.0%, with investment decisions requiring approval by representatives of both the Sixth Street affiliates and the Carlyle affiliates. SCP will be initially capitalized with $600.0 million of aggregate capital commitments from Sixth Street Specialty Lending, Inc., Sixth Street Lending Partners, Carlyle Secured Lending, Inc. and Carlyle Credit Solutions, Inc., as members of SCP, with all members of SCP having equal voting control. Equity contributions will be called from each member on a pro-rata basis, based on their equity commitments. As of December 31, 2025, SCP had not commenced operations and no capital had been contributed to SCP.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Criteria/Guidelines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Decision Process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approach involves, among other things:</w:t>
      </w:r>
    </w:p>
    <w:p>
      <w:pPr>
        <w:spacing w:after="0" w:line="92" w:lineRule="exact"/>
        <w:rPr>
          <w:sz w:val="20"/>
          <w:szCs w:val="20"/>
          <w:color w:val="auto"/>
        </w:rPr>
      </w:pPr>
    </w:p>
    <w:p>
      <w:pPr>
        <w:ind w:left="240" w:right="1540"/>
        <w:spacing w:after="0" w:line="360" w:lineRule="auto"/>
        <w:rPr>
          <w:sz w:val="20"/>
          <w:szCs w:val="20"/>
          <w:color w:val="auto"/>
        </w:rPr>
      </w:pPr>
      <w:r>
        <w:rPr>
          <w:rFonts w:ascii="Times New Roman" w:cs="Times New Roman" w:eastAsia="Times New Roman" w:hAnsi="Times New Roman"/>
          <w:sz w:val="16"/>
          <w:szCs w:val="16"/>
          <w:color w:val="auto"/>
        </w:rPr>
        <w:t>•an assessment of the markets, overall macroeconomic environment and how the assessment may impact industry and investment selection; •substantial company-specific research and analysis; and</w:t>
      </w:r>
    </w:p>
    <w:p>
      <w:pPr>
        <w:ind w:left="240"/>
        <w:spacing w:after="0"/>
        <w:rPr>
          <w:sz w:val="20"/>
          <w:szCs w:val="20"/>
          <w:color w:val="auto"/>
        </w:rPr>
      </w:pPr>
      <w:r>
        <w:rPr>
          <w:rFonts w:ascii="Times New Roman" w:cs="Times New Roman" w:eastAsia="Times New Roman" w:hAnsi="Times New Roman"/>
          <w:sz w:val="16"/>
          <w:szCs w:val="16"/>
          <w:color w:val="auto"/>
        </w:rPr>
        <w:t>•with respect to each individual company, an emphasis on capital preservation, low volatility and management of downside risk.</w:t>
      </w:r>
    </w:p>
    <w:p>
      <w:pPr>
        <w:spacing w:after="0" w:line="188"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comprehensive analysis of issuer creditworthiness, including a quantitative and qualitative assessment of the issuer’s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evaluation of management and its economic incentives;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analysis of business strategy and industry trends;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in-depth examination of a prospective portfolio company’s capital structure, financial results and projections.</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seek to identify those companies exhibiting superior fundamental risk-reward profiles and strong defensible business franchises, while focusing on the absolute and relative value of the investment.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Origination and Sourcing</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8" w:name="page9"/>
    <w:bookmarkEnd w:id="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Diligence Process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•understanding the purpose of the capital requirement, the key personnel and variables, as well as the sources and uses of the proceeds;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•meeting the company’s management, including top and middle-level executives, to get an insider’s view of the business, and to probe for potential weaknesses in business prospects;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•checking management’s backgrounds and references;</w:t>
      </w:r>
    </w:p>
    <w:p>
      <w:pPr>
        <w:spacing w:after="0" w:line="92" w:lineRule="exact"/>
        <w:rPr>
          <w:sz w:val="20"/>
          <w:szCs w:val="20"/>
          <w:color w:val="auto"/>
        </w:rPr>
      </w:pPr>
    </w:p>
    <w:p>
      <w:pPr>
        <w:ind w:left="240" w:right="880"/>
        <w:spacing w:after="0" w:line="360" w:lineRule="auto"/>
        <w:rPr>
          <w:sz w:val="20"/>
          <w:szCs w:val="20"/>
          <w:color w:val="auto"/>
        </w:rPr>
      </w:pPr>
      <w:r>
        <w:rPr>
          <w:rFonts w:ascii="Times New Roman" w:cs="Times New Roman" w:eastAsia="Times New Roman" w:hAnsi="Times New Roman"/>
          <w:sz w:val="16"/>
          <w:szCs w:val="16"/>
          <w:color w:val="auto"/>
        </w:rPr>
        <w:t>•performing a detailed review of historical financial performance, including performance through various economic cycles, and the quality of earnings; •contacting customers and vendors to assess both business prospects and standard practices;</w:t>
      </w:r>
    </w:p>
    <w:p>
      <w:pPr>
        <w:ind w:left="240" w:right="1040"/>
        <w:spacing w:after="0" w:line="360" w:lineRule="auto"/>
        <w:rPr>
          <w:sz w:val="20"/>
          <w:szCs w:val="20"/>
          <w:color w:val="auto"/>
        </w:rPr>
      </w:pPr>
      <w:r>
        <w:rPr>
          <w:rFonts w:ascii="Times New Roman" w:cs="Times New Roman" w:eastAsia="Times New Roman" w:hAnsi="Times New Roman"/>
          <w:sz w:val="16"/>
          <w:szCs w:val="16"/>
          <w:color w:val="auto"/>
        </w:rPr>
        <w:t>•conducting a competitive analysis, and comparing the company to its main competitors on an operating, financial, market share and valuation basis; •researching the industry for historic growth trends and future prospects as well as to identify future exit alternatives;</w:t>
      </w:r>
    </w:p>
    <w:p>
      <w:pPr>
        <w:ind w:left="240" w:right="3000"/>
        <w:spacing w:after="0" w:line="372" w:lineRule="auto"/>
        <w:rPr>
          <w:sz w:val="20"/>
          <w:szCs w:val="20"/>
          <w:color w:val="auto"/>
        </w:rPr>
      </w:pPr>
      <w:r>
        <w:rPr>
          <w:rFonts w:ascii="Times New Roman" w:cs="Times New Roman" w:eastAsia="Times New Roman" w:hAnsi="Times New Roman"/>
          <w:sz w:val="16"/>
          <w:szCs w:val="16"/>
          <w:color w:val="auto"/>
        </w:rPr>
        <w:t>•assessing asset value and the ability of physical infrastructure and information systems to handle anticipated growth; •leveraging Sixth Street internal resources with institutional knowledge of the company’s business; and •investigating legal and regulatory risks and financial and accounting systems and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Selective Investment Process</w:t>
      </w:r>
    </w:p>
    <w:p>
      <w:pPr>
        <w:spacing w:after="0" w:line="94"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Formal Commitment</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Monitoring</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Adviser has a number of methods of evaluating and monitoring the performance of our investments, which may include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 w:name="page10"/>
    <w:bookmarkEnd w:id="9"/>
    <w:p>
      <w:pPr>
        <w:spacing w:after="0" w:line="6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7"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6"/>
          <w:szCs w:val="16"/>
          <w:color w:val="auto"/>
        </w:rPr>
        <w:t xml:space="preserve">For more information on the investment performance ratings of our portfolio, see </w:t>
      </w:r>
      <w:r>
        <w:rPr>
          <w:rFonts w:ascii="Times New Roman" w:cs="Times New Roman" w:eastAsia="Times New Roman" w:hAnsi="Times New Roman"/>
          <w:sz w:val="16"/>
          <w:szCs w:val="16"/>
          <w:i w:val="1"/>
          <w:iCs w:val="1"/>
          <w:color w:val="auto"/>
        </w:rPr>
        <w:t>“ITEM 7. 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OPERATIONS—Portfolio and Investment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Review Committee</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Structure of Investments</w:t>
      </w:r>
    </w:p>
    <w:p>
      <w:pPr>
        <w:spacing w:after="0" w:line="94"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Since beginning our investment activities in August 2022, we have sought to generate current income primarily in U.S.-domiciled upper middle-market companies through direct originations of senior secured loans and, to a lesser extent, originations of mezzanine and unsecured loans and investments in corporate bonds and equity and other investments.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9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6" w:lineRule="exact"/>
        <w:rPr>
          <w:sz w:val="20"/>
          <w:szCs w:val="20"/>
          <w:color w:val="auto"/>
        </w:rPr>
      </w:pPr>
    </w:p>
    <w:p>
      <w:pPr>
        <w:ind w:left="240" w:right="10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First-lien debt.</w:t>
      </w:r>
      <w:r>
        <w:rPr>
          <w:rFonts w:ascii="Times New Roman" w:cs="Times New Roman" w:eastAsia="Times New Roman" w:hAnsi="Times New Roman"/>
          <w:sz w:val="14"/>
          <w:szCs w:val="14"/>
          <w:color w:val="auto"/>
        </w:rPr>
        <w:t xml:space="preserve"> First- 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 lien debt may include stand-alone first-lien loans, “last out” first-lien loans, “unitranche” loans and secured corporate bonds with similar features to these categories of first-lien loans.</w:t>
      </w:r>
    </w:p>
    <w:p>
      <w:pPr>
        <w:spacing w:after="0" w:line="30" w:lineRule="exact"/>
        <w:rPr>
          <w:sz w:val="20"/>
          <w:szCs w:val="20"/>
          <w:color w:val="auto"/>
        </w:rPr>
      </w:pPr>
    </w:p>
    <w:p>
      <w:pPr>
        <w:ind w:left="240" w:right="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Stand-alone first-lien loans.</w:t>
      </w:r>
      <w:r>
        <w:rPr>
          <w:rFonts w:ascii="Times New Roman" w:cs="Times New Roman" w:eastAsia="Times New Roman" w:hAnsi="Times New Roman"/>
          <w:sz w:val="16"/>
          <w:szCs w:val="16"/>
          <w:color w:val="auto"/>
        </w:rPr>
        <w:t xml:space="preserve"> Stand-alone first-lien loans are traditional first-lien loans. All lenders in the facility have equal rights to the collateral that is subject to the first-priority security interest.</w:t>
      </w:r>
    </w:p>
    <w:p>
      <w:pPr>
        <w:spacing w:after="0" w:line="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 w:name="page11"/>
    <w:bookmarkEnd w:id="10"/>
    <w:p>
      <w:pPr>
        <w:ind w:left="24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out” first-lien loans.</w:t>
      </w:r>
      <w:r>
        <w:rPr>
          <w:rFonts w:ascii="Times New Roman" w:cs="Times New Roman" w:eastAsia="Times New Roman" w:hAnsi="Times New Roman"/>
          <w:sz w:val="16"/>
          <w:szCs w:val="16"/>
          <w:color w:val="auto"/>
        </w:rPr>
        <w:t xml:space="preserve"> “Last out” first -lien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4" w:lineRule="exact"/>
        <w:rPr>
          <w:sz w:val="20"/>
          <w:szCs w:val="20"/>
          <w:color w:val="auto"/>
        </w:rPr>
      </w:pPr>
    </w:p>
    <w:p>
      <w:pPr>
        <w:jc w:val="both"/>
        <w:ind w:left="240" w:right="30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“Unitranche” loans.</w:t>
      </w:r>
      <w:r>
        <w:rPr>
          <w:rFonts w:ascii="Times New Roman" w:cs="Times New Roman" w:eastAsia="Times New Roman" w:hAnsi="Times New Roman"/>
          <w:sz w:val="16"/>
          <w:szCs w:val="16"/>
          <w:color w:val="auto"/>
        </w:rPr>
        <w:t xml:space="preserve"> Unitranche loans combine features of first-lien, second -lien and mezzanine debt, generally in a first -lien 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6" w:lineRule="exact"/>
        <w:rPr>
          <w:sz w:val="20"/>
          <w:szCs w:val="20"/>
          <w:color w:val="auto"/>
        </w:rPr>
      </w:pPr>
    </w:p>
    <w:p>
      <w:pPr>
        <w:ind w:left="240" w:right="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Second-lien debt.</w:t>
      </w:r>
      <w:r>
        <w:rPr>
          <w:rFonts w:ascii="Times New Roman" w:cs="Times New Roman" w:eastAsia="Times New Roman" w:hAnsi="Times New Roman"/>
          <w:sz w:val="16"/>
          <w:szCs w:val="16"/>
          <w:color w:val="auto"/>
        </w:rPr>
        <w:t xml:space="preserve"> Our second-lien debt may include secured loans, and, to a lesser extent, secured corporate bonds, with a secondary priority behind first -lien debt. Second -lien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8" w:lineRule="exact"/>
        <w:rPr>
          <w:sz w:val="20"/>
          <w:szCs w:val="20"/>
          <w:color w:val="auto"/>
        </w:rPr>
      </w:pPr>
    </w:p>
    <w:p>
      <w:pPr>
        <w:ind w:left="24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“Mezzanine” and “Unsecured” debt.</w:t>
      </w:r>
      <w:r>
        <w:rPr>
          <w:rFonts w:ascii="Times New Roman" w:cs="Times New Roman" w:eastAsia="Times New Roman" w:hAnsi="Times New Roman"/>
          <w:sz w:val="16"/>
          <w:szCs w:val="16"/>
          <w:color w:val="auto"/>
        </w:rPr>
        <w:t xml:space="preserve"> Structurally, mezzanine debt usually ranks subordinate in priority of payment to first-lien and second -lien debt and may not have the benefit of financial covenants common in first-lien and second -lien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 -investment or warrants. Due to its higher risk profile and often less restrictive covenants compared to senior secured loans, mezzanine and unsecured debt generally bears a higher stated interest rate than first-lien and second-lien debt.</w:t>
      </w:r>
    </w:p>
    <w:p>
      <w:pPr>
        <w:spacing w:after="0" w:line="17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•requiring a total return on our investments (including both interest and potential equity appreciation) that compensates us for credit risk; and</w:t>
      </w:r>
    </w:p>
    <w:p>
      <w:pPr>
        <w:spacing w:after="0" w:line="92" w:lineRule="exact"/>
        <w:rPr>
          <w:sz w:val="20"/>
          <w:szCs w:val="20"/>
          <w:color w:val="auto"/>
        </w:rPr>
      </w:pPr>
    </w:p>
    <w:p>
      <w:pPr>
        <w:ind w:left="240" w:right="220"/>
        <w:spacing w:after="0" w:line="243" w:lineRule="auto"/>
        <w:rPr>
          <w:sz w:val="20"/>
          <w:szCs w:val="20"/>
          <w:color w:val="auto"/>
        </w:rPr>
      </w:pPr>
      <w:r>
        <w:rPr>
          <w:rFonts w:ascii="Times New Roman" w:cs="Times New Roman" w:eastAsia="Times New Roman" w:hAnsi="Times New Roman"/>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67"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Among the types of first-lien debt in which we invest, we generally are able to obtain higher effective interest rates on our “last out” first -lien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and Other Investments</w:t>
      </w:r>
    </w:p>
    <w:p>
      <w:pPr>
        <w:spacing w:after="0" w:line="94" w:lineRule="exact"/>
        <w:rPr>
          <w:sz w:val="20"/>
          <w:szCs w:val="20"/>
          <w:color w:val="auto"/>
        </w:rPr>
      </w:pPr>
    </w:p>
    <w:p>
      <w:pPr>
        <w:ind w:right="380" w:firstLine="228"/>
        <w:spacing w:after="0" w:line="331" w:lineRule="auto"/>
        <w:rPr>
          <w:sz w:val="20"/>
          <w:szCs w:val="20"/>
          <w:color w:val="auto"/>
        </w:rPr>
      </w:pPr>
      <w:r>
        <w:rPr>
          <w:rFonts w:ascii="Times New Roman" w:cs="Times New Roman" w:eastAsia="Times New Roman" w:hAnsi="Times New Roman"/>
          <w:sz w:val="14"/>
          <w:szCs w:val="14"/>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7" w:right="700" w:bottom="1440" w:gutter="0" w:footer="0" w:header="0"/>
        </w:sectPr>
      </w:pPr>
    </w:p>
    <w:bookmarkStart w:id="11" w:name="page12"/>
    <w:bookmarkEnd w:id="1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December 31, 2025 and December 31, 2024, we had made investments with an aggregate fair value of $8,108.7 million and $7,244.3 million, respectively,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74 and 67 portfolio companies, respectively.</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consisted of the following at December 31, 2025 and December 31, 2024:</w:t>
      </w:r>
    </w:p>
    <w:p>
      <w:pPr>
        <w:spacing w:after="0" w:line="392" w:lineRule="exact"/>
        <w:rPr>
          <w:sz w:val="20"/>
          <w:szCs w:val="20"/>
          <w:color w:val="auto"/>
        </w:rPr>
      </w:pPr>
    </w:p>
    <w:tbl>
      <w:tblPr>
        <w:tblLayout w:type="fixed"/>
        <w:tblInd w:w="96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7,483.9</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7,659.9</w:t>
            </w: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215.2</w:t>
            </w:r>
          </w:p>
        </w:tc>
        <w:tc>
          <w:tcPr>
            <w:tcW w:w="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222.4</w:t>
            </w: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7,892.9</w:t>
            </w: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8,108.7</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340"/>
        </w:trPr>
        <w:tc>
          <w:tcPr>
            <w:tcW w:w="45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6,732.1</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w:t>
            </w: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123.2</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4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7,080.0</w:t>
            </w:r>
          </w:p>
        </w:tc>
        <w:tc>
          <w:tcPr>
            <w:tcW w:w="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7,244.3</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164.3</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2025 and December 31, 2024 was as follows:</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18.7%</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6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7.2%</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534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5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5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176"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We classify the industries of our portfolio companies by end-market (such as Business Services and Retail and Consumer Products) and not by the product or services (such as Software) directed to those end-markets.</w:t>
      </w:r>
    </w:p>
    <w:p>
      <w:pPr>
        <w:spacing w:after="0" w:line="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12" w:name="page13"/>
    <w:bookmarkEnd w:id="12"/>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2025 and December 31, 2024 was as follows:</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51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18.0%</w:t>
            </w:r>
          </w:p>
        </w:tc>
      </w:tr>
      <w:tr>
        <w:trPr>
          <w:trHeight w:val="180"/>
        </w:trPr>
        <w:tc>
          <w:tcPr>
            <w:tcW w:w="51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180"/>
        </w:trPr>
        <w:tc>
          <w:tcPr>
            <w:tcW w:w="51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14.2%</w:t>
            </w:r>
          </w:p>
        </w:tc>
      </w:tr>
      <w:tr>
        <w:trPr>
          <w:trHeight w:val="180"/>
        </w:trPr>
        <w:tc>
          <w:tcPr>
            <w:tcW w:w="51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26.8%</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Canada </w:t>
            </w:r>
            <w:r>
              <w:rPr>
                <w:rFonts w:ascii="Times New Roman" w:cs="Times New Roman" w:eastAsia="Times New Roman" w:hAnsi="Times New Roman"/>
                <w:sz w:val="20"/>
                <w:szCs w:val="20"/>
                <w:color w:val="auto"/>
                <w:vertAlign w:val="superscript"/>
              </w:rPr>
              <w:t>(1)</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7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7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10.8%</w:t>
            </w:r>
          </w:p>
        </w:tc>
      </w:tr>
      <w:tr>
        <w:trPr>
          <w:trHeight w:val="155"/>
        </w:trPr>
        <w:tc>
          <w:tcPr>
            <w:tcW w:w="5120" w:type="dxa"/>
            <w:vAlign w:val="bottom"/>
            <w:shd w:val="clear" w:color="auto" w:fill="CFF0FC"/>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16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6"/>
                <w:szCs w:val="16"/>
                <w:color w:val="auto"/>
              </w:rPr>
              <w:t>100.0</w:t>
            </w:r>
          </w:p>
        </w:tc>
        <w:tc>
          <w:tcPr>
            <w:tcW w:w="17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6"/>
                <w:szCs w:val="16"/>
                <w:color w:val="auto"/>
              </w:rPr>
              <w:t>100.0</w:t>
            </w:r>
          </w:p>
        </w:tc>
      </w:tr>
      <w:tr>
        <w:trPr>
          <w:trHeight w:val="177"/>
        </w:trPr>
        <w:tc>
          <w:tcPr>
            <w:tcW w:w="5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8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CFF0FC"/>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Commitments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we had the following commitments to fund investments in current portfolio companies: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20" w:type="dxa"/>
            <w:vAlign w:val="bottom"/>
          </w:tcPr>
          <w:p>
            <w:pPr>
              <w:spacing w:after="0"/>
              <w:rPr>
                <w:sz w:val="13"/>
                <w:szCs w:val="13"/>
                <w:color w:val="auto"/>
              </w:rPr>
            </w:pPr>
          </w:p>
        </w:tc>
        <w:tc>
          <w:tcPr>
            <w:tcW w:w="51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4420" w:type="dxa"/>
            <w:vAlign w:val="bottom"/>
          </w:tcPr>
          <w:p>
            <w:pPr>
              <w:spacing w:after="0"/>
              <w:rPr>
                <w:sz w:val="14"/>
                <w:szCs w:val="14"/>
                <w:color w:val="auto"/>
              </w:rPr>
            </w:pPr>
          </w:p>
        </w:tc>
        <w:tc>
          <w:tcPr>
            <w:tcW w:w="720" w:type="dxa"/>
            <w:vAlign w:val="bottom"/>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4"/>
                <w:szCs w:val="14"/>
                <w:color w:val="auto"/>
              </w:rPr>
            </w:pPr>
          </w:p>
        </w:tc>
        <w:tc>
          <w:tcPr>
            <w:tcW w:w="74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442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FF0FC"/>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Aledade, Inc. -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15.8</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28.5</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20.2</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135.2</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26.6</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29.2</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16.5</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27.3</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45.7</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16.3</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260" w:type="dxa"/>
            <w:vAlign w:val="bottom"/>
          </w:tcPr>
          <w:p>
            <w:pPr>
              <w:spacing w:after="0"/>
              <w:rPr>
                <w:sz w:val="15"/>
                <w:szCs w:val="15"/>
                <w:color w:val="auto"/>
              </w:rPr>
            </w:pPr>
          </w:p>
        </w:tc>
        <w:tc>
          <w:tcPr>
            <w:tcW w:w="7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44.0</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70.3</w:t>
            </w:r>
          </w:p>
        </w:tc>
      </w:tr>
      <w:tr>
        <w:trPr>
          <w:trHeight w:val="180"/>
        </w:trPr>
        <w:tc>
          <w:tcPr>
            <w:tcW w:w="4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44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12.8</w:t>
            </w:r>
          </w:p>
        </w:tc>
      </w:tr>
      <w:tr>
        <w:trPr>
          <w:trHeight w:val="180"/>
        </w:trPr>
        <w:tc>
          <w:tcPr>
            <w:tcW w:w="4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44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286"/>
        </w:trPr>
        <w:tc>
          <w:tcPr>
            <w:tcW w:w="4420" w:type="dxa"/>
            <w:vAlign w:val="bottom"/>
          </w:tcPr>
          <w:p>
            <w:pPr>
              <w:spacing w:after="0"/>
              <w:rPr>
                <w:sz w:val="24"/>
                <w:szCs w:val="24"/>
                <w:color w:val="auto"/>
              </w:rPr>
            </w:pPr>
          </w:p>
        </w:tc>
        <w:tc>
          <w:tcPr>
            <w:tcW w:w="4420" w:type="dxa"/>
            <w:vAlign w:val="bottom"/>
          </w:tcPr>
          <w:p>
            <w:pPr>
              <w:jc w:val="right"/>
              <w:ind w:right="3406"/>
              <w:spacing w:after="0"/>
              <w:rPr>
                <w:sz w:val="20"/>
                <w:szCs w:val="20"/>
                <w:color w:val="auto"/>
              </w:rPr>
            </w:pPr>
            <w:r>
              <w:rPr>
                <w:rFonts w:ascii="Times New Roman" w:cs="Times New Roman" w:eastAsia="Times New Roman" w:hAnsi="Times New Roman"/>
                <w:sz w:val="16"/>
                <w:szCs w:val="16"/>
                <w:color w:val="auto"/>
              </w:rPr>
              <w:t>13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4"/>
        </w:trPr>
        <w:tc>
          <w:tcPr>
            <w:tcW w:w="4420" w:type="dxa"/>
            <w:vAlign w:val="bottom"/>
            <w:tcBorders>
              <w:bottom w:val="single" w:sz="8" w:color="EEEEEE"/>
            </w:tcBorders>
          </w:tcPr>
          <w:p>
            <w:pPr>
              <w:spacing w:after="0"/>
              <w:rPr>
                <w:sz w:val="24"/>
                <w:szCs w:val="24"/>
                <w:color w:val="auto"/>
              </w:rPr>
            </w:pPr>
          </w:p>
        </w:tc>
        <w:tc>
          <w:tcPr>
            <w:tcW w:w="44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Kaseware Intermediate Holding Company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Shiftmove GmbH - Delayed Draw</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33"/>
        </w:trPr>
        <w:tc>
          <w:tcPr>
            <w:tcW w:w="866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8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857.8</w:t>
            </w:r>
          </w:p>
        </w:tc>
        <w:tc>
          <w:tcPr>
            <w:tcW w:w="3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1,050.4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as analysis of the fair value of any unfunded commitments.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Commitments and Contingencies</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did not have any unfunded commitments to fund investments to new borrowers that were not current portfolio companies as of such date.</w:t>
      </w:r>
    </w:p>
    <w:p>
      <w:pPr>
        <w:spacing w:after="0" w:line="155"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December 31, 2025, management is not aware of any material pending or threatened litigation that would require accounting recognition or financial statement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14" w:name="page15"/>
    <w:bookmarkEnd w:id="14"/>
    <w:p>
      <w:pPr>
        <w:ind w:right="460"/>
        <w:spacing w:after="0" w:line="262" w:lineRule="auto"/>
        <w:rPr>
          <w:sz w:val="20"/>
          <w:szCs w:val="20"/>
          <w:color w:val="auto"/>
        </w:rPr>
      </w:pPr>
      <w:r>
        <w:rPr>
          <w:rFonts w:ascii="Times New Roman" w:cs="Times New Roman" w:eastAsia="Times New Roman" w:hAnsi="Times New Roman"/>
          <w:sz w:val="16"/>
          <w:szCs w:val="16"/>
          <w:color w:val="auto"/>
        </w:rPr>
        <w:t>risks we expect to face, see “</w:t>
      </w:r>
      <w:r>
        <w:rPr>
          <w:rFonts w:ascii="Times New Roman" w:cs="Times New Roman" w:eastAsia="Times New Roman" w:hAnsi="Times New Roman"/>
          <w:sz w:val="16"/>
          <w:szCs w:val="16"/>
          <w:i w:val="1"/>
          <w:iCs w:val="1"/>
          <w:color w:val="auto"/>
        </w:rPr>
        <w:t>ITEM 1A. RISK FACTORS—Risks Related to Our Business and Structure—We operate in a highly competitive market for investment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opportunities.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Resources and Borrowings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anticipate generating cash in the future from cash flows from operations, including interest received on our cash and cash equivalents, U.S. government securities and other high-quality debt investments that mature in one year or less, and through issuances of Common Shares.</w:t>
      </w:r>
    </w:p>
    <w:p>
      <w:pPr>
        <w:spacing w:after="0" w:line="155"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Additionally, we are permitted, under specified conditions, to issue multiple classes of indebtedness and one class of shares senior to our Common Shares if our asset coverage, as defined in the 1940 Act, is at least equal to 150% immediately after each such issuance. As of December 31, 2025 and December 31, 2024, our asset coverage was 200.8% and 193.0%, respectively. See “</w:t>
      </w:r>
      <w:r>
        <w:rPr>
          <w:rFonts w:ascii="Times New Roman" w:cs="Times New Roman" w:eastAsia="Times New Roman" w:hAnsi="Times New Roman"/>
          <w:sz w:val="16"/>
          <w:szCs w:val="16"/>
          <w:i w:val="1"/>
          <w:iCs w:val="1"/>
          <w:color w:val="auto"/>
        </w:rPr>
        <w:t>Regulation as a Business Development Company—Senior Securities</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Furthermore, while any indebtedness and senior securities remain outstanding, we must make provisions to prohibit any distribution to our shareholders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debt obligations consisted of the following as of December 31, 2025 and December 31, 2024:</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2"/>
                <w:szCs w:val="12"/>
                <w:color w:val="auto"/>
              </w:rPr>
            </w:pPr>
          </w:p>
        </w:tc>
        <w:tc>
          <w:tcPr>
            <w:tcW w:w="124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(3)(4)</w:t>
            </w: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477.6</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FF0FC"/>
          </w:tcPr>
          <w:p>
            <w:pPr>
              <w:spacing w:after="0"/>
              <w:rPr>
                <w:sz w:val="15"/>
                <w:szCs w:val="15"/>
                <w:color w:val="auto"/>
              </w:rPr>
            </w:pPr>
          </w:p>
        </w:tc>
      </w:tr>
      <w:tr>
        <w:trPr>
          <w:trHeight w:val="180"/>
        </w:trPr>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617.1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2,010.4</w:t>
            </w:r>
          </w:p>
        </w:tc>
        <w:tc>
          <w:tcPr>
            <w:tcW w:w="80" w:type="dxa"/>
            <w:vAlign w:val="bottom"/>
          </w:tcPr>
          <w:p>
            <w:pPr>
              <w:spacing w:after="0"/>
              <w:rPr>
                <w:sz w:val="15"/>
                <w:szCs w:val="15"/>
                <w:color w:val="auto"/>
              </w:rPr>
            </w:pP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754.2</w:t>
            </w:r>
          </w:p>
        </w:tc>
      </w:tr>
      <w:tr>
        <w:trPr>
          <w:trHeight w:val="180"/>
        </w:trPr>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20" w:type="dxa"/>
            <w:vAlign w:val="bottom"/>
          </w:tcPr>
          <w:p>
            <w:pPr>
              <w:spacing w:after="0"/>
              <w:rPr>
                <w:sz w:val="15"/>
                <w:szCs w:val="15"/>
                <w:color w:val="auto"/>
              </w:rPr>
            </w:pPr>
          </w:p>
        </w:tc>
        <w:tc>
          <w:tcPr>
            <w:tcW w:w="15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0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588.3</w:t>
            </w: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758.5</w:t>
            </w:r>
          </w:p>
        </w:tc>
      </w:tr>
      <w:tr>
        <w:trPr>
          <w:trHeight w:val="180"/>
        </w:trPr>
        <w:tc>
          <w:tcPr>
            <w:tcW w:w="33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5,275.0</w:t>
            </w:r>
          </w:p>
        </w:tc>
        <w:tc>
          <w:tcPr>
            <w:tcW w:w="22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4,148.3</w:t>
            </w:r>
          </w:p>
        </w:tc>
        <w:tc>
          <w:tcPr>
            <w:tcW w:w="120" w:type="dxa"/>
            <w:vAlign w:val="bottom"/>
          </w:tcPr>
          <w:p>
            <w:pPr>
              <w:spacing w:after="0"/>
              <w:rPr>
                <w:sz w:val="15"/>
                <w:szCs w:val="15"/>
                <w:color w:val="auto"/>
              </w:rPr>
            </w:pPr>
          </w:p>
        </w:tc>
        <w:tc>
          <w:tcPr>
            <w:tcW w:w="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1,094.7</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4,132.8</w:t>
            </w:r>
          </w:p>
        </w:tc>
        <w:tc>
          <w:tcPr>
            <w:tcW w:w="8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92"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(2)The amount available may be subject to limitations related to the borrowing base under the Subscription Facility, Revolving Credit Facility, outstanding letters of credit issued and asset coverage requirements.</w:t>
      </w:r>
    </w:p>
    <w:p>
      <w:pPr>
        <w:spacing w:after="0" w:line="59"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(3)The carrying values of the Subscription Facility, Revolving Credit Facility, 2029 Notes, January 2030 Notes and July 2030 Notes are presented net of deferred financing costs and original issue discounts totaling $1.0 million, $15.5 million, $11.0 million, $6.6 million and $12.4 million, respectively.</w:t>
      </w:r>
    </w:p>
    <w:p>
      <w:pPr>
        <w:spacing w:after="0" w:line="59"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(4)The carrying values of the 2029 Notes, January 2030 Notes and July 2030 Notes are presented inclusive of an incremental $15.1 million, $(5.2) million and $21.0 million, respectively, which represents an adjustment in the carrying values of the 2029 Notes, January 2030 Notes and July 2030 Notes, each resulting from a hedge accounting relationship.</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2"/>
                <w:szCs w:val="12"/>
                <w:color w:val="auto"/>
              </w:rPr>
            </w:pPr>
          </w:p>
        </w:tc>
        <w:tc>
          <w:tcPr>
            <w:tcW w:w="124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1040" w:type="dxa"/>
            <w:vAlign w:val="bottom"/>
          </w:tcPr>
          <w:p>
            <w:pPr>
              <w:jc w:val="right"/>
              <w:ind w:right="7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1,496.7</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9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0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180"/>
        </w:trPr>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20" w:type="dxa"/>
            <w:vAlign w:val="bottom"/>
          </w:tcPr>
          <w:p>
            <w:pPr>
              <w:spacing w:after="0"/>
              <w:rPr>
                <w:sz w:val="15"/>
                <w:szCs w:val="15"/>
                <w:color w:val="auto"/>
              </w:rPr>
            </w:pPr>
          </w:p>
        </w:tc>
        <w:tc>
          <w:tcPr>
            <w:tcW w:w="15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0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567.3</w:t>
            </w:r>
          </w:p>
        </w:tc>
        <w:tc>
          <w:tcPr>
            <w:tcW w:w="0" w:type="dxa"/>
            <w:vAlign w:val="bottom"/>
          </w:tcPr>
          <w:p>
            <w:pPr>
              <w:spacing w:after="0"/>
              <w:rPr>
                <w:sz w:val="1"/>
                <w:szCs w:val="1"/>
                <w:color w:val="auto"/>
              </w:rPr>
            </w:pPr>
          </w:p>
        </w:tc>
      </w:tr>
      <w:tr>
        <w:trPr>
          <w:trHeight w:val="220"/>
        </w:trPr>
        <w:tc>
          <w:tcPr>
            <w:tcW w:w="336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4,400.0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4,348.7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90"/>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45.3</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4,288.6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Revolving Credit Facility and asset coverage requirements.</w:t>
      </w:r>
    </w:p>
    <w:p>
      <w:pPr>
        <w:spacing w:after="0" w:line="59" w:lineRule="exact"/>
        <w:rPr>
          <w:sz w:val="20"/>
          <w:szCs w:val="20"/>
          <w:color w:val="auto"/>
        </w:rPr>
      </w:pPr>
    </w:p>
    <w:p>
      <w:pPr>
        <w:ind w:right="2540"/>
        <w:spacing w:after="0" w:line="247"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and January 2030 Notes are presented net of deferred financing costs and original issue discounts totaling $3.0 million, $9.1 million, $14.2 million and $8.6 million, respectively.</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7" w:right="660" w:bottom="1440" w:gutter="0" w:footer="0" w:header="0"/>
        </w:sectPr>
      </w:pPr>
    </w:p>
    <w:bookmarkStart w:id="15" w:name="page16"/>
    <w:bookmarkEnd w:id="15"/>
    <w:p>
      <w:pPr>
        <w:ind w:right="340"/>
        <w:spacing w:after="0" w:line="259" w:lineRule="auto"/>
        <w:rPr>
          <w:sz w:val="20"/>
          <w:szCs w:val="20"/>
          <w:color w:val="auto"/>
        </w:rPr>
      </w:pPr>
      <w:r>
        <w:rPr>
          <w:rFonts w:ascii="Times New Roman" w:cs="Times New Roman" w:eastAsia="Times New Roman" w:hAnsi="Times New Roman"/>
          <w:sz w:val="16"/>
          <w:szCs w:val="16"/>
          <w:color w:val="auto"/>
        </w:rPr>
        <w:t>(3)The carrying values of the 2029 Notes and January 2030 Notes are presented inclusive of an incremental $(1.1) million and $(24.1) million, respectively, which represents an adjustment in the carrying values of the 2029 Notes and January 2030 Notes, each resulting from a hedge accounting relationship.</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components of interest expense were as follows:</w:t>
      </w:r>
    </w:p>
    <w:p>
      <w:pPr>
        <w:spacing w:after="0" w:line="392"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0"/>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4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4"/>
                <w:szCs w:val="1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169.8</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140" w:type="dxa"/>
            <w:vAlign w:val="bottom"/>
            <w:shd w:val="clear" w:color="auto" w:fill="CFF0FC"/>
          </w:tcPr>
          <w:p>
            <w:pPr>
              <w:spacing w:after="0"/>
              <w:rPr>
                <w:sz w:val="15"/>
                <w:szCs w:val="15"/>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240" w:type="dxa"/>
            <w:vAlign w:val="bottom"/>
          </w:tcPr>
          <w:p>
            <w:pPr>
              <w:spacing w:after="0"/>
              <w:rPr>
                <w:sz w:val="15"/>
                <w:szCs w:val="15"/>
                <w:color w:val="auto"/>
              </w:rPr>
            </w:pPr>
          </w:p>
        </w:tc>
        <w:tc>
          <w:tcPr>
            <w:tcW w:w="1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5"/>
                <w:szCs w:val="15"/>
                <w:color w:val="auto"/>
              </w:rPr>
            </w:pPr>
          </w:p>
        </w:tc>
        <w:tc>
          <w:tcPr>
            <w:tcW w:w="19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14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240" w:type="dxa"/>
            <w:vAlign w:val="bottom"/>
          </w:tcPr>
          <w:p>
            <w:pPr>
              <w:spacing w:after="0"/>
              <w:rPr>
                <w:sz w:val="15"/>
                <w:szCs w:val="15"/>
                <w:color w:val="auto"/>
              </w:rPr>
            </w:pPr>
          </w:p>
        </w:tc>
        <w:tc>
          <w:tcPr>
            <w:tcW w:w="1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5"/>
                <w:szCs w:val="15"/>
                <w:color w:val="auto"/>
              </w:rPr>
            </w:pPr>
          </w:p>
        </w:tc>
        <w:tc>
          <w:tcPr>
            <w:tcW w:w="19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14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233.9</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192.0</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72.4</w:t>
            </w:r>
          </w:p>
        </w:tc>
        <w:tc>
          <w:tcPr>
            <w:tcW w:w="14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w:t>
            </w:r>
          </w:p>
        </w:tc>
        <w:tc>
          <w:tcPr>
            <w:tcW w:w="240" w:type="dxa"/>
            <w:vAlign w:val="bottom"/>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3,687.3</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2,519.0</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876.9</w:t>
            </w:r>
          </w:p>
        </w:tc>
        <w:tc>
          <w:tcPr>
            <w:tcW w:w="140" w:type="dxa"/>
            <w:vAlign w:val="bottom"/>
            <w:shd w:val="clear" w:color="auto" w:fill="CFF0FC"/>
          </w:tcPr>
          <w:p>
            <w:pPr>
              <w:spacing w:after="0"/>
              <w:rPr>
                <w:sz w:val="13"/>
                <w:szCs w:val="13"/>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40" w:type="dxa"/>
            <w:vAlign w:val="bottom"/>
          </w:tcPr>
          <w:p>
            <w:pPr>
              <w:spacing w:after="0"/>
              <w:rPr>
                <w:sz w:val="17"/>
                <w:szCs w:val="17"/>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r>
    </w:tbl>
    <w:p>
      <w:pPr>
        <w:spacing w:after="0" w:line="142" w:lineRule="exact"/>
        <w:rPr>
          <w:sz w:val="20"/>
          <w:szCs w:val="20"/>
          <w:color w:val="auto"/>
        </w:rPr>
      </w:pPr>
    </w:p>
    <w:p>
      <w:pPr>
        <w:ind w:right="840" w:firstLine="228"/>
        <w:spacing w:after="0" w:line="262" w:lineRule="auto"/>
        <w:rPr>
          <w:sz w:val="20"/>
          <w:szCs w:val="20"/>
          <w:color w:val="auto"/>
        </w:rPr>
      </w:pPr>
      <w:r>
        <w:rPr>
          <w:rFonts w:ascii="Times New Roman" w:cs="Times New Roman" w:eastAsia="Times New Roman" w:hAnsi="Times New Roman"/>
          <w:sz w:val="16"/>
          <w:szCs w:val="16"/>
          <w:color w:val="auto"/>
        </w:rPr>
        <w:t>For more information on our debt, see “</w:t>
      </w:r>
      <w:r>
        <w:rPr>
          <w:rFonts w:ascii="Times New Roman" w:cs="Times New Roman" w:eastAsia="Times New Roman" w:hAnsi="Times New Roman"/>
          <w:sz w:val="16"/>
          <w:szCs w:val="16"/>
          <w:i w:val="1"/>
          <w:iCs w:val="1"/>
          <w:color w:val="auto"/>
        </w:rPr>
        <w:t>ITEM 7. 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OPERATIONS——Financial Condition, Liquidity and Capital Resources.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Policy</w:t>
      </w:r>
    </w:p>
    <w:p>
      <w:pPr>
        <w:spacing w:after="0" w:line="94" w:lineRule="exact"/>
        <w:rPr>
          <w:sz w:val="20"/>
          <w:szCs w:val="20"/>
          <w:color w:val="auto"/>
        </w:rPr>
      </w:pPr>
    </w:p>
    <w:p>
      <w:pPr>
        <w:ind w:firstLine="267"/>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See </w:t>
      </w:r>
      <w:r>
        <w:rPr>
          <w:rFonts w:ascii="Times New Roman" w:cs="Times New Roman" w:eastAsia="Times New Roman" w:hAnsi="Times New Roman"/>
          <w:sz w:val="16"/>
          <w:szCs w:val="16"/>
          <w:i w:val="1"/>
          <w:iCs w:val="1"/>
          <w:color w:val="auto"/>
        </w:rPr>
        <w:t>“ITEM 1A. RISK FACTORS— Risks Related to Our Business and Structure—We will be subject to corporate-level income tax if we are unable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maintain our qualification as a RIC under Subchapter M of the Code.”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Reinvestment Plan</w:t>
      </w:r>
    </w:p>
    <w:p>
      <w:pPr>
        <w:spacing w:after="0" w:line="9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Each of our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09" w:right="740" w:bottom="1440" w:gutter="0" w:footer="0" w:header="0"/>
        </w:sectPr>
      </w:pPr>
    </w:p>
    <w:bookmarkStart w:id="16" w:name="page17"/>
    <w:bookmarkEnd w:id="16"/>
    <w:p>
      <w:pPr>
        <w:spacing w:after="0" w:line="241" w:lineRule="auto"/>
        <w:rPr>
          <w:sz w:val="20"/>
          <w:szCs w:val="20"/>
          <w:color w:val="auto"/>
        </w:rPr>
      </w:pPr>
      <w:r>
        <w:rPr>
          <w:rFonts w:ascii="Times New Roman" w:cs="Times New Roman" w:eastAsia="Times New Roman" w:hAnsi="Times New Roman"/>
          <w:sz w:val="16"/>
          <w:szCs w:val="16"/>
          <w:color w:val="auto"/>
        </w:rPr>
        <w:t>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6"/>
          <w:szCs w:val="16"/>
          <w:i w:val="1"/>
          <w:iCs w:val="1"/>
          <w:color w:val="auto"/>
        </w:rPr>
        <w:t>Investment Advisory Agreement; Administration Agreement; License Agreement</w:t>
      </w:r>
      <w:r>
        <w:rPr>
          <w:rFonts w:ascii="Times New Roman" w:cs="Times New Roman" w:eastAsia="Times New Roman" w:hAnsi="Times New Roman"/>
          <w:sz w:val="16"/>
          <w:szCs w:val="16"/>
          <w:color w:val="auto"/>
        </w:rPr>
        <w:t>” below.</w:t>
      </w:r>
    </w:p>
    <w:p>
      <w:pPr>
        <w:spacing w:after="0" w:line="73"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In addition to our Adviser, Sixth Street has a team of over 740 investment and operating professionals. As of December 31, 2025, seventy-eight (78) of these personnel are dedicated to direct lending, including sixty-three (63) investment professionals.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 Administration Agreement; License Agreement</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June 28, 2022, we entered into the Investment Advisory Agreement with our Adviser.</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 the Investment Advisory Agreement, the Adviser:</w:t>
      </w:r>
    </w:p>
    <w:p>
      <w:pPr>
        <w:spacing w:after="0" w:line="92" w:lineRule="exact"/>
        <w:rPr>
          <w:sz w:val="20"/>
          <w:szCs w:val="20"/>
          <w:color w:val="auto"/>
        </w:rPr>
      </w:pPr>
    </w:p>
    <w:p>
      <w:pPr>
        <w:ind w:left="240" w:right="640"/>
        <w:spacing w:after="0" w:line="360" w:lineRule="auto"/>
        <w:rPr>
          <w:sz w:val="20"/>
          <w:szCs w:val="20"/>
          <w:color w:val="auto"/>
        </w:rPr>
      </w:pPr>
      <w:r>
        <w:rPr>
          <w:rFonts w:ascii="Times New Roman" w:cs="Times New Roman" w:eastAsia="Times New Roman" w:hAnsi="Times New Roman"/>
          <w:sz w:val="16"/>
          <w:szCs w:val="16"/>
          <w:color w:val="auto"/>
        </w:rPr>
        <w:t>•determines the composition of our portfolio, the nature and timing of the changes to our portfolio and the manner of implementing those changes; •identifies, evaluates and negotiates the structure of the investments we make (including performing due diligence on our prospective portfolio companies); •determines the assets we will originate, purchase, retain or sell;</w:t>
      </w:r>
    </w:p>
    <w:p>
      <w:pPr>
        <w:ind w:left="240"/>
        <w:spacing w:after="0"/>
        <w:rPr>
          <w:sz w:val="20"/>
          <w:szCs w:val="20"/>
          <w:color w:val="auto"/>
        </w:rPr>
      </w:pPr>
      <w:r>
        <w:rPr>
          <w:rFonts w:ascii="Times New Roman" w:cs="Times New Roman" w:eastAsia="Times New Roman" w:hAnsi="Times New Roman"/>
          <w:sz w:val="16"/>
          <w:szCs w:val="16"/>
          <w:color w:val="auto"/>
        </w:rPr>
        <w:t>•closes, monitors and administers the investments we make, including the exercise of any rights in our capacity as a lender or equity holder; and</w:t>
      </w:r>
    </w:p>
    <w:p>
      <w:pPr>
        <w:spacing w:after="0" w:line="92"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Adviser’s services under the Investment Advisory Agreement are not exclusive, and the Adviser is free to furnish similar or other services to others so long as its services to us are not impaired.</w:t>
      </w:r>
    </w:p>
    <w:p>
      <w:pPr>
        <w:spacing w:after="0" w:line="155"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Under the terms of the Investment Advisory Agreement, we pay the Adviser a base management fee, (the “Management Fee,”) and may also pay certain incentive fees (the “Incentive Fees”).</w:t>
      </w:r>
    </w:p>
    <w:p>
      <w:pPr>
        <w:spacing w:after="0" w:line="155"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1.25%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Management Fees (gross of waivers) were $108.0 million, $67.8 million and $25.2 million, respectively.</w:t>
      </w:r>
    </w:p>
    <w:p>
      <w:pPr>
        <w:spacing w:after="0" w:line="15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Management Fees of $67.9 million, $43.8 million and $16.7 million were waived,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Prior to any Exchange Listing (as defined below)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7" w:name="page18"/>
    <w:bookmarkEnd w:id="17"/>
    <w:p>
      <w:pPr>
        <w:ind w:left="480" w:right="6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 -Incentive Fee net investment income includes, in the case of investments with a deferred interest feature (such as original issue discount, debt instruments with pay-in-kind interest and zero coupon securities), accrued income that the Company has not yet received in cash. The Adviser will not be obligated to return cash to the Company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74" w:lineRule="exact"/>
        <w:rPr>
          <w:sz w:val="20"/>
          <w:szCs w:val="20"/>
          <w:color w:val="auto"/>
        </w:rPr>
      </w:pPr>
    </w:p>
    <w:p>
      <w:pPr>
        <w:ind w:left="240" w:right="40"/>
        <w:spacing w:after="0" w:line="238" w:lineRule="auto"/>
        <w:rPr>
          <w:sz w:val="20"/>
          <w:szCs w:val="20"/>
          <w:color w:val="auto"/>
        </w:rPr>
      </w:pPr>
      <w:r>
        <w:rPr>
          <w:rFonts w:ascii="Times New Roman" w:cs="Times New Roman" w:eastAsia="Times New Roman" w:hAnsi="Times New Roman"/>
          <w:sz w:val="16"/>
          <w:szCs w:val="16"/>
          <w:color w:val="auto"/>
        </w:rPr>
        <w:t>(ii)The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70"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 -Incentive Fee net investment income exceeds the hurdle rate, pre-Incentive Fee net investment income is expressed as a rate of return on the value of our net assets at the end of the immediately preceding calendar quarter.</w:t>
      </w:r>
    </w:p>
    <w:p>
      <w:pPr>
        <w:spacing w:after="0" w:line="155"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 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47"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64" w:lineRule="exact"/>
        <w:rPr>
          <w:sz w:val="20"/>
          <w:szCs w:val="20"/>
          <w:color w:val="auto"/>
        </w:rPr>
      </w:pPr>
    </w:p>
    <w:p>
      <w:pPr>
        <w:jc w:val="both"/>
        <w:ind w:right="20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on net investment income were $82.4 million, $ 54.7 million and $19.3 million, respectively. For the years ended December 31, 2025, December 31, 2024, and December 31, 2023, $(9.6) million, $17.8 million, and $6.7 million, respectively, were accrued related to Capital Gains (Losses) Fees.</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55" w:lineRule="exact"/>
        <w:rPr>
          <w:sz w:val="20"/>
          <w:szCs w:val="20"/>
          <w:color w:val="auto"/>
        </w:rPr>
      </w:pPr>
    </w:p>
    <w:p>
      <w:pPr>
        <w:ind w:right="300" w:firstLine="228"/>
        <w:spacing w:after="0" w:line="243" w:lineRule="auto"/>
        <w:rPr>
          <w:sz w:val="20"/>
          <w:szCs w:val="20"/>
          <w:color w:val="auto"/>
        </w:rPr>
      </w:pPr>
      <w:r>
        <w:rPr>
          <w:rFonts w:ascii="Times New Roman" w:cs="Times New Roman" w:eastAsia="Times New Roman" w:hAnsi="Times New Roman"/>
          <w:sz w:val="16"/>
          <w:szCs w:val="16"/>
          <w:color w:val="auto"/>
        </w:rPr>
        <w:t>On June 28, 2022,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18" w:name="page19"/>
    <w:bookmarkEnd w:id="18"/>
    <w:p>
      <w:pPr>
        <w:spacing w:after="0" w:line="63"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are reimbursable to the Adviser under the terms of the Administration Agreement. See "</w:t>
      </w:r>
      <w:r>
        <w:rPr>
          <w:rFonts w:ascii="Times New Roman" w:cs="Times New Roman" w:eastAsia="Times New Roman" w:hAnsi="Times New Roman"/>
          <w:sz w:val="16"/>
          <w:szCs w:val="16"/>
          <w:i w:val="1"/>
          <w:iCs w:val="1"/>
          <w:color w:val="auto"/>
        </w:rPr>
        <w:t>Payment of Our Expenses</w:t>
      </w:r>
      <w:r>
        <w:rPr>
          <w:rFonts w:ascii="Times New Roman" w:cs="Times New Roman" w:eastAsia="Times New Roman" w:hAnsi="Times New Roman"/>
          <w:sz w:val="16"/>
          <w:szCs w:val="16"/>
          <w:color w:val="auto"/>
        </w:rPr>
        <w:t>" below. In addition, the Adviser is permitted to delegate its duties under the Administration Agreement to affiliates or third parties and we pay or reimburse the Adviser for certain expenses incurred by any such affiliates or third parties for work done on its behalf. For the years ended December 31, 2025, December 31, 2024 and December 31, 2023, we incurred expenses of $4.3 million, $4.0 million and $2.7 million, respectively, for administrative services payable under the terms of the Administration Agreement, which are included in Other general and administrative expenses.</w:t>
      </w:r>
    </w:p>
    <w:p>
      <w:pPr>
        <w:spacing w:after="0" w:line="171"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Adviser may pay amounts owed by us to third- 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08"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trustee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332"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74"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Our Expenses</w:t>
      </w:r>
    </w:p>
    <w:p>
      <w:pPr>
        <w:spacing w:after="0" w:line="94" w:lineRule="exact"/>
        <w:rPr>
          <w:sz w:val="20"/>
          <w:szCs w:val="20"/>
          <w:color w:val="auto"/>
        </w:rPr>
      </w:pPr>
    </w:p>
    <w:p>
      <w:pPr>
        <w:ind w:right="420" w:firstLine="228"/>
        <w:spacing w:after="0" w:line="331" w:lineRule="auto"/>
        <w:rPr>
          <w:sz w:val="20"/>
          <w:szCs w:val="20"/>
          <w:color w:val="auto"/>
        </w:rPr>
      </w:pPr>
      <w:r>
        <w:rPr>
          <w:rFonts w:ascii="Times New Roman" w:cs="Times New Roman" w:eastAsia="Times New Roman" w:hAnsi="Times New Roman"/>
          <w:sz w:val="14"/>
          <w:szCs w:val="14"/>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192"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140"/>
        <w:spacing w:after="0" w:line="247" w:lineRule="auto"/>
        <w:rPr>
          <w:sz w:val="20"/>
          <w:szCs w:val="20"/>
          <w:color w:val="auto"/>
        </w:rPr>
      </w:pPr>
      <w:r>
        <w:rPr>
          <w:rFonts w:ascii="Times New Roman" w:cs="Times New Roman" w:eastAsia="Times New Roman" w:hAnsi="Times New Roman"/>
          <w:sz w:val="16"/>
          <w:szCs w:val="16"/>
          <w:color w:val="auto"/>
        </w:rPr>
        <w:t>•fees and expenses, including travel expenses, incurred by the Adviser, or members of our Investment Team, or payable to third parties, in respect of due diligence on prospective portfolio companies and, if necessary, in respect of enforcing the Company’s rights with respect to investments in existing portfolio companies, including, among others, professional fees (including, without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9" w:name="page20"/>
    <w:bookmarkEnd w:id="19"/>
    <w:p>
      <w:pPr>
        <w:ind w:right="720"/>
        <w:spacing w:after="0" w:line="259" w:lineRule="auto"/>
        <w:rPr>
          <w:sz w:val="20"/>
          <w:szCs w:val="20"/>
          <w:color w:val="auto"/>
        </w:rPr>
      </w:pPr>
      <w:r>
        <w:rPr>
          <w:rFonts w:ascii="Times New Roman" w:cs="Times New Roman" w:eastAsia="Times New Roman" w:hAnsi="Times New Roman"/>
          <w:sz w:val="16"/>
          <w:szCs w:val="16"/>
          <w:color w:val="auto"/>
        </w:rPr>
        <w:t>limitation, the fees and expenses of consultants and experts) and fees and expenses relating to, or associated with, evaluating, monitoring, researching and performing due diligence on investments and prospective investments;</w:t>
      </w:r>
    </w:p>
    <w:p>
      <w:pPr>
        <w:spacing w:after="0" w:line="59"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pacing w:after="0" w:line="59" w:lineRule="exact"/>
        <w:rPr>
          <w:sz w:val="20"/>
          <w:szCs w:val="20"/>
          <w:color w:val="auto"/>
        </w:rPr>
      </w:pPr>
    </w:p>
    <w:p>
      <w:pPr>
        <w:ind w:right="308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Shares and other securities, including registration and listing fees; •the Management Fee and any Incentive Fee;</w:t>
      </w:r>
    </w:p>
    <w:p>
      <w:pPr>
        <w:ind w:right="5080"/>
        <w:spacing w:after="0" w:line="411" w:lineRule="auto"/>
        <w:rPr>
          <w:sz w:val="20"/>
          <w:szCs w:val="20"/>
          <w:color w:val="auto"/>
        </w:rPr>
      </w:pPr>
      <w:r>
        <w:rPr>
          <w:rFonts w:ascii="Times New Roman" w:cs="Times New Roman" w:eastAsia="Times New Roman" w:hAnsi="Times New Roman"/>
          <w:sz w:val="14"/>
          <w:szCs w:val="14"/>
          <w:color w:val="auto"/>
        </w:rPr>
        <w:t>•certain costs and expenses relating to distributions paid on our Common Shares; •administration fees payable under our Administration Agreement with the Adviser; •debt service and other costs of borrowings or other financing arrangements;</w:t>
      </w:r>
    </w:p>
    <w:p>
      <w:pPr>
        <w:spacing w:after="0" w:line="1" w:lineRule="exact"/>
        <w:rPr>
          <w:sz w:val="20"/>
          <w:szCs w:val="20"/>
          <w:color w:val="auto"/>
        </w:rPr>
      </w:pPr>
    </w:p>
    <w:p>
      <w:pPr>
        <w:ind w:right="174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spacing w:after="0"/>
        <w:rPr>
          <w:sz w:val="20"/>
          <w:szCs w:val="20"/>
          <w:color w:val="auto"/>
        </w:rPr>
      </w:pPr>
      <w:r>
        <w:rPr>
          <w:rFonts w:ascii="Times New Roman" w:cs="Times New Roman" w:eastAsia="Times New Roman" w:hAnsi="Times New Roman"/>
          <w:sz w:val="16"/>
          <w:szCs w:val="16"/>
          <w:color w:val="auto"/>
        </w:rPr>
        <w:t>•costs of derivatives and hedging;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•taxes and governmental fees;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•Independent Trustee fees and expenses;</w:t>
      </w:r>
    </w:p>
    <w:p>
      <w:pPr>
        <w:spacing w:after="0" w:line="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right="4300"/>
        <w:spacing w:after="0" w:line="360" w:lineRule="auto"/>
        <w:rPr>
          <w:sz w:val="20"/>
          <w:szCs w:val="20"/>
          <w:color w:val="auto"/>
        </w:rPr>
      </w:pPr>
      <w:r>
        <w:rPr>
          <w:rFonts w:ascii="Times New Roman" w:cs="Times New Roman" w:eastAsia="Times New Roman" w:hAnsi="Times New Roman"/>
          <w:sz w:val="16"/>
          <w:szCs w:val="16"/>
          <w:color w:val="auto"/>
        </w:rPr>
        <w:t>•trustee and officers/errors and omissions liability insurance, and any other insurance premiums; •indemnification payments;</w:t>
      </w:r>
    </w:p>
    <w:p>
      <w:pPr>
        <w:spacing w:after="0"/>
        <w:rPr>
          <w:sz w:val="20"/>
          <w:szCs w:val="20"/>
          <w:color w:val="auto"/>
        </w:rPr>
      </w:pPr>
      <w:r>
        <w:rPr>
          <w:rFonts w:ascii="Times New Roman" w:cs="Times New Roman" w:eastAsia="Times New Roman" w:hAnsi="Times New Roman"/>
          <w:sz w:val="14"/>
          <w:szCs w:val="14"/>
          <w:color w:val="auto"/>
        </w:rPr>
        <w:t>•information technology and related costs, including costs related to software, hardware and other technological systems (including specialty and custom software);</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5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9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900" w:top="1409" w:right="680" w:bottom="1440" w:gutter="0" w:footer="0" w:header="0"/>
        </w:sectPr>
      </w:pPr>
    </w:p>
    <w:bookmarkStart w:id="20" w:name="page21"/>
    <w:bookmarkEnd w:id="20"/>
    <w:p>
      <w:pPr>
        <w:spacing w:after="0" w:line="53" w:lineRule="exact"/>
        <w:rPr>
          <w:sz w:val="20"/>
          <w:szCs w:val="20"/>
          <w:color w:val="auto"/>
        </w:rPr>
      </w:pPr>
    </w:p>
    <w:p>
      <w:pPr>
        <w:ind w:firstLine="195"/>
        <w:spacing w:after="0" w:line="238" w:lineRule="auto"/>
        <w:rPr>
          <w:sz w:val="20"/>
          <w:szCs w:val="20"/>
          <w:color w:val="auto"/>
        </w:rPr>
      </w:pPr>
      <w:r>
        <w:rPr>
          <w:rFonts w:ascii="Times New Roman" w:cs="Times New Roman" w:eastAsia="Times New Roman" w:hAnsi="Times New Roman"/>
          <w:sz w:val="16"/>
          <w:szCs w:val="16"/>
          <w:color w:val="auto"/>
        </w:rPr>
        <w:t>The Company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Although the Investment Advisory Agreement and Administration Agreement do not specify a timeframe by which the Adviser or its affiliates must be so reimbursed, the Company expects that it would generally reimburse the Adviser or its affiliates by the end of following quarter in which the expense is recognized.</w:t>
      </w:r>
    </w:p>
    <w:p>
      <w:pPr>
        <w:spacing w:after="0" w:line="173"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Duration and Termination</w:t>
      </w:r>
    </w:p>
    <w:p>
      <w:pPr>
        <w:spacing w:after="0" w:line="94"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Unless earlier terminated as described below, both the Investment Advisory Agreement and the Administration Agreement will remain in effect until November 2026,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trustees of the Board who are not “interested persons” of us, the Adviser or any of our or its respective affiliates, as defined in the 1940 Act (known as Independent Trustees).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6"/>
          <w:szCs w:val="16"/>
          <w:i w:val="1"/>
          <w:iCs w:val="1"/>
          <w:color w:val="auto"/>
        </w:rPr>
        <w:t>ITEM 1A. RISK FACTORS—Risks Related to Our Business and Structure—We are dependent upon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personnel of the Adviser, Sixth Street, and their affiliates for our future success</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94" w:lineRule="exact"/>
        <w:rPr>
          <w:sz w:val="20"/>
          <w:szCs w:val="20"/>
          <w:color w:val="auto"/>
        </w:rPr>
      </w:pPr>
    </w:p>
    <w:p>
      <w:pPr>
        <w:ind w:right="20" w:firstLine="228"/>
        <w:spacing w:after="0" w:line="274" w:lineRule="auto"/>
        <w:rPr>
          <w:sz w:val="20"/>
          <w:szCs w:val="20"/>
          <w:color w:val="auto"/>
        </w:rPr>
      </w:pPr>
      <w:r>
        <w:rPr>
          <w:rFonts w:ascii="Times New Roman" w:cs="Times New Roman" w:eastAsia="Times New Roman" w:hAnsi="Times New Roman"/>
          <w:sz w:val="14"/>
          <w:szCs w:val="14"/>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Approval of the Investment Advisory Agreement</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Board, including our Independent Trustees, and holders of a majority of our outstanding securities, approved our Investment Advisory Agreement in June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its consideration of the Investment Advisory Agreement at the time of approval, the Board focused on information it had received relating to, among other things: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quality and extent of the advisory and other services to be provided to us by the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and financial performance on a standalone basis and against a comparative universe of peers;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•the extent to which economies of scale would be realized as we grow, and whether the fees payable under the Investment Advisory Agreement reflect these economies of scale for the benefit of our shareholders;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 w:name="page22"/>
    <w:bookmarkEnd w:id="21"/>
    <w:p>
      <w:pPr>
        <w:ind w:left="240" w:right="2620"/>
        <w:spacing w:after="0" w:line="360" w:lineRule="auto"/>
        <w:rPr>
          <w:sz w:val="20"/>
          <w:szCs w:val="20"/>
          <w:color w:val="auto"/>
        </w:rPr>
      </w:pPr>
      <w:r>
        <w:rPr>
          <w:rFonts w:ascii="Times New Roman" w:cs="Times New Roman" w:eastAsia="Times New Roman" w:hAnsi="Times New Roman"/>
          <w:sz w:val="16"/>
          <w:szCs w:val="16"/>
          <w:color w:val="auto"/>
        </w:rPr>
        <w:t>•comparative data with respect to advisory fees or similar expenses paid by other BDCs with similar investment objectives; •our expense ratio compared to BDCs with similar investment objectives;</w:t>
      </w:r>
    </w:p>
    <w:p>
      <w:pPr>
        <w:ind w:left="240" w:right="1320"/>
        <w:spacing w:after="0" w:line="360" w:lineRule="auto"/>
        <w:rPr>
          <w:sz w:val="20"/>
          <w:szCs w:val="20"/>
          <w:color w:val="auto"/>
        </w:rPr>
      </w:pPr>
      <w:r>
        <w:rPr>
          <w:rFonts w:ascii="Times New Roman" w:cs="Times New Roman" w:eastAsia="Times New Roman" w:hAnsi="Times New Roman"/>
          <w:sz w:val="16"/>
          <w:szCs w:val="16"/>
          <w:color w:val="auto"/>
        </w:rPr>
        <w:t>•any existing and potential sources of indirect income to the Adviser from its relationships with us and the profitability of those income sources; •information about the services to be performed and the personnel performing those services under the Investment Advisory Agreement; •the organizational and functional capabilities and financial condition of the Adviser and its respective affiliates; and</w:t>
      </w:r>
    </w:p>
    <w:p>
      <w:pPr>
        <w:ind w:left="240"/>
        <w:spacing w:after="0"/>
        <w:rPr>
          <w:sz w:val="20"/>
          <w:szCs w:val="20"/>
          <w:color w:val="auto"/>
        </w:rPr>
      </w:pPr>
      <w:r>
        <w:rPr>
          <w:rFonts w:ascii="Times New Roman" w:cs="Times New Roman" w:eastAsia="Times New Roman" w:hAnsi="Times New Roman"/>
          <w:sz w:val="16"/>
          <w:szCs w:val="16"/>
          <w:color w:val="auto"/>
        </w:rPr>
        <w:t>•the possibility of obtaining similar services from other third-party service providers or through an internally managed structure.</w:t>
      </w:r>
    </w:p>
    <w:p>
      <w:pPr>
        <w:spacing w:after="0" w:line="188"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Based on the information reviewed and the discussion thereof, the Board, including a majority of the Independent Trustees, concluded that the investment advisory fee rates are reasonable in relation to the services to be provided.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Business Development Company</w:t>
      </w:r>
    </w:p>
    <w:p>
      <w:pPr>
        <w:spacing w:after="0" w:line="94" w:lineRule="exact"/>
        <w:rPr>
          <w:sz w:val="20"/>
          <w:szCs w:val="20"/>
          <w:color w:val="auto"/>
        </w:rPr>
      </w:pPr>
    </w:p>
    <w:p>
      <w:pPr>
        <w:ind w:right="300" w:firstLine="228"/>
        <w:spacing w:after="0" w:line="247" w:lineRule="auto"/>
        <w:rPr>
          <w:sz w:val="20"/>
          <w:szCs w:val="20"/>
          <w:color w:val="auto"/>
        </w:rPr>
      </w:pPr>
      <w:r>
        <w:rPr>
          <w:rFonts w:ascii="Times New Roman" w:cs="Times New Roman" w:eastAsia="Times New Roman" w:hAnsi="Times New Roman"/>
          <w:sz w:val="16"/>
          <w:szCs w:val="16"/>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shareholders and from other sources to make long-term, private investments in businesses.</w:t>
      </w:r>
    </w:p>
    <w:p>
      <w:pPr>
        <w:spacing w:after="0" w:line="164"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4"/>
          <w:szCs w:val="14"/>
          <w:color w:val="auto"/>
        </w:rPr>
        <w:t>As with other companies regulated by the 1940 Act, a BDC must adhere to certain substantive regulatory requirements. A majority of our trustees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trustee or officer against any liability to us or our shareholders arising from willful misfeasance, bad faith, gross negligence or reckless disregard of the duties involved in the conduct of such person’s office.</w:t>
      </w:r>
    </w:p>
    <w:p>
      <w:pPr>
        <w:spacing w:after="0" w:line="13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a BDC, we are permitted, under specified conditions, to issue multiple classes of indebtedness and one class of shares senior to our Common Shares if our asset coverage, as defined in the 1940 Act, is at least equal to 150% immediately after any borrowing or issuance. See “</w:t>
      </w:r>
      <w:r>
        <w:rPr>
          <w:rFonts w:ascii="Times New Roman" w:cs="Times New Roman" w:eastAsia="Times New Roman" w:hAnsi="Times New Roman"/>
          <w:sz w:val="16"/>
          <w:szCs w:val="16"/>
          <w:i w:val="1"/>
          <w:iCs w:val="1"/>
          <w:color w:val="auto"/>
        </w:rPr>
        <w:t>—Senior Securities</w:t>
      </w:r>
      <w:r>
        <w:rPr>
          <w:rFonts w:ascii="Times New Roman" w:cs="Times New Roman" w:eastAsia="Times New Roman" w:hAnsi="Times New Roman"/>
          <w:sz w:val="16"/>
          <w:szCs w:val="16"/>
          <w:color w:val="auto"/>
        </w:rPr>
        <w:t>” for more information. In addition, while any preferred shares or publicly 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borrow money, which magnifies the potential for gain or loss and increases the risk of investing in 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2025 and December 31, 2024, our asset coverage was 200.8% and 193.0%, respectively.</w:t>
      </w:r>
    </w:p>
    <w:p>
      <w:pPr>
        <w:spacing w:after="0" w:line="170"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do not anticipate any substantial change in the nature of our business.</w:t>
      </w:r>
    </w:p>
    <w:p>
      <w:pPr>
        <w:spacing w:after="0" w:line="188"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shareholders to additional expenses. Our investment portfolio is also subject to diversification requirements by virtue of our status as a RIC for U.S. federal income tax purposes. See “</w:t>
      </w:r>
      <w:r>
        <w:rPr>
          <w:rFonts w:ascii="Times New Roman" w:cs="Times New Roman" w:eastAsia="Times New Roman" w:hAnsi="Times New Roman"/>
          <w:sz w:val="16"/>
          <w:szCs w:val="16"/>
          <w:i w:val="1"/>
          <w:iCs w:val="1"/>
          <w:color w:val="auto"/>
        </w:rPr>
        <w:t>—Regulated Investment Company Classification</w:t>
      </w:r>
      <w:r>
        <w:rPr>
          <w:rFonts w:ascii="Times New Roman" w:cs="Times New Roman" w:eastAsia="Times New Roman" w:hAnsi="Times New Roman"/>
          <w:sz w:val="16"/>
          <w:szCs w:val="16"/>
          <w:color w:val="auto"/>
        </w:rPr>
        <w:t>” for more information.</w:t>
      </w:r>
    </w:p>
    <w:p>
      <w:pPr>
        <w:spacing w:after="0" w:line="173"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2" w:name="page23"/>
    <w:bookmarkEnd w:id="22"/>
    <w:p>
      <w:pPr>
        <w:spacing w:after="0" w:line="6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53"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We are generally not able to issue and sell our Common Shares at a price below net asset value per share. See “</w:t>
      </w:r>
      <w:r>
        <w:rPr>
          <w:rFonts w:ascii="Times New Roman" w:cs="Times New Roman" w:eastAsia="Times New Roman" w:hAnsi="Times New Roman"/>
          <w:sz w:val="16"/>
          <w:szCs w:val="16"/>
          <w:i w:val="1"/>
          <w:iCs w:val="1"/>
          <w:color w:val="auto"/>
        </w:rPr>
        <w:t>ITEM 1A. RISK FACTORS—Risks Related to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Business and Structure—Regulations governing our operation as a BDC affect our ability to, and the way in which we, raise additional capital.” </w:t>
      </w:r>
      <w:r>
        <w:rPr>
          <w:rFonts w:ascii="Times New Roman" w:cs="Times New Roman" w:eastAsia="Times New Roman" w:hAnsi="Times New Roman"/>
          <w:sz w:val="16"/>
          <w:szCs w:val="16"/>
          <w:color w:val="auto"/>
        </w:rPr>
        <w:t>We may, however,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 to issue and sell our Common Shares at a price below the then-current net asset value of our Common Shares if our Board determines that the sale is in our best interests and the best interests of our shareholders, and our shareholders have approved our policy and practice of making these sales within the preceding 12 months. In addition we may elect to issue and sell warrants, options and rights to acquire our Common Shares at a price below the then-current net asset value of our Common Shares if our Board approves the issuance of such warrants, option and rights and shareholders approve such issuance as well.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such securities (less any distribution commission or discount). In addition, we may generally issue new Common Shares at a price below net asset value in rights offerings to existing shareholders, in payment of dividends and in certain other limited circumstances.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Compliance with regulations has not had a material effect on our capital expenditure, earnings or competitive position.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w:t>
      </w:r>
      <w:r>
        <w:rPr>
          <w:rFonts w:ascii="Times New Roman" w:cs="Times New Roman" w:eastAsia="Times New Roman" w:hAnsi="Times New Roman"/>
          <w:sz w:val="16"/>
          <w:szCs w:val="16"/>
          <w:i w:val="1"/>
          <w:iCs w:val="1"/>
          <w:color w:val="auto"/>
        </w:rPr>
        <w:t>ITEM 1A. RISK FACTORS—Risks Related to Our Business and Structure.</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with our Affiliates</w:t>
      </w:r>
    </w:p>
    <w:p>
      <w:pPr>
        <w:spacing w:after="0" w:line="94" w:lineRule="exact"/>
        <w:rPr>
          <w:sz w:val="20"/>
          <w:szCs w:val="20"/>
          <w:color w:val="auto"/>
        </w:rPr>
      </w:pPr>
    </w:p>
    <w:p>
      <w:pPr>
        <w:jc w:val="both"/>
        <w:ind w:right="220" w:firstLine="228"/>
        <w:spacing w:after="0" w:line="299"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including our officers, trustees,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31" w:lineRule="exact"/>
        <w:rPr>
          <w:sz w:val="20"/>
          <w:szCs w:val="20"/>
          <w:color w:val="auto"/>
        </w:rPr>
      </w:pPr>
    </w:p>
    <w:p>
      <w:pPr>
        <w:ind w:right="18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Qualifying Assets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jc w:val="both"/>
        <w:ind w:left="240" w:right="240"/>
        <w:spacing w:after="0" w:line="299" w:lineRule="auto"/>
        <w:rPr>
          <w:sz w:val="20"/>
          <w:szCs w:val="20"/>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•is not an investment company (other than a small business investment company wholly owned by us) or a company that would be an investment company but for certain exclusions under the 1940 Act;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•satisfies any of the following:</w:t>
      </w:r>
    </w:p>
    <w:p>
      <w:pPr>
        <w:spacing w:after="0" w:line="92" w:lineRule="exact"/>
        <w:rPr>
          <w:sz w:val="20"/>
          <w:szCs w:val="20"/>
          <w:color w:val="auto"/>
        </w:rPr>
      </w:pPr>
    </w:p>
    <w:p>
      <w:pPr>
        <w:jc w:val="center"/>
        <w:ind w:left="820" w:right="800"/>
        <w:spacing w:after="0" w:line="384" w:lineRule="auto"/>
        <w:rPr>
          <w:sz w:val="20"/>
          <w:szCs w:val="20"/>
          <w:color w:val="auto"/>
        </w:rPr>
      </w:pPr>
      <w:r>
        <w:rPr>
          <w:rFonts w:ascii="Times New Roman" w:cs="Times New Roman" w:eastAsia="Times New Roman" w:hAnsi="Times New Roman"/>
          <w:sz w:val="16"/>
          <w:szCs w:val="16"/>
          <w:color w:val="auto"/>
        </w:rPr>
        <w:t>•has an equity market capitalization of less than $250 million or does not have any class of securities listed on a national securities exchange;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ind w:left="960" w:right="40"/>
        <w:spacing w:after="0" w:line="331" w:lineRule="auto"/>
        <w:rPr>
          <w:sz w:val="20"/>
          <w:szCs w:val="20"/>
          <w:color w:val="auto"/>
        </w:rPr>
      </w:pPr>
      <w:r>
        <w:rPr>
          <w:rFonts w:ascii="Times New Roman" w:cs="Times New Roman" w:eastAsia="Times New Roman" w:hAnsi="Times New Roman"/>
          <w:sz w:val="14"/>
          <w:szCs w:val="14"/>
          <w:color w:val="auto"/>
        </w:rPr>
        <w:t>•is controlled by a BDC or a group of companies including a BDC, the BDC actually exercises a controlling influence over the management or policies of the eligible portfolio company, and, as a result thereof, the BDC has an affiliated person who is a trustee of the eligible portfolio company; or</w:t>
      </w:r>
    </w:p>
    <w:p>
      <w:pPr>
        <w:spacing w:after="0" w:line="12" w:lineRule="exact"/>
        <w:rPr>
          <w:sz w:val="20"/>
          <w:szCs w:val="20"/>
          <w:color w:val="auto"/>
        </w:rPr>
      </w:pPr>
    </w:p>
    <w:p>
      <w:pPr>
        <w:ind w:left="240" w:right="1500" w:firstLine="720"/>
        <w:spacing w:after="0" w:line="360" w:lineRule="auto"/>
        <w:rPr>
          <w:sz w:val="20"/>
          <w:szCs w:val="20"/>
          <w:color w:val="auto"/>
        </w:rPr>
      </w:pPr>
      <w:r>
        <w:rPr>
          <w:rFonts w:ascii="Times New Roman" w:cs="Times New Roman" w:eastAsia="Times New Roman" w:hAnsi="Times New Roman"/>
          <w:sz w:val="16"/>
          <w:szCs w:val="16"/>
          <w:color w:val="auto"/>
        </w:rPr>
        <w:t>•is a small and solvent company having total assets of not more than $4 million and capital and surplus of not less than $2 million. •Securities of any eligible portfolio company that we control;</w:t>
      </w:r>
    </w:p>
    <w:p>
      <w:pPr>
        <w:ind w:left="240" w:right="180"/>
        <w:spacing w:after="0" w:line="247" w:lineRule="auto"/>
        <w:rPr>
          <w:sz w:val="20"/>
          <w:szCs w:val="20"/>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9"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•Securities received in exchange for or distributed on or with respect to securities described above, or pursuant to the exercise of warrants or rights relating to such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88"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Managerial Assistance to Portfolio Companies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trustees, officers or employees, offers to provide, and, if accepted, does in fact provide, significant guidance and counsel concerning the management, operations or business objectives and policies of a portfolio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94"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150%.</w:t>
      </w:r>
    </w:p>
    <w:p>
      <w:pPr>
        <w:spacing w:after="0" w:line="5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We are permitted, under specified conditions, to issue multiple classes of indebtedness and one class of shares senior to our Common Shares if our asset coverage, as defined in the 1940 Act, is at least equal to 150% immediately after any borrowing or issuance. In addition, while any preferred shares or publicly-traded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6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The 1940 Act imposes limitations on a BDC’s issuance of preferred shares, which is considered a “senior security” and thus is subject to the 150% asset coverage requirement described above.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our asset coverage was 200.8% and 193.0%,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Ethics</w:t>
      </w:r>
    </w:p>
    <w:p>
      <w:pPr>
        <w:spacing w:after="0" w:line="9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As required by the Advisers Act and the 1940 Act, we and the Adviser have adopted codes of ethics which apply to, among others, our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24" w:name="page25"/>
    <w:bookmarkEnd w:id="2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 Policies and Procedures</w:t>
      </w:r>
    </w:p>
    <w:p>
      <w:pPr>
        <w:spacing w:after="0" w:line="94"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Sarbanes-Oxley Act of 2002</w:t>
      </w:r>
    </w:p>
    <w:p>
      <w:pPr>
        <w:spacing w:after="0" w:line="94" w:lineRule="exact"/>
        <w:rPr>
          <w:sz w:val="20"/>
          <w:szCs w:val="20"/>
          <w:color w:val="auto"/>
        </w:rPr>
      </w:pPr>
    </w:p>
    <w:p>
      <w:pPr>
        <w:ind w:right="580" w:firstLine="228"/>
        <w:spacing w:after="0" w:line="259" w:lineRule="auto"/>
        <w:rPr>
          <w:sz w:val="20"/>
          <w:szCs w:val="20"/>
          <w:color w:val="auto"/>
        </w:rPr>
      </w:pPr>
      <w:r>
        <w:rPr>
          <w:rFonts w:ascii="Times New Roman" w:cs="Times New Roman" w:eastAsia="Times New Roman" w:hAnsi="Times New Roman"/>
          <w:sz w:val="16"/>
          <w:szCs w:val="16"/>
          <w:color w:val="auto"/>
        </w:rPr>
        <w:t>The Sarbanes -Oxley Act of 2002 imposes a wide variety of regulatory requirements on certain publicly held companies and their insiders. Assuming certain requirements are met, many of these requirements affect us. For example:</w:t>
      </w:r>
    </w:p>
    <w:p>
      <w:pPr>
        <w:spacing w:after="0" w:line="59" w:lineRule="exact"/>
        <w:rPr>
          <w:sz w:val="20"/>
          <w:szCs w:val="20"/>
          <w:color w:val="auto"/>
        </w:rPr>
      </w:pPr>
    </w:p>
    <w:p>
      <w:pPr>
        <w:ind w:left="240" w:right="120"/>
        <w:spacing w:after="0" w:line="259" w:lineRule="auto"/>
        <w:rPr>
          <w:sz w:val="20"/>
          <w:szCs w:val="20"/>
          <w:color w:val="auto"/>
        </w:rPr>
      </w:pPr>
      <w:r>
        <w:rPr>
          <w:rFonts w:ascii="Times New Roman" w:cs="Times New Roman" w:eastAsia="Times New Roman" w:hAnsi="Times New Roman"/>
          <w:sz w:val="16"/>
          <w:szCs w:val="16"/>
          <w:color w:val="auto"/>
        </w:rPr>
        <w:t>•pursuant to Rule 13a-14 of the Exchange Act, our Chief Executive Officer and Chief Financial Officer certify the accuracy of the financial statements contained in our periodic reports;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•pursuant to Item 307 of Regulation S-K, our periodic reports disclose our conclusions about the effectiveness of our disclosure controls and procedures;</w:t>
      </w:r>
    </w:p>
    <w:p>
      <w:pPr>
        <w:spacing w:after="0" w:line="92" w:lineRule="exact"/>
        <w:rPr>
          <w:sz w:val="20"/>
          <w:szCs w:val="20"/>
          <w:color w:val="auto"/>
        </w:rPr>
      </w:pPr>
    </w:p>
    <w:p>
      <w:pPr>
        <w:ind w:left="240" w:right="220"/>
        <w:spacing w:after="0" w:line="247" w:lineRule="auto"/>
        <w:rPr>
          <w:sz w:val="20"/>
          <w:szCs w:val="20"/>
          <w:color w:val="auto"/>
        </w:rPr>
      </w:pPr>
      <w:r>
        <w:rPr>
          <w:rFonts w:ascii="Times New Roman" w:cs="Times New Roman" w:eastAsia="Times New Roman" w:hAnsi="Times New Roman"/>
          <w:sz w:val="16"/>
          <w:szCs w:val="16"/>
          <w:color w:val="auto"/>
        </w:rPr>
        <w:t>•pursuant to Rule 13a-15 of the Exchange Act, subject to certain assumptions, our management is required to prepare an annual report regarding its assessment of our internal control over financial reporting, and if we cease to be an emerging growth company and non-accelerated filer, such report will be subject to auditor attestation requirements; and</w:t>
      </w:r>
    </w:p>
    <w:p>
      <w:pPr>
        <w:spacing w:after="0" w:line="68" w:lineRule="exact"/>
        <w:rPr>
          <w:sz w:val="20"/>
          <w:szCs w:val="20"/>
          <w:color w:val="auto"/>
        </w:rPr>
      </w:pPr>
    </w:p>
    <w:p>
      <w:pPr>
        <w:jc w:val="both"/>
        <w:ind w:left="240" w:right="160"/>
        <w:spacing w:after="0" w:line="247" w:lineRule="auto"/>
        <w:rPr>
          <w:sz w:val="20"/>
          <w:szCs w:val="20"/>
          <w:color w:val="auto"/>
        </w:rPr>
      </w:pPr>
      <w:r>
        <w:rPr>
          <w:rFonts w:ascii="Times New Roman" w:cs="Times New Roman" w:eastAsia="Times New Roman" w:hAnsi="Times New Roman"/>
          <w:sz w:val="16"/>
          <w:szCs w:val="16"/>
          <w:color w:val="auto"/>
        </w:rPr>
        <w:t>•pursuant to Item 308 of Regulation S -K and Rule 13a- 15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Proxy Voting Policies and Procedures</w:t>
      </w:r>
    </w:p>
    <w:p>
      <w:pPr>
        <w:spacing w:after="0" w:line="9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We delegate our proxy voting responsibility to our Adviser. The Proxy Voting Policies and Procedures of our Adviser are set forth below. The guidelines are reviewed periodically by the Adviser and our Independent Trustees, and, accordingly, are subject to change.</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64"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The Adviser will vote all proxies based upon the guiding principle of seeking the maximization of the ultimate long-term economic value of our shareholders’ holdings, and ultimately all votes are cast on a case -by- 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shareholder(s).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Principles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5" w:name="page26"/>
    <w:bookmarkEnd w:id="25"/>
    <w:p>
      <w:pPr>
        <w:spacing w:after="0" w:line="65"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generally will not receive any nonpublic personal information relating to shareholders who purchase Common Shares.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3"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Reporting Obligations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We will furnish our shareholders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68"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make available on our website (www.sixthstreetlendingpartners.com) our annual reports on Form 10-K, quarterly reports on Form 10 -Q and our current reports on Form 8-K that we file with the SEC. Information contained on our website is not incorporated into this Annual Report and you should not consider such information to be part of this Annual Report.</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Shareholders and the public may access the Company's public filings at www.sec.gov or obtain information by calling the SEC at (202) 551-8090.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Regulated Investment Company Classification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have elected to be treated as a RIC for U.S. federal income tax purposes.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 maintain our status as a RIC, we must, among other things: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our election under the 1940 Act to be treated as a BDC;</w:t>
      </w:r>
    </w:p>
    <w:p>
      <w:pPr>
        <w:spacing w:after="0" w:line="92" w:lineRule="exact"/>
        <w:rPr>
          <w:sz w:val="20"/>
          <w:szCs w:val="20"/>
          <w:color w:val="auto"/>
        </w:rPr>
      </w:pPr>
    </w:p>
    <w:p>
      <w:pPr>
        <w:ind w:left="240" w:right="520"/>
        <w:spacing w:after="0" w:line="259" w:lineRule="auto"/>
        <w:rPr>
          <w:sz w:val="20"/>
          <w:szCs w:val="20"/>
          <w:color w:val="auto"/>
        </w:rPr>
      </w:pPr>
      <w:r>
        <w:rPr>
          <w:rFonts w:ascii="Times New Roman" w:cs="Times New Roman" w:eastAsia="Times New Roman" w:hAnsi="Times New Roman"/>
          <w:sz w:val="16"/>
          <w:szCs w:val="16"/>
          <w:color w:val="auto"/>
        </w:rPr>
        <w:t>•derive in each taxable year at least 90% of our gross income from dividends, interest, gains from the sale or other disposition of stock or securities and other specified categories of investment income;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diversified holdings so that, subject to certain exceptions and cure periods, at the end of each quarter of our taxable year:</w:t>
      </w:r>
    </w:p>
    <w:p>
      <w:pPr>
        <w:spacing w:after="0" w:line="92"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4"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5200" w:right="3260" w:hanging="4974"/>
        <w:spacing w:after="0" w:line="384" w:lineRule="auto"/>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ind w:left="240" w:right="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Dividend Reinvestment Plan</w:t>
      </w:r>
      <w:r>
        <w:rPr>
          <w:rFonts w:ascii="Times New Roman" w:cs="Times New Roman" w:eastAsia="Times New Roman" w:hAnsi="Times New Roman"/>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68" w:lineRule="exact"/>
        <w:rPr>
          <w:sz w:val="20"/>
          <w:szCs w:val="20"/>
          <w:color w:val="auto"/>
        </w:rPr>
      </w:pPr>
    </w:p>
    <w:p>
      <w:pPr>
        <w:ind w:left="240" w:right="60"/>
        <w:spacing w:after="0" w:line="247" w:lineRule="auto"/>
        <w:rPr>
          <w:sz w:val="20"/>
          <w:szCs w:val="20"/>
          <w:color w:val="auto"/>
        </w:rPr>
      </w:pPr>
      <w:r>
        <w:rPr>
          <w:rFonts w:ascii="Times New Roman" w:cs="Times New Roman" w:eastAsia="Times New Roman" w:hAnsi="Times New Roman"/>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8"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5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 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73"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7" w:name="page28"/>
    <w:bookmarkEnd w:id="27"/>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Board of Trustees may amend our Declaration of Trust without prior shareholder approval.</w:t>
      </w:r>
    </w:p>
    <w:p>
      <w:pPr>
        <w:spacing w:after="0" w:line="192" w:lineRule="exact"/>
        <w:rPr>
          <w:sz w:val="20"/>
          <w:szCs w:val="20"/>
          <w:color w:val="auto"/>
        </w:rPr>
      </w:pPr>
    </w:p>
    <w:p>
      <w:pPr>
        <w:ind w:right="40" w:firstLine="267"/>
        <w:spacing w:after="0" w:line="243" w:lineRule="auto"/>
        <w:rPr>
          <w:sz w:val="20"/>
          <w:szCs w:val="20"/>
          <w:color w:val="auto"/>
        </w:rPr>
      </w:pPr>
      <w:r>
        <w:rPr>
          <w:rFonts w:ascii="Times New Roman" w:cs="Times New Roman" w:eastAsia="Times New Roman" w:hAnsi="Times New Roman"/>
          <w:sz w:val="16"/>
          <w:szCs w:val="16"/>
          <w:color w:val="auto"/>
        </w:rPr>
        <w:t>Our Board of Trustees may, without shareholder vote, subject to certain exceptions, amend or otherwise supplement the Declaration of Trust by making an amendment, a Declaration of Trust supplemental thereto or an amended and restated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upon management personnel of the Adviser, Sixth Street and their affiliates for our future success.</w:t>
      </w:r>
    </w:p>
    <w:p>
      <w:pPr>
        <w:spacing w:after="0" w:line="192"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69" w:lineRule="exact"/>
        <w:rPr>
          <w:sz w:val="20"/>
          <w:szCs w:val="20"/>
          <w:color w:val="auto"/>
        </w:rPr>
      </w:pPr>
    </w:p>
    <w:p>
      <w:pPr>
        <w:ind w:right="280" w:firstLine="228"/>
        <w:spacing w:after="0" w:line="299" w:lineRule="auto"/>
        <w:rPr>
          <w:sz w:val="20"/>
          <w:szCs w:val="20"/>
          <w:color w:val="auto"/>
        </w:rPr>
      </w:pPr>
      <w:r>
        <w:rPr>
          <w:rFonts w:ascii="Times New Roman" w:cs="Times New Roman" w:eastAsia="Times New Roman" w:hAnsi="Times New Roman"/>
          <w:sz w:val="14"/>
          <w:szCs w:val="14"/>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w:t>
      </w:r>
    </w:p>
    <w:p>
      <w:pPr>
        <w:spacing w:after="0" w:line="190" w:lineRule="exact"/>
        <w:rPr>
          <w:sz w:val="20"/>
          <w:szCs w:val="20"/>
          <w:color w:val="auto"/>
        </w:rPr>
      </w:pPr>
    </w:p>
    <w:p>
      <w:pPr>
        <w:ind w:right="160" w:firstLine="228"/>
        <w:spacing w:after="0" w:line="244" w:lineRule="auto"/>
        <w:rPr>
          <w:sz w:val="20"/>
          <w:szCs w:val="20"/>
          <w:color w:val="auto"/>
        </w:rPr>
      </w:pPr>
      <w:r>
        <w:rPr>
          <w:rFonts w:ascii="Times New Roman" w:cs="Times New Roman" w:eastAsia="Times New Roman" w:hAnsi="Times New Roman"/>
          <w:sz w:val="16"/>
          <w:szCs w:val="16"/>
          <w:color w:val="auto"/>
        </w:rPr>
        <w:t>The 1940 Act imposes numerous constraints on the operations of BDCs. See “</w:t>
      </w:r>
      <w:r>
        <w:rPr>
          <w:rFonts w:ascii="Times New Roman" w:cs="Times New Roman" w:eastAsia="Times New Roman" w:hAnsi="Times New Roman"/>
          <w:sz w:val="16"/>
          <w:szCs w:val="16"/>
          <w:i w:val="1"/>
          <w:iCs w:val="1"/>
          <w:color w:val="auto"/>
        </w:rPr>
        <w:t>ITEM 1. BUSINESS—Regulation as a Business Development Company</w:t>
      </w:r>
      <w:r>
        <w:rPr>
          <w:rFonts w:ascii="Times New Roman" w:cs="Times New Roman" w:eastAsia="Times New Roman" w:hAnsi="Times New Roman"/>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66"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64"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 w:name="page29"/>
    <w:bookmarkEnd w:id="28"/>
    <w:p>
      <w:pPr>
        <w:spacing w:after="0" w:line="6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to service our indebtedness would not be available for distributions to our common shareholders. If we borrow money or issue senior securities, we will be exposed to typical risks associated with leverage, including an increased risk of loss.</w:t>
      </w:r>
    </w:p>
    <w:p>
      <w:pPr>
        <w:spacing w:after="0" w:line="155" w:lineRule="exact"/>
        <w:rPr>
          <w:sz w:val="20"/>
          <w:szCs w:val="20"/>
          <w:color w:val="auto"/>
        </w:rPr>
      </w:pPr>
    </w:p>
    <w:p>
      <w:pPr>
        <w:ind w:right="140" w:firstLine="228"/>
        <w:spacing w:after="0" w:line="280" w:lineRule="auto"/>
        <w:rPr>
          <w:sz w:val="20"/>
          <w:szCs w:val="20"/>
          <w:color w:val="auto"/>
        </w:rPr>
      </w:pPr>
      <w:r>
        <w:rPr>
          <w:rFonts w:ascii="Times New Roman" w:cs="Times New Roman" w:eastAsia="Times New Roman" w:hAnsi="Times New Roman"/>
          <w:sz w:val="14"/>
          <w:szCs w:val="14"/>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45"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 if our Board determines that the sale is in the Company’s best interest and the best interests of the Company’s shareholders, and the Company’s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price per share may decline. Because the number of Common Shares that could be so issued and the timing of any issuance is not currently known, the actual dilutive effect cannot be predicted.</w:t>
      </w:r>
    </w:p>
    <w:p>
      <w:pPr>
        <w:spacing w:after="0" w:line="174" w:lineRule="exact"/>
        <w:rPr>
          <w:sz w:val="20"/>
          <w:szCs w:val="20"/>
          <w:color w:val="auto"/>
        </w:rPr>
      </w:pPr>
    </w:p>
    <w:p>
      <w:pPr>
        <w:ind w:right="40" w:firstLine="228"/>
        <w:spacing w:after="0" w:line="237" w:lineRule="auto"/>
        <w:rPr>
          <w:sz w:val="20"/>
          <w:szCs w:val="20"/>
          <w:color w:val="auto"/>
        </w:rPr>
      </w:pPr>
      <w:r>
        <w:rPr>
          <w:rFonts w:ascii="Times New Roman" w:cs="Times New Roman" w:eastAsia="Times New Roman" w:hAnsi="Times New Roman"/>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6"/>
          <w:szCs w:val="16"/>
          <w:i w:val="1"/>
          <w:iCs w:val="1"/>
          <w:color w:val="auto"/>
        </w:rPr>
        <w:t>Risks Related to Our Portfolio Company Investments—We may securitize certain of our investments, which may 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us to certain structured financing risks</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borrow money, which magnifies the potential for gain or loss and increases the risk of investing in us.</w:t>
      </w:r>
    </w:p>
    <w:p>
      <w:pPr>
        <w:spacing w:after="0" w:line="192" w:lineRule="exact"/>
        <w:rPr>
          <w:sz w:val="20"/>
          <w:szCs w:val="20"/>
          <w:color w:val="auto"/>
        </w:rPr>
      </w:pPr>
    </w:p>
    <w:p>
      <w:pPr>
        <w:ind w:right="80" w:firstLine="228"/>
        <w:spacing w:after="0" w:line="237" w:lineRule="auto"/>
        <w:rPr>
          <w:sz w:val="20"/>
          <w:szCs w:val="20"/>
          <w:color w:val="auto"/>
        </w:rPr>
      </w:pPr>
      <w:r>
        <w:rPr>
          <w:rFonts w:ascii="Times New Roman" w:cs="Times New Roman" w:eastAsia="Times New Roman" w:hAnsi="Times New Roman"/>
          <w:sz w:val="16"/>
          <w:szCs w:val="16"/>
          <w:color w:val="auto"/>
        </w:rPr>
        <w:t>As part of our business strategy, we borrow from and may in the future issue additional senior debt securities to banks, insurance companies and other lenders. Holders of these loans or senior securities would have fixed -dollar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6"/>
          <w:szCs w:val="16"/>
          <w:i w:val="1"/>
          <w:iCs w:val="1"/>
          <w:color w:val="auto"/>
        </w:rPr>
        <w:t>—Risks Related to Our Business and Structure—Even in the event the value of your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declines, the Management Fee and, in certain circumstances, the Incentive Fee will still be payable to the Adviser</w:t>
      </w:r>
      <w:r>
        <w:rPr>
          <w:rFonts w:ascii="Times New Roman" w:cs="Times New Roman" w:eastAsia="Times New Roman" w:hAnsi="Times New Roman"/>
          <w:sz w:val="16"/>
          <w:szCs w:val="16"/>
          <w:color w:val="auto"/>
        </w:rPr>
        <w:t>.” The amount of leverage that we employ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depend on our Adviser’s and our Board’s assessment of market and other factors at the time of any proposed borrowing. We cannot assure you that we will be able to obtain credit at all or on terms acceptable to us.</w:t>
      </w:r>
    </w:p>
    <w:p>
      <w:pPr>
        <w:spacing w:after="0" w:line="176"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4"/>
          <w:szCs w:val="14"/>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 w:name="page30"/>
    <w:bookmarkEnd w:id="29"/>
    <w:p>
      <w:pPr>
        <w:spacing w:after="0" w:line="6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we had $4,148.3 million principal amount of outstanding indebtedness, which had an annualized interest cost of 5.8% under the terms of our debt, excluding fees (such as fees on undrawn amounts and amortization of upfront fees).</w:t>
      </w:r>
    </w:p>
    <w:p>
      <w:pPr>
        <w:spacing w:after="0" w:line="155" w:lineRule="exact"/>
        <w:rPr>
          <w:sz w:val="20"/>
          <w:szCs w:val="20"/>
          <w:color w:val="auto"/>
        </w:rPr>
      </w:pPr>
    </w:p>
    <w:p>
      <w:pPr>
        <w:jc w:val="both"/>
        <w:ind w:right="300" w:firstLine="228"/>
        <w:spacing w:after="0" w:line="247" w:lineRule="auto"/>
        <w:rPr>
          <w:sz w:val="20"/>
          <w:szCs w:val="20"/>
          <w:color w:val="auto"/>
        </w:rPr>
      </w:pPr>
      <w:r>
        <w:rPr>
          <w:rFonts w:ascii="Times New Roman" w:cs="Times New Roman" w:eastAsia="Times New Roman" w:hAnsi="Times New Roman"/>
          <w:sz w:val="16"/>
          <w:szCs w:val="16"/>
          <w:color w:val="auto"/>
        </w:rPr>
        <w:t>For us to cover these annualized interest payments on indebtedness, we must achieve annual returns on our investments of at least 3.0%.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64"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In order to assist investors in understanding the effects of leverage, the following table illustrates the effect of leverage on returns from an investment in our Common Shares assuming various annual returns, net of expenses. Leverage generally magnifies the return of shareholders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Effects of Leverage Based on Actual Amount of Borrowings Incurred by us as of December 31, 2025</w:t>
      </w:r>
    </w:p>
    <w:p>
      <w:pPr>
        <w:spacing w:after="0" w:line="202"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p>
    <w:p>
      <w:pPr>
        <w:jc w:val="center"/>
        <w:ind w:left="4800"/>
        <w:spacing w:after="0" w:line="232" w:lineRule="auto"/>
        <w:rPr>
          <w:sz w:val="20"/>
          <w:szCs w:val="20"/>
          <w:color w:val="auto"/>
        </w:rPr>
      </w:pPr>
      <w:r>
        <w:rPr>
          <w:rFonts w:ascii="Times New Roman" w:cs="Times New Roman" w:eastAsia="Times New Roman" w:hAnsi="Times New Roman"/>
          <w:sz w:val="13"/>
          <w:szCs w:val="13"/>
          <w:b w:val="1"/>
          <w:bCs w:val="1"/>
          <w:color w:val="auto"/>
        </w:rPr>
        <w:t xml:space="preserve">(net of expenses) </w:t>
      </w:r>
      <w:r>
        <w:rPr>
          <w:rFonts w:ascii="Times New Roman" w:cs="Times New Roman" w:eastAsia="Times New Roman" w:hAnsi="Times New Roman"/>
          <w:sz w:val="16"/>
          <w:szCs w:val="16"/>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00" w:type="dxa"/>
            <w:vAlign w:val="bottom"/>
          </w:tcPr>
          <w:p>
            <w:pPr>
              <w:spacing w:after="0"/>
              <w:rPr>
                <w:sz w:val="13"/>
                <w:szCs w:val="1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-10%</w:t>
            </w:r>
          </w:p>
        </w:tc>
        <w:tc>
          <w:tcPr>
            <w:tcW w:w="116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-5%</w:t>
            </w:r>
          </w:p>
        </w:tc>
        <w:tc>
          <w:tcPr>
            <w:tcW w:w="116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0%</w:t>
            </w:r>
          </w:p>
        </w:tc>
        <w:tc>
          <w:tcPr>
            <w:tcW w:w="11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5%</w:t>
            </w:r>
          </w:p>
        </w:tc>
        <w:tc>
          <w:tcPr>
            <w:tcW w:w="118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172"/>
        </w:trPr>
        <w:tc>
          <w:tcPr>
            <w:tcW w:w="48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4"/>
                <w:szCs w:val="14"/>
                <w:color w:val="auto"/>
              </w:rPr>
              <w:t xml:space="preserve">Corresponding return to shareholder </w:t>
            </w:r>
            <w:r>
              <w:rPr>
                <w:rFonts w:ascii="Times New Roman" w:cs="Times New Roman" w:eastAsia="Times New Roman" w:hAnsi="Times New Roman"/>
                <w:sz w:val="19"/>
                <w:szCs w:val="19"/>
                <w:color w:val="auto"/>
                <w:vertAlign w:val="superscript"/>
              </w:rPr>
              <w:t>(2)</w:t>
            </w:r>
          </w:p>
        </w:tc>
        <w:tc>
          <w:tcPr>
            <w:tcW w:w="1080" w:type="dxa"/>
            <w:vAlign w:val="bottom"/>
            <w:tcBorders>
              <w:top w:val="single" w:sz="8" w:color="auto"/>
            </w:tcBorders>
            <w:shd w:val="clear" w:color="auto" w:fill="CCEEFF"/>
          </w:tcPr>
          <w:p>
            <w:pPr>
              <w:jc w:val="right"/>
              <w:ind w:right="208"/>
              <w:spacing w:after="0" w:line="172" w:lineRule="exact"/>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262"/>
              <w:spacing w:after="0" w:line="172" w:lineRule="exact"/>
              <w:rPr>
                <w:sz w:val="20"/>
                <w:szCs w:val="20"/>
                <w:color w:val="auto"/>
              </w:rPr>
            </w:pPr>
            <w:r>
              <w:rPr>
                <w:rFonts w:ascii="Times New Roman" w:cs="Times New Roman" w:eastAsia="Times New Roman" w:hAnsi="Times New Roman"/>
                <w:sz w:val="16"/>
                <w:szCs w:val="16"/>
                <w:color w:val="auto"/>
              </w:rPr>
              <w:t>15.1%</w:t>
            </w:r>
          </w:p>
        </w:tc>
      </w:tr>
    </w:tbl>
    <w:p>
      <w:pPr>
        <w:spacing w:after="0" w:line="16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6"/>
          <w:szCs w:val="16"/>
          <w:color w:val="auto"/>
        </w:rPr>
        <w:t>(1)The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2025. As a result, it has not been updated to take into account any changes in assets or leverage since December 31, 2025.</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(2)In order to compute the “Corresponding return to shareholder,” the “Assumed Return on Our Portfolio” is multiplied by the total value of our assets at December 31, 2025 to obtain an assumed return to us. From this amount, the interest expense (calculated by multiplying the weighted average annualized stated interest rate of 5.8% by the approximately $4,148.3 million of principal debt outstanding) is subtracted to determine the return available to shareholders. The return available to shareholders is then divided by the total value of our net assets as of December 31, 2025 to determine the “Corresponding return to shareholder.”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indebtedness could adversely affect our business, financial condition or results of operations.</w:t>
      </w:r>
    </w:p>
    <w:p>
      <w:pPr>
        <w:spacing w:after="0" w:line="192"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Legislation allows us to incur additional leverage.</w:t>
      </w:r>
    </w:p>
    <w:p>
      <w:pPr>
        <w:spacing w:after="0" w:line="192"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w:t>
      </w:r>
    </w:p>
    <w:p>
      <w:pPr>
        <w:spacing w:after="0" w:line="165" w:lineRule="exact"/>
        <w:rPr>
          <w:sz w:val="20"/>
          <w:szCs w:val="20"/>
          <w:color w:val="auto"/>
        </w:rPr>
      </w:pPr>
    </w:p>
    <w:p>
      <w:pPr>
        <w:ind w:right="100" w:firstLine="228"/>
        <w:spacing w:after="0" w:line="248" w:lineRule="auto"/>
        <w:rPr>
          <w:sz w:val="20"/>
          <w:szCs w:val="20"/>
          <w:color w:val="auto"/>
        </w:rPr>
      </w:pPr>
      <w:r>
        <w:rPr>
          <w:rFonts w:ascii="Times New Roman" w:cs="Times New Roman" w:eastAsia="Times New Roman" w:hAnsi="Times New Roman"/>
          <w:sz w:val="16"/>
          <w:szCs w:val="16"/>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operate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highly competitive market for investment opportunities</w:t>
      </w:r>
      <w:r>
        <w:rPr>
          <w:rFonts w:ascii="Times New Roman" w:cs="Times New Roman" w:eastAsia="Times New Roman" w:hAnsi="Times New Roman"/>
          <w:sz w:val="16"/>
          <w:szCs w:val="16"/>
          <w:color w:val="auto"/>
        </w:rPr>
        <w:t>.” Any impact on returns or equity or our business associated with additional leverage may not outweigh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risk.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borrow money, which magnifies the potential for gain or loss and increases the risk of investing in us.</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default under our future credit facilities.</w:t>
      </w:r>
    </w:p>
    <w:p>
      <w:pPr>
        <w:spacing w:after="0" w:line="192"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in a credit facility may limit our investment discretion.</w:t>
      </w:r>
    </w:p>
    <w:p>
      <w:pPr>
        <w:spacing w:after="0" w:line="192"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73"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40"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 -offs,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151" w:lineRule="exact"/>
        <w:rPr>
          <w:sz w:val="20"/>
          <w:szCs w:val="20"/>
          <w:color w:val="auto"/>
        </w:rPr>
      </w:pPr>
    </w:p>
    <w:p>
      <w:pPr>
        <w:ind w:right="60" w:firstLine="228"/>
        <w:spacing w:after="0" w:line="276" w:lineRule="auto"/>
        <w:rPr>
          <w:sz w:val="20"/>
          <w:szCs w:val="20"/>
          <w:color w:val="auto"/>
        </w:rPr>
      </w:pPr>
      <w:r>
        <w:rPr>
          <w:rFonts w:ascii="Times New Roman" w:cs="Times New Roman" w:eastAsia="Times New Roman" w:hAnsi="Times New Roman"/>
          <w:sz w:val="14"/>
          <w:szCs w:val="14"/>
          <w:color w:val="auto"/>
        </w:rPr>
        <w:t>We may indirectly invest in broadly syndicated first lien senior secured loans, financed with long-term, non -mark-to- market, and predominantly investment grade rated CLO debt through joint ventures, partnerships or other special purpose vehicles (“Investment Vehicles”), including SCP. Investments in structured credit vehicles, including equity and junior debt instruments issued by CLOs, involve risks, including credit risk and market risk. Changes in interest rates and credit quality may cause significant price fluctuations. Additionally, changes in the underlying leveraged corporate loans held by a CLO may cause payments on the instruments that we indirectly hold to be reduced, either temporarily or permanently. Structured credit investments, particularly the subordinated interests in which we intend to invest, may be less liquid than many other types of securities and may be more volatile than the leveraged corporate loans underlying the CLOs we intend to target. Fluctuations in interest rates may also cause payments on the tranches of CLOs that we hold to be reduced, either temporarily or permanently. In addition, if we are to invest in an Investment Vehicle, we may be required to rely on our partners in the Investment Vehicle when making decisions regarding such Investment Vehicle’s investments, and accordingly, the value of the investment could be adversely affected if our interests diverge from those of our partners in the Investment Vehicle.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w:t>
      </w:r>
    </w:p>
    <w:p>
      <w:pPr>
        <w:spacing w:after="0" w:line="96"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ind w:right="20"/>
        <w:spacing w:after="0" w:line="243" w:lineRule="auto"/>
        <w:rPr>
          <w:sz w:val="20"/>
          <w:szCs w:val="20"/>
          <w:color w:val="auto"/>
        </w:rPr>
      </w:pPr>
      <w:r>
        <w:rPr>
          <w:rFonts w:ascii="Times New Roman" w:cs="Times New Roman" w:eastAsia="Times New Roman" w:hAnsi="Times New Roman"/>
          <w:sz w:val="16"/>
          <w:szCs w:val="16"/>
          <w:color w:val="auto"/>
        </w:rPr>
        <w:t>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67"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source investments, access financing or manage future growth effectively, we may be unable to achieve our investment objective.</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3"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in the event the value of your investment declines, the Management Fee and, in certain circumstances, the Incentive Fee will still be payable to the Adviser.</w:t>
      </w:r>
    </w:p>
    <w:p>
      <w:pPr>
        <w:spacing w:after="0" w:line="11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or 1.00% of the Company's average aggregate drawn capital (including capital drawn to pay Company expenses) as of the end of the two most recently completed calendar quarters, appropriately adjusted for any Common Share issuances or repurchases during the current calendar quarter. The fee waiver will terminate if and when the Company consummates an Exchange Listing. In addition, the Management Fee is payable regardless of whether the value of our gross assets or your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7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Incentive Fee is calculated as a percentage of pre- 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70"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2" w:name="page33"/>
    <w:bookmarkEnd w:id="32"/>
    <w:p>
      <w:pPr>
        <w:spacing w:after="0" w:line="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6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5"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corporate- level U.S. federal income tax if we are unable to maintain our qualification as a RIC under Subchapter M of the Code, including as a result of our failure to satisfy the RIC distribution requirements.</w:t>
      </w:r>
    </w:p>
    <w:p>
      <w:pPr>
        <w:spacing w:after="0" w:line="5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must distribute (or be treated as distributing) dividends for tax purposes in each taxable year equal to at least 90% of each of:</w:t>
      </w:r>
    </w:p>
    <w:p>
      <w:pPr>
        <w:spacing w:after="0" w:line="92" w:lineRule="exact"/>
        <w:rPr>
          <w:sz w:val="20"/>
          <w:szCs w:val="20"/>
          <w:color w:val="auto"/>
        </w:rPr>
      </w:pPr>
    </w:p>
    <w:p>
      <w:pPr>
        <w:ind w:left="240" w:right="500"/>
        <w:spacing w:after="0" w:line="259" w:lineRule="auto"/>
        <w:rPr>
          <w:sz w:val="20"/>
          <w:szCs w:val="20"/>
          <w:color w:val="auto"/>
        </w:rPr>
      </w:pPr>
      <w:r>
        <w:rPr>
          <w:rFonts w:ascii="Times New Roman" w:cs="Times New Roman" w:eastAsia="Times New Roman" w:hAnsi="Times New Roman"/>
          <w:sz w:val="16"/>
          <w:szCs w:val="16"/>
          <w:color w:val="auto"/>
        </w:rPr>
        <w:t>•the sum of our net ordinary income and realized net short-term capital gains in excess of realized net long-term capital losses or, investment company taxable income, if any, for that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net tax-exempt income for that taxable year.</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1"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•We must derive at least 90% of our gross income for each taxable year from dividends, interest, gains from the sale of or other disposition of stock or securities or similar sources.</w:t>
      </w:r>
    </w:p>
    <w:p>
      <w:pPr>
        <w:spacing w:after="0" w:line="59" w:lineRule="exact"/>
        <w:rPr>
          <w:sz w:val="20"/>
          <w:szCs w:val="20"/>
          <w:color w:val="auto"/>
        </w:rPr>
      </w:pPr>
    </w:p>
    <w:p>
      <w:pPr>
        <w:ind w:left="240" w:right="40"/>
        <w:spacing w:after="0" w:line="247" w:lineRule="auto"/>
        <w:rPr>
          <w:sz w:val="20"/>
          <w:szCs w:val="20"/>
          <w:color w:val="auto"/>
        </w:rPr>
      </w:pPr>
      <w:r>
        <w:rPr>
          <w:rFonts w:ascii="Times New Roman" w:cs="Times New Roman" w:eastAsia="Times New Roman" w:hAnsi="Times New Roman"/>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 be expected to retain some income and capital gains in excess of what is permissible for excise tax purposes and such amounts will be subject to 4%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excise tax.</w:t>
      </w:r>
    </w:p>
    <w:p>
      <w:pPr>
        <w:spacing w:after="0" w:line="170" w:lineRule="exact"/>
        <w:rPr>
          <w:sz w:val="20"/>
          <w:szCs w:val="20"/>
          <w:color w:val="auto"/>
        </w:rPr>
      </w:pPr>
    </w:p>
    <w:p>
      <w:pPr>
        <w:ind w:right="36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2025, we retained $3.8 million of undistributed income that is not subject to federal excise tax. As of December 31, 2024, there was no undistributed income. For the year ended December 31, 2025, we recorded no expense related to U.S. federal excise tax. For the year ended December 31, 2024, we recorded an expense of $ 2.2 million, for U.S. federal excise tax as a result. We can be expected to retain some income and capital gains in the future, including for purposes of providing us with</w:t>
      </w:r>
    </w:p>
    <w:p>
      <w:pPr>
        <w:spacing w:after="0" w:line="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3" w:name="page34"/>
    <w:bookmarkEnd w:id="33"/>
    <w:p>
      <w:pPr>
        <w:spacing w:after="0" w:line="6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6"/>
          <w:szCs w:val="16"/>
          <w:i w:val="1"/>
          <w:iCs w:val="1"/>
          <w:color w:val="auto"/>
        </w:rPr>
        <w:t>ITEM 1. BUSINESS—Regulation as a Business Development Company—Regulated Investment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Classification</w:t>
      </w:r>
      <w:r>
        <w:rPr>
          <w:rFonts w:ascii="Times New Roman" w:cs="Times New Roman" w:eastAsia="Times New Roman" w:hAnsi="Times New Roman"/>
          <w:sz w:val="16"/>
          <w:szCs w:val="16"/>
          <w:color w:val="auto"/>
        </w:rPr>
        <w:t>” for more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192"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73"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73"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55"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example, our Revolving Credit Facility is subject to variable rates that expose us to interest rate risk.</w:t>
      </w:r>
    </w:p>
    <w:p>
      <w:pPr>
        <w:spacing w:after="0" w:line="188"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U.S. dollar borrowings under our Revolving Credit Facility bear interest at a rate derived from SOFR, which is a relatively new reference rate and has a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169"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We may also incur additional indebtedness subject to variable rates in the future. When interest rates increase, our debt service obligations on the variable rate indebtedness increase even though the amount borrowed remains the same.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Adviser and its affiliates, officers and employees may face certain conflicts of interest.</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trustees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shareholders.</w:t>
      </w:r>
    </w:p>
    <w:p>
      <w:pPr>
        <w:spacing w:after="0" w:line="173"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6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with our affiliates is restricted.</w:t>
      </w:r>
    </w:p>
    <w:p>
      <w:pPr>
        <w:spacing w:after="0" w:line="192"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are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trustees or their affiliates.</w:t>
      </w:r>
    </w:p>
    <w:p>
      <w:pPr>
        <w:spacing w:after="0" w:line="173"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trustees or their affiliates. These restrictions may limit the scope of investment opportunities that would otherwise be available to us.</w:t>
      </w:r>
    </w:p>
    <w:p>
      <w:pPr>
        <w:spacing w:after="0" w:line="167"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new order provides us with greater flexibility to participate in co-investment transactions with certain proprietary accounts that are majority-owned by our Adviser or its affiliates. We and our affiliates, including investment funds managed by our affiliates, are only permitted to co -invest in accordance with the terms of the exemptive order or in the limited circumstances otherwise currently permitted by regulatory guidance. We cannot assure you when or whether we will apply for any other exemptive relief in the future and whether such orders will be obtained.</w:t>
      </w:r>
    </w:p>
    <w:p>
      <w:pPr>
        <w:spacing w:after="0" w:line="25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73"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Any new Investment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 w:name="page36"/>
    <w:bookmarkEnd w:id="35"/>
    <w:p>
      <w:pPr>
        <w:spacing w:after="0" w:line="15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3"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68" w:lineRule="exact"/>
        <w:rPr>
          <w:sz w:val="20"/>
          <w:szCs w:val="20"/>
          <w:color w:val="auto"/>
        </w:rPr>
      </w:pPr>
    </w:p>
    <w:p>
      <w:pPr>
        <w:ind w:right="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0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56" w:lineRule="exact"/>
        <w:rPr>
          <w:sz w:val="20"/>
          <w:szCs w:val="20"/>
          <w:color w:val="auto"/>
        </w:rPr>
      </w:pPr>
    </w:p>
    <w:p>
      <w:pPr>
        <w:ind w:right="460" w:firstLine="3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151"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We are and we will remain an “emerging growth company” as defined in the JOBS Act until the earlier of (a) the last day of the fiscal year (i) following the fifth anniversary of the completion of the initial offering, (ii) in which we have total annual gross revenue of at least $1.235 billion, or (iii) in which we are deemed to be a large accelerated filer, which means the market value of our Common Shares that is held by non-affiliates exceeds $700 million as of the prior June 30th, and (b) the date on which we have issued more than $1.0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Also, because we are not a large accelerated filer or an accelerated filer under</w:t>
      </w:r>
    </w:p>
    <w:p>
      <w:pPr>
        <w:spacing w:after="0" w:line="1" w:lineRule="exact"/>
        <w:rPr>
          <w:sz w:val="20"/>
          <w:szCs w:val="20"/>
          <w:color w:val="auto"/>
        </w:rPr>
      </w:pPr>
    </w:p>
    <w:p>
      <w:pPr>
        <w:ind w:right="2180"/>
        <w:spacing w:after="0" w:line="234" w:lineRule="auto"/>
        <w:rPr>
          <w:sz w:val="20"/>
          <w:szCs w:val="20"/>
          <w:color w:val="auto"/>
        </w:rPr>
      </w:pPr>
      <w:r>
        <w:rPr>
          <w:rFonts w:ascii="Times New Roman" w:cs="Times New Roman" w:eastAsia="Times New Roman" w:hAnsi="Times New Roman"/>
          <w:sz w:val="16"/>
          <w:szCs w:val="16"/>
          <w:color w:val="auto"/>
        </w:rPr>
        <w:t>Section 12b-2 of the Exchange Act, and will not be for so long as our Common Shares are not traded on a securities exchange, we will not be subject to auditor attestation requirements of Section 404(b) of the Sarbanes-Oxley Act even once we are no longer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 We cannot predict if investors will find our Common Shares less attractive because we will rely on some or all of these exemptions.</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status as an “emerging growth company” under the JOBS Act may make it more difficult to raise capital as and when we need it.</w:t>
      </w:r>
    </w:p>
    <w:p>
      <w:pPr>
        <w:spacing w:after="0" w:line="192"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maintain our status as a BDC would reduce our operating flexibility.</w:t>
      </w:r>
    </w:p>
    <w:p>
      <w:pPr>
        <w:spacing w:after="0" w:line="192"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If we do not remain a BDC, we might be regulated as a closed -end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results.</w:t>
      </w:r>
    </w:p>
    <w:p>
      <w:pPr>
        <w:spacing w:after="0" w:line="192"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192"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15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51"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73" w:lineRule="exact"/>
        <w:rPr>
          <w:sz w:val="20"/>
          <w:szCs w:val="20"/>
          <w:color w:val="auto"/>
        </w:rPr>
      </w:pPr>
    </w:p>
    <w:p>
      <w:pPr>
        <w:ind w:right="340" w:firstLine="228"/>
        <w:spacing w:after="0" w:line="243" w:lineRule="auto"/>
        <w:rPr>
          <w:sz w:val="20"/>
          <w:szCs w:val="20"/>
          <w:color w:val="auto"/>
        </w:rPr>
      </w:pPr>
      <w:r>
        <w:rPr>
          <w:rFonts w:ascii="Times New Roman" w:cs="Times New Roman" w:eastAsia="Times New Roman" w:hAnsi="Times New Roman"/>
          <w:sz w:val="16"/>
          <w:szCs w:val="16"/>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Company may be concentrated in certain industries and/or economic sectors, geographic regions and/or deal types. The Company also may be more concentrated than other funds with similar diversification objectives.</w:t>
      </w:r>
    </w:p>
    <w:p>
      <w:pPr>
        <w:spacing w:after="0" w:line="167" w:lineRule="exact"/>
        <w:rPr>
          <w:sz w:val="20"/>
          <w:szCs w:val="20"/>
          <w:color w:val="auto"/>
        </w:rPr>
      </w:pPr>
    </w:p>
    <w:p>
      <w:pPr>
        <w:jc w:val="center"/>
        <w:ind w:left="860" w:right="40"/>
        <w:spacing w:after="0" w:line="384" w:lineRule="auto"/>
        <w:rPr>
          <w:sz w:val="20"/>
          <w:szCs w:val="20"/>
          <w:color w:val="auto"/>
        </w:rPr>
      </w:pPr>
      <w:r>
        <w:rPr>
          <w:rFonts w:ascii="Times New Roman" w:cs="Times New Roman" w:eastAsia="Times New Roman" w:hAnsi="Times New Roman"/>
          <w:sz w:val="16"/>
          <w:szCs w:val="16"/>
          <w:color w:val="auto"/>
        </w:rPr>
        <w:t>However, we will be subject to the diversification requirements applicable to RICs under Subchapter M of the Code, which include single issuer concentration limits.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7" w:name="page38"/>
    <w:bookmarkEnd w:id="3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 may be restricted from initiating transactions as a result of the receipt of material non-public information.</w:t>
      </w:r>
    </w:p>
    <w:p>
      <w:pPr>
        <w:spacing w:after="0" w:line="192" w:lineRule="exact"/>
        <w:rPr>
          <w:sz w:val="20"/>
          <w:szCs w:val="20"/>
          <w:color w:val="auto"/>
        </w:rPr>
      </w:pPr>
    </w:p>
    <w:p>
      <w:pPr>
        <w:ind w:right="380" w:firstLine="228"/>
        <w:spacing w:after="0" w:line="289" w:lineRule="auto"/>
        <w:rPr>
          <w:sz w:val="20"/>
          <w:szCs w:val="20"/>
          <w:color w:val="auto"/>
        </w:rPr>
      </w:pPr>
      <w:r>
        <w:rPr>
          <w:rFonts w:ascii="Times New Roman" w:cs="Times New Roman" w:eastAsia="Times New Roman" w:hAnsi="Times New Roman"/>
          <w:sz w:val="14"/>
          <w:szCs w:val="14"/>
          <w:color w:val="auto"/>
        </w:rPr>
        <w:t>Sixth Street funds and investment platforms regularly obtain non- 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13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155"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Further, non-disclosure agreements associated with transactions (including transactions entered into by other affiliated funds) often contain contractual trading restrictions, including standstill and non-circumvent provisions, which could prevent the Company from acquiring or disposing of investments in an issuer, potentially for extended periods. Such agreements could also restrict the Company’s ability to share certain information with shareholders relevant to the Company or its portfolio investments. Separately, certain counterparties may disqualify the Company from transacting with such counterparties or their affiliates as a result of the activities of other businesses of Sixth Street and its affiliates.</w:t>
      </w:r>
    </w:p>
    <w:p>
      <w:pPr>
        <w:spacing w:after="0" w:line="26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164" w:lineRule="exact"/>
        <w:rPr>
          <w:sz w:val="20"/>
          <w:szCs w:val="20"/>
          <w:color w:val="auto"/>
        </w:rPr>
      </w:pPr>
    </w:p>
    <w:p>
      <w:pPr>
        <w:ind w:firstLine="228"/>
        <w:spacing w:after="0" w:line="274" w:lineRule="auto"/>
        <w:rPr>
          <w:sz w:val="20"/>
          <w:szCs w:val="20"/>
          <w:color w:val="auto"/>
        </w:rPr>
      </w:pPr>
      <w:r>
        <w:rPr>
          <w:rFonts w:ascii="Times New Roman" w:cs="Times New Roman" w:eastAsia="Times New Roman" w:hAnsi="Times New Roman"/>
          <w:sz w:val="14"/>
          <w:szCs w:val="14"/>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33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w:t>
      </w:r>
    </w:p>
    <w:p>
      <w:pPr>
        <w:spacing w:after="0" w:line="173"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Moreover, cybersecurity has become a regulatory and enforcement priority in many jurisdictions around the world, with many jurisdictions having proposed or already enacted laws requiring companies to provide notifications of certain data security breaches. Privacy and information security laws and regulation changes, and compliance with those changes, may also result in cost increases due to system changes and the development of new administrative processes. The costs of monitoring, interpreting and, where applicable, complying with these laws could have a material adverse effect on the business, results of the operations and financial condition of the Company, Sixth Street and of our portfolio companies.</w:t>
      </w:r>
    </w:p>
    <w:p>
      <w:pPr>
        <w:spacing w:after="0" w:line="169"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electronic security breaches that could lead to disruptions in critical systems, unauthorized release of confidential or otherwise protected information and corruption of data.</w:t>
      </w:r>
    </w:p>
    <w:p>
      <w:pPr>
        <w:spacing w:after="0" w:line="155"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 -party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47"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Board of Trustees may change our investment objective, operating policies and strategies without prior notice or shareholder approval.</w:t>
      </w:r>
    </w:p>
    <w:p>
      <w:pPr>
        <w:spacing w:after="0" w:line="192"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Our Board of Trustees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may adversely affect our business.</w:t>
      </w:r>
    </w:p>
    <w:p>
      <w:pPr>
        <w:spacing w:after="0" w:line="192"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Legislation has been proposed in the past that could result in significant tax increases and various other changes to U.S. tax rules. It is unclear whether any future legislation will be enacted into law or, if enacted, what form it would take, and it is also unclear whether there could be regulatory or administrative action that could affect U.S. tax rules. The impact of any potential tax changes on an investment in the Company is uncertain. Prospective investors should consult their own tax advisors regarding potential changes in tax laws and the impact on their investment in the Company and the impact on the Company and any potential investments.</w:t>
      </w:r>
    </w:p>
    <w:p>
      <w:pPr>
        <w:spacing w:after="0" w:line="229"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Compliance with the SEC’s Regulation Best Interest may negatively impact our ability to raise capital, which would harm our ability to achieve our investment objectives.</w:t>
      </w:r>
    </w:p>
    <w:p>
      <w:pPr>
        <w:spacing w:after="0" w:line="151"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Broker-dealers must comply with Regulation Best Interest, which, among other requirements, enhances the prior standard of conduct for broker-dealers and natural persons who are associated persons of a broker -dealer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6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Company to incur additional costs associated with such action.</w:t>
      </w:r>
    </w:p>
    <w:p>
      <w:pPr>
        <w:spacing w:after="0" w:line="16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Our Declaration of Trust provides that, to the fullest extent permitted by law, unless we consent in writing to the selection of an alternative forum, the sole and exclusive forum for (i) any derivative action or proceeding brought on behalf of the Company, (ii) any action asserting a claim of breach of a duty owed by any trustee, officer or other agent of the Company to the Company or our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9" w:name="page40"/>
    <w:bookmarkEnd w:id="39"/>
    <w:p>
      <w:pPr>
        <w:spacing w:after="0" w:line="6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shareholders, (iii) any action asserting a claim arising pursuant to any provision of Title 12 of the Delaware Code, Delaware statutory 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Company may find it inconvenient or expensive to bring a claim against us or our trustees, officers or other agents. However, these exclusive forum provisions do not apply to claims arising under the federal securities laws.</w:t>
      </w:r>
    </w:p>
    <w:p>
      <w:pPr>
        <w:spacing w:after="0" w:line="169"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 addition, our Declaration of Trust provides that no shareholder may maintain a derivative action on behalf of the Company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164"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Company or the Company’s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73"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Notwithstanding any of the foregoing, neither we nor any of our investors are permitted to waive compliance with any provision of the U.S. federal securities laws and the rules and regulations promulgated thereunder.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shareholder approval is required for certain mergers.</w:t>
      </w:r>
    </w:p>
    <w:p>
      <w:pPr>
        <w:spacing w:after="0" w:line="192"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Company.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61" w:lineRule="exact"/>
        <w:rPr>
          <w:sz w:val="20"/>
          <w:szCs w:val="20"/>
          <w:color w:val="auto"/>
        </w:rPr>
      </w:pPr>
    </w:p>
    <w:p>
      <w:pPr>
        <w:ind w:right="7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artificial intelligence, including the application of various forms of artificial intelligence such as machine learning technology.</w:t>
      </w:r>
    </w:p>
    <w:p>
      <w:pPr>
        <w:spacing w:after="0" w:line="151"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has the potential to result in significant and disruptive changes in companies, sectors or industries, including those in which we invest, and any such changes could create new and unpredictable operational, legal and/or regulatory risks. Machine Learning Technology and its applications continue to develop rapidly, and we cannot predict the risks that may arise from such developments.</w:t>
      </w:r>
    </w:p>
    <w:p>
      <w:pPr>
        <w:spacing w:after="0" w:line="173"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137" w:lineRule="exact"/>
        <w:rPr>
          <w:sz w:val="20"/>
          <w:szCs w:val="20"/>
          <w:color w:val="auto"/>
        </w:rPr>
      </w:pPr>
    </w:p>
    <w:p>
      <w:pPr>
        <w:ind w:right="140" w:firstLine="228"/>
        <w:spacing w:after="0" w:line="299" w:lineRule="auto"/>
        <w:rPr>
          <w:sz w:val="20"/>
          <w:szCs w:val="20"/>
          <w:color w:val="auto"/>
        </w:rPr>
      </w:pPr>
      <w:r>
        <w:rPr>
          <w:rFonts w:ascii="Times New Roman" w:cs="Times New Roman" w:eastAsia="Times New Roman" w:hAnsi="Times New Roman"/>
          <w:sz w:val="14"/>
          <w:szCs w:val="14"/>
          <w:color w:val="auto"/>
        </w:rPr>
        <w:t>In the current period of technological and commercial innovation, startup and other companies have found success disrupting traditional approaches to industry or market practices, and the frequency of such disruptions is expected to increase. Such disruptions could negatively impact us and our investments, alter market practices on which our investment strategy depends to create investment returns, significantly disrupt the market in which we operate or subject us to increased competition.</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 w:name="page41"/>
    <w:bookmarkEnd w:id="40"/>
    <w:p>
      <w:pPr>
        <w:spacing w:after="0" w:line="6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or alleged failure to comply with applicable data protection and privacy laws and regulations could subject us to ongoing costs and, in some cases, fines and reputational harm.</w:t>
      </w:r>
    </w:p>
    <w:p>
      <w:pPr>
        <w:spacing w:after="0" w:line="151" w:lineRule="exact"/>
        <w:rPr>
          <w:sz w:val="20"/>
          <w:szCs w:val="20"/>
          <w:color w:val="auto"/>
        </w:rPr>
      </w:pPr>
    </w:p>
    <w:p>
      <w:pPr>
        <w:ind w:right="40" w:firstLine="228"/>
        <w:spacing w:after="0" w:line="237" w:lineRule="auto"/>
        <w:rPr>
          <w:sz w:val="20"/>
          <w:szCs w:val="20"/>
          <w:color w:val="auto"/>
        </w:rPr>
      </w:pPr>
      <w:r>
        <w:rPr>
          <w:rFonts w:ascii="Times New Roman" w:cs="Times New Roman" w:eastAsia="Times New Roman" w:hAnsi="Times New Roman"/>
          <w:sz w:val="16"/>
          <w:szCs w:val="16"/>
          <w:color w:val="auto"/>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172"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costs of monitoring, interpreting and, where applicable, complying with global data protection and privacy laws and regulations could have a material adverse effect on the business, results of the operations and financial condition of us and of our 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 and results of operations, including affecting investment returns.</w:t>
      </w:r>
    </w:p>
    <w:p>
      <w:pPr>
        <w:spacing w:after="0" w:line="16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While we, the Adviser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 -compliance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our business.</w:t>
      </w:r>
    </w:p>
    <w:p>
      <w:pPr>
        <w:spacing w:after="0" w:line="192"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3"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Economic activity has continued to accelerate across sectors and regions. Nevertheless, global supply chain issues have led, and may in the future lead, to a rise in energy prices. Inflation may continue in the near to medium-term, particularly in the U.S., with the possibility that monetary policy continues to tighten in response. Persistent inflationary pressures could affect our portfolio companies’ profit margins.</w:t>
      </w:r>
    </w:p>
    <w:p>
      <w:pPr>
        <w:spacing w:after="0" w:line="256" w:lineRule="exact"/>
        <w:rPr>
          <w:sz w:val="20"/>
          <w:szCs w:val="20"/>
          <w:color w:val="auto"/>
        </w:rPr>
      </w:pPr>
    </w:p>
    <w:p>
      <w:pPr>
        <w:ind w:right="7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Trade negotiations and related government actions may create global supply chain issues and regulatory uncertainty for our portfolio companies and our investment strategy and adversely affect the profitability of our portfolio companies.</w:t>
      </w:r>
    </w:p>
    <w:p>
      <w:pPr>
        <w:spacing w:after="0" w:line="5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U.S. government has indicated its intent to alter its approach to international trade policy and in some cases to renegotiate, or potentially terminate, certain existing bilateral or multi- lateral trade agreements and treaties with foreign countries, and has made proposals and taken actions related thereto. For example, the U.S. government has imposed, and may in the future further increase, tariffs on certain foreign goods, including from China, such as steel and aluminum. Some foreign governments, including China, have instituted retaliatory tariffs on certain U.S. goods. Most recently, the current U.S. presidential administration has imposed or sought to impose significant increases to tariffs on goods imported into the U.S., including from China, Canada and Mexico. Tariffs on imported goods could further increase costs, decrease margins, reduce the competitiveness of products and services offered by current and future portfolio companies and adversely affect the revenues and profitability of portfolio companies whose businesses rely on goods imported from such impacted jurisdictions.</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1" w:name="page42"/>
    <w:bookmarkEnd w:id="41"/>
    <w:p>
      <w:pPr>
        <w:ind w:right="40" w:firstLine="267"/>
        <w:spacing w:after="0" w:line="239" w:lineRule="auto"/>
        <w:rPr>
          <w:sz w:val="20"/>
          <w:szCs w:val="20"/>
          <w:color w:val="auto"/>
        </w:rPr>
      </w:pPr>
      <w:r>
        <w:rPr>
          <w:rFonts w:ascii="Times New Roman" w:cs="Times New Roman" w:eastAsia="Times New Roman" w:hAnsi="Times New Roman"/>
          <w:sz w:val="16"/>
          <w:szCs w:val="16"/>
          <w:color w:val="auto"/>
        </w:rPr>
        <w:t>There is uncertainty as to further actions that may be taken under the current U.S. presidential administration with respect to U.S. trade policy.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its portfolio investments.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disruption, volatility and uncertainty in the capital markets and in the economy generally.</w:t>
      </w:r>
    </w:p>
    <w:p>
      <w:pPr>
        <w:spacing w:after="0" w:line="19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70"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current state of the economy and financial markets increases the likelihood of adverse effects on our financial position and results of operations.</w:t>
      </w:r>
    </w:p>
    <w:p>
      <w:pPr>
        <w:spacing w:after="0" w:line="192"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339"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receipt of a reduced level of interest income from our portfolio companies;</w:t>
      </w:r>
    </w:p>
    <w:p>
      <w:pPr>
        <w:spacing w:after="0" w:line="92" w:lineRule="exact"/>
        <w:rPr>
          <w:sz w:val="20"/>
          <w:szCs w:val="20"/>
          <w:color w:val="auto"/>
        </w:rPr>
      </w:pPr>
    </w:p>
    <w:p>
      <w:pPr>
        <w:ind w:left="240" w:right="3560"/>
        <w:spacing w:after="0" w:line="384" w:lineRule="auto"/>
        <w:rPr>
          <w:sz w:val="20"/>
          <w:szCs w:val="20"/>
          <w:color w:val="auto"/>
        </w:rPr>
      </w:pPr>
      <w:r>
        <w:rPr>
          <w:rFonts w:ascii="Times New Roman" w:cs="Times New Roman" w:eastAsia="Times New Roman" w:hAnsi="Times New Roman"/>
          <w:sz w:val="16"/>
          <w:szCs w:val="16"/>
          <w:color w:val="auto"/>
        </w:rPr>
        <w:t>•decreases in the value of collateral securing some of our loans and the value of our equity investments; and •ultimately, losses or charge-offs related to our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financial stability could have a significant adverse effect on our business, results of operations and financial condition.</w:t>
      </w:r>
    </w:p>
    <w:p>
      <w:pPr>
        <w:spacing w:after="0" w:line="96"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Due to federal budget deficit concerns, S&amp;P downgraded the federal government’s credit rating from AAA to AA+ for the first time in history on August 5, 2011. Further, in 2023, Fitch downgraded the federal government’s credit rating from AAA to AA+, and,</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2" w:name="page43"/>
    <w:bookmarkEnd w:id="42"/>
    <w:p>
      <w:pPr>
        <w:ind w:right="20"/>
        <w:spacing w:after="0" w:line="243" w:lineRule="auto"/>
        <w:rPr>
          <w:sz w:val="20"/>
          <w:szCs w:val="20"/>
          <w:color w:val="auto"/>
        </w:rPr>
      </w:pPr>
      <w:r>
        <w:rPr>
          <w:rFonts w:ascii="Times New Roman" w:cs="Times New Roman" w:eastAsia="Times New Roman" w:hAnsi="Times New Roman"/>
          <w:sz w:val="16"/>
          <w:szCs w:val="16"/>
          <w:color w:val="auto"/>
        </w:rPr>
        <w:t>in 2025, Moody's downgraded the federal government's credit rating from Aaa (negative) to Aa1 (stable).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w:t>
      </w:r>
    </w:p>
    <w:p>
      <w:pPr>
        <w:spacing w:after="0" w:line="167"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4"/>
          <w:szCs w:val="14"/>
          <w:color w:val="auto"/>
        </w:rPr>
        <w:t>Following a period of heightened inflation, the Federal Reserve raised the target rate four times in 2023, raising the fed funds rate by about three percentage points in a six month period. However, the Federal Reserve lowered the target rate three times in 2024 and three times in 2025. In 2026,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37"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The election of a new U.S. president for a term that commenced in 2025, coupled with a consolidation of party control of both chambers of Congress, has led to new legislative and regulatory initiatives and the roll -back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192"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Portfolio Company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are very risky and highly speculative.</w:t>
      </w:r>
    </w:p>
    <w:p>
      <w:pPr>
        <w:spacing w:after="0" w:line="192"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We primarily invest in first -lien debt, second-lien debt, mezzanine and unsecured debt or equity or other securities issued by upper middle- 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35"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i w:val="1"/>
          <w:iCs w:val="1"/>
          <w:color w:val="auto"/>
        </w:rPr>
        <w:t>First-Lien Debt</w:t>
      </w:r>
      <w:r>
        <w:rPr>
          <w:rFonts w:ascii="Times New Roman" w:cs="Times New Roman" w:eastAsia="Times New Roman" w:hAnsi="Times New Roman"/>
          <w:sz w:val="16"/>
          <w:szCs w:val="16"/>
          <w:color w:val="auto"/>
        </w:rPr>
        <w:t>. When we make a first- lien loan, we generally take a security interest in the available assets of the portfolio company, including the equity interests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3" w:name="page44"/>
    <w:bookmarkEnd w:id="43"/>
    <w:p>
      <w:pPr>
        <w:spacing w:after="0" w:line="6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62"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Second-Lien and Mezzanine Debt</w:t>
      </w:r>
      <w:r>
        <w:rPr>
          <w:rFonts w:ascii="Times New Roman" w:cs="Times New Roman" w:eastAsia="Times New Roman" w:hAnsi="Times New Roman"/>
          <w:sz w:val="16"/>
          <w:szCs w:val="16"/>
          <w:color w:val="auto"/>
        </w:rPr>
        <w:t>. Our investments in second-lien and mezzanine debt generally are subordinated to senior loans and will either have junior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or be unsecured. As such, other creditors may rank senior to us in the event of insolvency. This may result in greater risk and loss of principal.</w:t>
      </w:r>
    </w:p>
    <w:p>
      <w:pPr>
        <w:spacing w:after="0" w:line="15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Equity and Other Investments. </w:t>
      </w:r>
      <w:r>
        <w:rPr>
          <w:rFonts w:ascii="Times New Roman" w:cs="Times New Roman" w:eastAsia="Times New Roman" w:hAnsi="Times New Roman"/>
          <w:sz w:val="16"/>
          <w:szCs w:val="16"/>
          <w:color w:val="auto"/>
        </w:rPr>
        <w:t>When we invest in first-lien debt, second-lien debt or mezzanine debt, we may acquire equity securities, such as warrants, options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 xml:space="preserve">Preferred Shares. </w:t>
      </w:r>
      <w:r>
        <w:rPr>
          <w:rFonts w:ascii="Times New Roman" w:cs="Times New Roman" w:eastAsia="Times New Roman" w:hAnsi="Times New Roman"/>
          <w:sz w:val="16"/>
          <w:szCs w:val="16"/>
          <w:color w:val="auto"/>
        </w:rPr>
        <w:t>To the extent we invest in preferred securities, we may incur particular risks, including:</w:t>
      </w:r>
    </w:p>
    <w:p>
      <w:pPr>
        <w:spacing w:after="0" w:line="94" w:lineRule="exact"/>
        <w:rPr>
          <w:sz w:val="20"/>
          <w:szCs w:val="20"/>
          <w:color w:val="auto"/>
        </w:rPr>
      </w:pPr>
    </w:p>
    <w:p>
      <w:pPr>
        <w:jc w:val="both"/>
        <w:ind w:left="240" w:right="40"/>
        <w:spacing w:after="0" w:line="247" w:lineRule="auto"/>
        <w:rPr>
          <w:sz w:val="20"/>
          <w:szCs w:val="20"/>
          <w:color w:val="auto"/>
        </w:rPr>
      </w:pPr>
      <w:r>
        <w:rPr>
          <w:rFonts w:ascii="Times New Roman" w:cs="Times New Roman" w:eastAsia="Times New Roman" w:hAnsi="Times New Roman"/>
          <w:sz w:val="16"/>
          <w:szCs w:val="16"/>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sz w:val="20"/>
          <w:szCs w:val="20"/>
          <w:color w:val="auto"/>
        </w:rPr>
      </w:pPr>
    </w:p>
    <w:p>
      <w:pPr>
        <w:ind w:left="240" w:right="180"/>
        <w:spacing w:after="0" w:line="259" w:lineRule="auto"/>
        <w:rPr>
          <w:sz w:val="20"/>
          <w:szCs w:val="20"/>
          <w:color w:val="auto"/>
        </w:rPr>
      </w:pPr>
      <w:r>
        <w:rPr>
          <w:rFonts w:ascii="Times New Roman" w:cs="Times New Roman" w:eastAsia="Times New Roman" w:hAnsi="Times New Roman"/>
          <w:sz w:val="16"/>
          <w:szCs w:val="16"/>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9" w:lineRule="exact"/>
        <w:rPr>
          <w:sz w:val="20"/>
          <w:szCs w:val="20"/>
          <w:color w:val="auto"/>
        </w:rPr>
      </w:pPr>
    </w:p>
    <w:p>
      <w:pPr>
        <w:ind w:left="240" w:right="320"/>
        <w:spacing w:after="0" w:line="247" w:lineRule="auto"/>
        <w:rPr>
          <w:sz w:val="20"/>
          <w:szCs w:val="20"/>
          <w:color w:val="auto"/>
        </w:rPr>
      </w:pPr>
      <w:r>
        <w:rPr>
          <w:rFonts w:ascii="Times New Roman" w:cs="Times New Roman" w:eastAsia="Times New Roman" w:hAnsi="Times New Roman"/>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trustees to the issuer’s board; generally, once all the arrearages have been paid, the preferred security holders no longer have voting rights.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our investments generally involve a number of significant risks, including:</w:t>
      </w:r>
    </w:p>
    <w:p>
      <w:pPr>
        <w:spacing w:after="0" w:line="92"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8"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9" w:lineRule="exact"/>
        <w:rPr>
          <w:sz w:val="20"/>
          <w:szCs w:val="20"/>
          <w:color w:val="auto"/>
        </w:rPr>
      </w:pPr>
    </w:p>
    <w:p>
      <w:pPr>
        <w:ind w:left="240" w:right="540"/>
        <w:spacing w:after="0" w:line="259" w:lineRule="auto"/>
        <w:rPr>
          <w:sz w:val="20"/>
          <w:szCs w:val="20"/>
          <w:color w:val="auto"/>
        </w:rPr>
      </w:pPr>
      <w:r>
        <w:rPr>
          <w:rFonts w:ascii="Times New Roman" w:cs="Times New Roman" w:eastAsia="Times New Roman" w:hAnsi="Times New Roman"/>
          <w:sz w:val="16"/>
          <w:szCs w:val="16"/>
          <w:color w:val="auto"/>
        </w:rPr>
        <w:t>•our officers, trustees and Adviser may, in the ordinary course of business, be named as defendants in litigation arising from our investments in the portfolio companies;</w:t>
      </w:r>
    </w:p>
    <w:p>
      <w:pPr>
        <w:spacing w:after="0" w:line="59"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9"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may have difficulty accessing the capital markets to meet future capital needs, which may limit their ability to grow or to repay their outstanding indebtedness upon maturity.</w:t>
      </w:r>
    </w:p>
    <w:p>
      <w:pPr>
        <w:spacing w:after="0" w:line="151" w:lineRule="exact"/>
        <w:rPr>
          <w:sz w:val="20"/>
          <w:szCs w:val="20"/>
          <w:color w:val="auto"/>
        </w:rPr>
      </w:pPr>
    </w:p>
    <w:p>
      <w:pPr>
        <w:jc w:val="both"/>
        <w:ind w:right="18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Subordinated Debt</w:t>
      </w:r>
      <w:r>
        <w:rPr>
          <w:rFonts w:ascii="Times New Roman" w:cs="Times New Roman" w:eastAsia="Times New Roman" w:hAnsi="Times New Roman"/>
          <w:sz w:val="16"/>
          <w:szCs w:val="16"/>
          <w:color w:val="auto"/>
        </w:rPr>
        <w:t>. Our subordinated debt investments will generally rank junior in priority of payment to senior debt and will generally be unsecured. This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result in a heightened level of risk and volatility or a loss of principal, which could lead to the loss of the entire investment. These investments may involve additional risks that could adversely affect our investment returns. To the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4" w:name="page45"/>
    <w:bookmarkEnd w:id="44"/>
    <w:p>
      <w:pPr>
        <w:spacing w:after="0" w:line="65"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extent interest payments associated with such debt are deferred, such debt may be subject to greater fluctuations in valuations, and such debt could subject us and our shareholders to non -cash income. Because we will not receive any principal repayments prior to the maturity of some of our subordinated debt investments, such investments will be of greater risk than amortizing loans.</w:t>
      </w:r>
    </w:p>
    <w:p>
      <w:pPr>
        <w:spacing w:after="0" w:line="64" w:lineRule="exact"/>
        <w:rPr>
          <w:sz w:val="20"/>
          <w:szCs w:val="20"/>
          <w:color w:val="auto"/>
        </w:rPr>
      </w:pPr>
    </w:p>
    <w:p>
      <w:pPr>
        <w:ind w:right="140" w:firstLine="228"/>
        <w:spacing w:after="0"/>
        <w:rPr>
          <w:sz w:val="20"/>
          <w:szCs w:val="20"/>
          <w:color w:val="auto"/>
        </w:rPr>
      </w:pPr>
      <w:r>
        <w:rPr>
          <w:rFonts w:ascii="Times New Roman" w:cs="Times New Roman" w:eastAsia="Times New Roman" w:hAnsi="Times New Roman"/>
          <w:sz w:val="16"/>
          <w:szCs w:val="16"/>
          <w:b w:val="1"/>
          <w:bCs w:val="1"/>
          <w:i w:val="1"/>
          <w:iCs w:val="1"/>
          <w:color w:val="auto"/>
        </w:rPr>
        <w:t>Non-U.S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Securities</w:t>
      </w:r>
      <w:r>
        <w:rPr>
          <w:rFonts w:ascii="Times New Roman" w:cs="Times New Roman" w:eastAsia="Times New Roman" w:hAnsi="Times New Roman"/>
          <w:sz w:val="16"/>
          <w:szCs w:val="16"/>
          <w:color w:val="auto"/>
        </w:rPr>
        <w:t>. We may invest in non- U.S. securities, which may include securities denominated in U.S. dollars or in non- U.S. currencies, to the extent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 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72"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Junior, Unsecured Securities. </w:t>
      </w:r>
      <w:r>
        <w:rPr>
          <w:rFonts w:ascii="Times New Roman" w:cs="Times New Roman" w:eastAsia="Times New Roman" w:hAnsi="Times New Roman"/>
          <w:sz w:val="16"/>
          <w:szCs w:val="16"/>
          <w:color w:val="auto"/>
        </w:rPr>
        <w:t>Our strategy may entail acquiring securities that are junior or unsecured instruments. While this approach can facilitate obtaining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and then adding value through active management, it also means that certain of the Company’s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78"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51"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59"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67" w:lineRule="exact"/>
        <w:rPr>
          <w:sz w:val="20"/>
          <w:szCs w:val="20"/>
          <w:color w:val="auto"/>
        </w:rPr>
      </w:pPr>
    </w:p>
    <w:p>
      <w:pPr>
        <w:ind w:right="10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“Covenant-lite” Obligations</w:t>
      </w:r>
      <w:r>
        <w:rPr>
          <w:rFonts w:ascii="Times New Roman" w:cs="Times New Roman" w:eastAsia="Times New Roman" w:hAnsi="Times New Roman"/>
          <w:sz w:val="16"/>
          <w:szCs w:val="16"/>
          <w:color w:val="auto"/>
        </w:rPr>
        <w:t>. We may invest in, or obtain exposure to, obligations that may be “covenant- lite,” which means such obligations lack certain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69" w:lineRule="exact"/>
        <w:rPr>
          <w:sz w:val="20"/>
          <w:szCs w:val="20"/>
          <w:color w:val="auto"/>
        </w:rPr>
      </w:pPr>
    </w:p>
    <w:p>
      <w:pPr>
        <w:ind w:right="140" w:firstLine="22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Restructurings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companies operating in workout or bankruptcy modes present additional legal risks, including fraudulent conveyance, voidable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Investing in upper middle-market companies involves a number of significant risks, any one of which could have a material adverse effect on our operating results.</w:t>
      </w:r>
    </w:p>
    <w:p>
      <w:pPr>
        <w:spacing w:after="0" w:line="215"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Investments in upper middle-market companies involve the same risks that apply generally to investments in larger, more established companies. However, such investments have more pronounced risks in that upper middle-market companies: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jc w:val="both"/>
        <w:ind w:left="480" w:right="360"/>
        <w:spacing w:after="0" w:line="247" w:lineRule="auto"/>
        <w:rPr>
          <w:sz w:val="20"/>
          <w:szCs w:val="20"/>
          <w:color w:val="auto"/>
        </w:rPr>
      </w:pPr>
      <w:r>
        <w:rPr>
          <w:rFonts w:ascii="Times New Roman" w:cs="Times New Roman" w:eastAsia="Times New Roman" w:hAnsi="Times New Roman"/>
          <w:sz w:val="16"/>
          <w:szCs w:val="16"/>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68" w:lineRule="exact"/>
        <w:rPr>
          <w:sz w:val="20"/>
          <w:szCs w:val="20"/>
          <w:color w:val="auto"/>
        </w:rPr>
      </w:pPr>
    </w:p>
    <w:p>
      <w:pPr>
        <w:ind w:left="480" w:right="500"/>
        <w:spacing w:after="0" w:line="259" w:lineRule="auto"/>
        <w:rPr>
          <w:sz w:val="20"/>
          <w:szCs w:val="20"/>
          <w:color w:val="auto"/>
        </w:rPr>
      </w:pPr>
      <w:r>
        <w:rPr>
          <w:rFonts w:ascii="Times New Roman" w:cs="Times New Roman" w:eastAsia="Times New Roman" w:hAnsi="Times New Roman"/>
          <w:sz w:val="16"/>
          <w:szCs w:val="16"/>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59"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16"/>
          <w:szCs w:val="16"/>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officers, Trustees and members of the Adviser may, in the ordinary course of business, be named as defendants in litigation arising from our investments in the portfolio companies; and</w:t>
      </w:r>
    </w:p>
    <w:p>
      <w:pPr>
        <w:spacing w:after="0" w:line="71" w:lineRule="exact"/>
        <w:rPr>
          <w:sz w:val="20"/>
          <w:szCs w:val="20"/>
          <w:color w:val="auto"/>
        </w:rPr>
      </w:pPr>
    </w:p>
    <w:p>
      <w:pPr>
        <w:ind w:left="480" w:right="140"/>
        <w:spacing w:after="0" w:line="259" w:lineRule="auto"/>
        <w:rPr>
          <w:sz w:val="20"/>
          <w:szCs w:val="20"/>
          <w:color w:val="auto"/>
        </w:rPr>
      </w:pPr>
      <w:r>
        <w:rPr>
          <w:rFonts w:ascii="Times New Roman" w:cs="Times New Roman" w:eastAsia="Times New Roman" w:hAnsi="Times New Roman"/>
          <w:sz w:val="16"/>
          <w:szCs w:val="16"/>
          <w:color w:val="auto"/>
        </w:rPr>
        <w:t>•may have difficulty accessing the capital markets to meet future capital needs, which may limit their ability to grow or to repay their outstanding indebtedness upon maturity.</w:t>
      </w:r>
    </w:p>
    <w:p>
      <w:pPr>
        <w:spacing w:after="0" w:line="24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151" w:lineRule="exact"/>
        <w:rPr>
          <w:sz w:val="20"/>
          <w:szCs w:val="20"/>
          <w:color w:val="auto"/>
        </w:rPr>
      </w:pPr>
    </w:p>
    <w:p>
      <w:pPr>
        <w:ind w:right="40" w:firstLine="228"/>
        <w:spacing w:after="0" w:line="273" w:lineRule="auto"/>
        <w:rPr>
          <w:sz w:val="20"/>
          <w:szCs w:val="20"/>
          <w:color w:val="auto"/>
        </w:rPr>
      </w:pPr>
      <w:r>
        <w:rPr>
          <w:rFonts w:ascii="Times New Roman" w:cs="Times New Roman" w:eastAsia="Times New Roman" w:hAnsi="Times New Roman"/>
          <w:sz w:val="14"/>
          <w:szCs w:val="14"/>
          <w:color w:val="auto"/>
        </w:rPr>
        <w:t>We intend to invest primarily in privately- 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00" w:lineRule="exact"/>
        <w:rPr>
          <w:sz w:val="20"/>
          <w:szCs w:val="20"/>
          <w:color w:val="auto"/>
        </w:rPr>
      </w:pPr>
    </w:p>
    <w:p>
      <w:pPr>
        <w:spacing w:after="0" w:line="22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16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0" w:lineRule="exact"/>
        <w:rPr>
          <w:sz w:val="20"/>
          <w:szCs w:val="20"/>
          <w:color w:val="auto"/>
        </w:rPr>
      </w:pPr>
    </w:p>
    <w:p>
      <w:pPr>
        <w:ind w:right="340" w:firstLine="228"/>
        <w:spacing w:after="0" w:line="243" w:lineRule="auto"/>
        <w:rPr>
          <w:sz w:val="20"/>
          <w:szCs w:val="20"/>
          <w:color w:val="auto"/>
        </w:rPr>
      </w:pPr>
      <w:r>
        <w:rPr>
          <w:rFonts w:ascii="Times New Roman" w:cs="Times New Roman" w:eastAsia="Times New Roman" w:hAnsi="Times New Roman"/>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6" w:name="page47"/>
    <w:bookmarkEnd w:id="46"/>
    <w:p>
      <w:pPr>
        <w:spacing w:after="0" w:line="6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67"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192"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6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151"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securitize certain of our investments, which may subject us to certain structured financing risks.</w:t>
      </w:r>
    </w:p>
    <w:p>
      <w:pPr>
        <w:spacing w:after="0" w:line="192"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6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7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 w:name="page48"/>
    <w:bookmarkEnd w:id="47"/>
    <w:p>
      <w:pPr>
        <w:spacing w:after="0" w:line="6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6"/>
          <w:szCs w:val="16"/>
          <w:i w:val="1"/>
          <w:iCs w:val="1"/>
          <w:color w:val="auto"/>
        </w:rPr>
        <w:t>ITEM 1. BUSINESS – Regulation as a Business Development Company.”</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5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192"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majority of our debt investments are based on floating rates, such as, SOFR, EURIBOR, SONIA,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6"/>
          <w:szCs w:val="16"/>
          <w:i w:val="1"/>
          <w:iCs w:val="1"/>
          <w:color w:val="auto"/>
        </w:rPr>
        <w:t>—Risks Related to Economic Conditions—Uncertainty about financial stability could have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 adverse effect on our business, results of operations and financial condition.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55"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6"/>
          <w:szCs w:val="16"/>
          <w:i w:val="1"/>
          <w:iCs w:val="1"/>
          <w:color w:val="auto"/>
        </w:rPr>
        <w:t>—Risks Related to Our Portfolio Company Investments—We expose ourselves to risks when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engage in hedging transactions.</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realize expected returns on our invested capital.</w:t>
      </w:r>
    </w:p>
    <w:p>
      <w:pPr>
        <w:spacing w:after="0" w:line="192" w:lineRule="exact"/>
        <w:rPr>
          <w:sz w:val="20"/>
          <w:szCs w:val="20"/>
          <w:color w:val="auto"/>
        </w:rPr>
      </w:pPr>
    </w:p>
    <w:p>
      <w:pPr>
        <w:jc w:val="both"/>
        <w:ind w:right="100" w:firstLine="228"/>
        <w:spacing w:after="0" w:line="243" w:lineRule="auto"/>
        <w:rPr>
          <w:sz w:val="20"/>
          <w:szCs w:val="20"/>
          <w:color w:val="auto"/>
        </w:rPr>
      </w:pPr>
      <w:r>
        <w:rPr>
          <w:rFonts w:ascii="Times New Roman" w:cs="Times New Roman" w:eastAsia="Times New Roman" w:hAnsi="Times New Roman"/>
          <w:sz w:val="16"/>
          <w:szCs w:val="16"/>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67"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8" w:name="page49"/>
    <w:bookmarkEnd w:id="4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originating loans to companies that are experiencing significant financial or business difficulties, we may be exposed to distressed lending risks.</w:t>
      </w:r>
    </w:p>
    <w:p>
      <w:pPr>
        <w:spacing w:after="0" w:line="192"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may incur debt or issue equity securities that rank equally with, or senior to, our investments in those companies.</w:t>
      </w:r>
    </w:p>
    <w:p>
      <w:pPr>
        <w:spacing w:after="0" w:line="192"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73"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special risks associated with bankruptcy cases.</w:t>
      </w:r>
    </w:p>
    <w:p>
      <w:pPr>
        <w:spacing w:after="0" w:line="192"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3" w:lineRule="exact"/>
        <w:rPr>
          <w:sz w:val="20"/>
          <w:szCs w:val="20"/>
          <w:color w:val="auto"/>
        </w:rPr>
      </w:pPr>
    </w:p>
    <w:p>
      <w:pPr>
        <w:ind w:right="120" w:firstLine="228"/>
        <w:spacing w:after="0" w:line="289" w:lineRule="auto"/>
        <w:rPr>
          <w:sz w:val="20"/>
          <w:szCs w:val="20"/>
          <w:color w:val="auto"/>
        </w:rPr>
      </w:pPr>
      <w:r>
        <w:rPr>
          <w:rFonts w:ascii="Times New Roman" w:cs="Times New Roman" w:eastAsia="Times New Roman" w:hAnsi="Times New Roman"/>
          <w:sz w:val="14"/>
          <w:szCs w:val="14"/>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37"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 w:name="page50"/>
    <w:bookmarkEnd w:id="49"/>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make follow-on investments in our portfolio companies could impair the value of our 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to:</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or maintain in whole or in part our equity ownership percentage;</w:t>
      </w:r>
    </w:p>
    <w:p>
      <w:pPr>
        <w:spacing w:after="0" w:line="92" w:lineRule="exact"/>
        <w:rPr>
          <w:sz w:val="20"/>
          <w:szCs w:val="20"/>
          <w:color w:val="auto"/>
        </w:rPr>
      </w:pPr>
    </w:p>
    <w:p>
      <w:pPr>
        <w:ind w:left="240" w:right="3300"/>
        <w:spacing w:after="0" w:line="384" w:lineRule="auto"/>
        <w:rPr>
          <w:sz w:val="20"/>
          <w:szCs w:val="20"/>
          <w:color w:val="auto"/>
        </w:rPr>
      </w:pPr>
      <w:r>
        <w:rPr>
          <w:rFonts w:ascii="Times New Roman" w:cs="Times New Roman" w:eastAsia="Times New Roman" w:hAnsi="Times New Roman"/>
          <w:sz w:val="16"/>
          <w:szCs w:val="16"/>
          <w:color w:val="auto"/>
        </w:rPr>
        <w:t>•exercise warrants, options or convertible securities that were acquired in the original or subsequent financing; or •attempt to preserve or enhance the value of our investment.</w:t>
      </w:r>
    </w:p>
    <w:p>
      <w:pPr>
        <w:spacing w:after="0" w:line="59"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6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 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acquisitions or strategic investments that we pursue are subject to risks and uncertainties.</w:t>
      </w:r>
    </w:p>
    <w:p>
      <w:pPr>
        <w:spacing w:after="0" w:line="192"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73" w:lineRule="exact"/>
        <w:rPr>
          <w:sz w:val="20"/>
          <w:szCs w:val="20"/>
          <w:color w:val="auto"/>
        </w:rPr>
      </w:pPr>
    </w:p>
    <w:p>
      <w:pPr>
        <w:ind w:right="100" w:firstLine="228"/>
        <w:spacing w:after="0" w:line="331" w:lineRule="auto"/>
        <w:rPr>
          <w:sz w:val="20"/>
          <w:szCs w:val="20"/>
          <w:color w:val="auto"/>
        </w:rPr>
      </w:pPr>
      <w:r>
        <w:rPr>
          <w:rFonts w:ascii="Times New Roman" w:cs="Times New Roman" w:eastAsia="Times New Roman" w:hAnsi="Times New Roman"/>
          <w:sz w:val="14"/>
          <w:szCs w:val="14"/>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be able to obtain various required licenses in U.S. states or in any other jurisdiction where they may be required in the future.</w:t>
      </w:r>
    </w:p>
    <w:p>
      <w:pPr>
        <w:spacing w:after="0" w:line="192"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foreign companies may involve significant risks in addition to the risks inherent in U.S. investments.</w:t>
      </w:r>
    </w:p>
    <w:p>
      <w:pPr>
        <w:spacing w:after="0" w:line="96"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0" w:name="page51"/>
    <w:bookmarkEnd w:id="50"/>
    <w:p>
      <w:pPr>
        <w:ind w:right="140"/>
        <w:spacing w:after="0" w:line="243" w:lineRule="auto"/>
        <w:rPr>
          <w:sz w:val="20"/>
          <w:szCs w:val="20"/>
          <w:color w:val="auto"/>
        </w:rPr>
      </w:pPr>
      <w:r>
        <w:rPr>
          <w:rFonts w:ascii="Times New Roman" w:cs="Times New Roman" w:eastAsia="Times New Roman" w:hAnsi="Times New Roman"/>
          <w:sz w:val="16"/>
          <w:szCs w:val="16"/>
          <w:color w:val="auto"/>
        </w:rPr>
        <w:t>government supervision of exchanges, brokers and issuers, less developed bankruptcy laws, difficulty in enforcing contractual obligations, lack of uniform accounting and auditing standards and greater price volatility. Uncertainty in the wake of Russia's invasion of Ukraine and conflict in the Middle East, among other current events, could also have negative impacts on the economies of countries in Europe and elsewhere. In addition, interest income derived from loans to foreign companies is not eligible to be distributed to our non-U.S. shareholders free from withholding taxes.</w:t>
      </w:r>
    </w:p>
    <w:p>
      <w:pPr>
        <w:spacing w:after="0" w:line="167" w:lineRule="exact"/>
        <w:rPr>
          <w:sz w:val="20"/>
          <w:szCs w:val="20"/>
          <w:color w:val="auto"/>
        </w:rPr>
      </w:pPr>
    </w:p>
    <w:p>
      <w:pPr>
        <w:ind w:right="140" w:firstLine="228"/>
        <w:spacing w:after="0" w:line="289"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expose ourselves to risks when we engage in hedging transactions.</w:t>
      </w:r>
    </w:p>
    <w:p>
      <w:pPr>
        <w:spacing w:after="0" w:line="96"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and Wells Fargo Bank, National Association, as administrative agent, and certain lenders, which we refer to as the Subscription Facility (as defined below).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and Subscription Facility, we may seek to utilize interest rate derivatives to hedge our exposure to changes in the associated rate.</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success of our hedging strategy will depend on our ability to correctly identify appropriate exposures for hedging, such as currency exchange rate risk and interest rate risk related to specific portfolio companies. We may enter into fixed-to- 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3" w:lineRule="exact"/>
        <w:rPr>
          <w:sz w:val="20"/>
          <w:szCs w:val="20"/>
          <w:color w:val="auto"/>
        </w:rPr>
      </w:pPr>
    </w:p>
    <w:p>
      <w:pPr>
        <w:ind w:right="60" w:firstLine="228"/>
        <w:spacing w:after="0" w:line="276" w:lineRule="auto"/>
        <w:rPr>
          <w:sz w:val="20"/>
          <w:szCs w:val="20"/>
          <w:color w:val="auto"/>
        </w:rPr>
      </w:pPr>
      <w:r>
        <w:rPr>
          <w:rFonts w:ascii="Times New Roman" w:cs="Times New Roman" w:eastAsia="Times New Roman" w:hAnsi="Times New Roman"/>
          <w:sz w:val="14"/>
          <w:szCs w:val="14"/>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4"/>
          <w:szCs w:val="14"/>
          <w:i w:val="1"/>
          <w:iCs w:val="1"/>
          <w:color w:val="auto"/>
        </w:rPr>
        <w:t>—Risks Related to Our Portfolio Company Investments—The market structure applicable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derivatives imposed by the Dodd-Frank Act may affect our ability to use over-the-counter (“OTC”) derivatives for hedging purposes</w:t>
      </w:r>
      <w:r>
        <w:rPr>
          <w:rFonts w:ascii="Times New Roman" w:cs="Times New Roman" w:eastAsia="Times New Roman" w:hAnsi="Times New Roman"/>
          <w:sz w:val="14"/>
          <w:szCs w:val="14"/>
          <w:color w:val="auto"/>
        </w:rPr>
        <w:t>.” See also “</w:t>
      </w:r>
      <w:r>
        <w:rPr>
          <w:rFonts w:ascii="Times New Roman" w:cs="Times New Roman" w:eastAsia="Times New Roman" w:hAnsi="Times New Roman"/>
          <w:sz w:val="14"/>
          <w:szCs w:val="14"/>
          <w:i w:val="1"/>
          <w:iCs w:val="1"/>
          <w:color w:val="auto"/>
        </w:rPr>
        <w:t>—Risks Related to Our Portfolio Company Investments—We are exposed to risks associated with changes in interest rates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 xml:space="preserve"> ITEM 7. MANAGEMENT’S DISCUSSION AND ANALYSIS OF FINANCIAL CONDITION AND RESULTS OF OPERATIONS—Results of Operations—Interest Rate and Foreign Currency Hedging</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Finally, Rule 18f-4 constrains our ability to use swaps and other derivatives. Among other requirements, the rule would force us to reduce our use of derivatives, unless we were to qualify as a limited derivatives user under the rule, if the value-at-risk of our</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1" w:name="page52"/>
    <w:bookmarkEnd w:id="51"/>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65" w:lineRule="exact"/>
        <w:rPr>
          <w:sz w:val="20"/>
          <w:szCs w:val="20"/>
          <w:color w:val="auto"/>
        </w:rPr>
      </w:pPr>
    </w:p>
    <w:p>
      <w:pPr>
        <w:ind w:right="5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market structure applicable to derivatives imposed by the Dodd-Frank Act may affect our ability to use over-the-counter (“OTC”) derivatives for hedging purposes.</w:t>
      </w:r>
    </w:p>
    <w:p>
      <w:pPr>
        <w:spacing w:after="0" w:line="151"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Dodd-Frank Act enacted, and the Commodity Futures Trading Commission, or CFTC, and SEC have, in the past,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76"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the Company could enter into in connection with certain investments in portfolio companies)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7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-513715</wp:posOffset>
            </wp:positionV>
            <wp:extent cx="228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cease to be eligible for an exemption from regulation as a commodity pool operator, our compliance expenses could increase substantially.</w:t>
      </w:r>
    </w:p>
    <w:p>
      <w:pPr>
        <w:spacing w:after="0" w:line="192"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•continue to be regulated by the SEC as a BDC;</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•confine our trading in CFTC-regulated derivatives within specified thresholds;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•are not marketed to the public as a commodity pool or as a vehicle for trading in CFTC-regulated derivatives.</w:t>
      </w:r>
    </w:p>
    <w:p>
      <w:pPr>
        <w:spacing w:after="0" w:line="18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2" w:name="page53"/>
    <w:bookmarkEnd w:id="5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investments may present special tax issues.</w:t>
      </w:r>
    </w:p>
    <w:p>
      <w:pPr>
        <w:spacing w:after="0" w:line="192" w:lineRule="exact"/>
        <w:rPr>
          <w:sz w:val="20"/>
          <w:szCs w:val="20"/>
          <w:color w:val="auto"/>
        </w:rPr>
      </w:pPr>
    </w:p>
    <w:p>
      <w:pPr>
        <w:ind w:right="20" w:firstLine="228"/>
        <w:spacing w:after="0" w:line="276" w:lineRule="auto"/>
        <w:rPr>
          <w:sz w:val="20"/>
          <w:szCs w:val="20"/>
          <w:color w:val="auto"/>
        </w:rPr>
      </w:pPr>
      <w:r>
        <w:rPr>
          <w:rFonts w:ascii="Times New Roman" w:cs="Times New Roman" w:eastAsia="Times New Roman" w:hAnsi="Times New Roman"/>
          <w:sz w:val="14"/>
          <w:szCs w:val="14"/>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4"/>
          <w:szCs w:val="14"/>
          <w:i w:val="1"/>
          <w:iCs w:val="1"/>
          <w:color w:val="auto"/>
        </w:rPr>
        <w:t>ITEM 1. BUSINESS—Regulation as a Business Development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Regulated Investment Company Classification</w:t>
      </w:r>
      <w:r>
        <w:rPr>
          <w:rFonts w:ascii="Times New Roman" w:cs="Times New Roman" w:eastAsia="Times New Roman" w:hAnsi="Times New Roman"/>
          <w:sz w:val="14"/>
          <w:szCs w:val="14"/>
          <w:color w:val="auto"/>
        </w:rPr>
        <w:t>” for more information.</w:t>
      </w:r>
    </w:p>
    <w:p>
      <w:pPr>
        <w:spacing w:after="0" w:line="2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If we are not treated as a publicly offered regulated investment company, certain non -corporate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 Under current law, miscellaneous itemized deductions are generally not deductible by any such shareholder.</w:t>
      </w:r>
    </w:p>
    <w:p>
      <w:pPr>
        <w:spacing w:after="0" w:line="168" w:lineRule="exact"/>
        <w:rPr>
          <w:sz w:val="20"/>
          <w:szCs w:val="20"/>
          <w:color w:val="auto"/>
        </w:rPr>
      </w:pPr>
    </w:p>
    <w:p>
      <w:pPr>
        <w:ind w:right="140" w:firstLine="228"/>
        <w:spacing w:after="0" w:line="278" w:lineRule="auto"/>
        <w:rPr>
          <w:sz w:val="20"/>
          <w:szCs w:val="20"/>
          <w:color w:val="auto"/>
        </w:rPr>
      </w:pPr>
      <w:r>
        <w:rPr>
          <w:rFonts w:ascii="Times New Roman" w:cs="Times New Roman" w:eastAsia="Times New Roman" w:hAnsi="Times New Roman"/>
          <w:sz w:val="14"/>
          <w:szCs w:val="14"/>
          <w:color w:val="auto"/>
        </w:rPr>
        <w:t>We expect to be treated as a “publicly offered regulated investment company” as a result of shares of our Common Shares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certain risks associated with holding debt obligations that have original issue discount or payment-in-kind interest.</w:t>
      </w:r>
    </w:p>
    <w:p>
      <w:pPr>
        <w:spacing w:after="0" w:line="192"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6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55"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investment in our Common Shares will have limited liquidity.</w:t>
      </w:r>
    </w:p>
    <w:p>
      <w:pPr>
        <w:spacing w:after="0" w:line="192" w:lineRule="exact"/>
        <w:rPr>
          <w:sz w:val="20"/>
          <w:szCs w:val="20"/>
          <w:color w:val="auto"/>
        </w:rPr>
      </w:pPr>
    </w:p>
    <w:p>
      <w:pPr>
        <w:ind w:right="60" w:firstLine="228"/>
        <w:spacing w:after="0" w:line="284" w:lineRule="auto"/>
        <w:rPr>
          <w:sz w:val="20"/>
          <w:szCs w:val="20"/>
          <w:color w:val="auto"/>
        </w:rPr>
      </w:pPr>
      <w:r>
        <w:rPr>
          <w:rFonts w:ascii="Times New Roman" w:cs="Times New Roman" w:eastAsia="Times New Roman" w:hAnsi="Times New Roman"/>
          <w:sz w:val="14"/>
          <w:szCs w:val="14"/>
          <w:color w:val="auto"/>
        </w:rPr>
        <w:t>Our Common Shares constitute illiquid investments for which there is not a secondary market and, unless we consummate an Exchange Listing, none is expected to develop. Investment in the Company is suitable only for sophisticated investors and requires the financial ability and willingness to accept the high risks and lack of liquidity inherent in an investment in the Company.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a risk that investors in our Common Shares may not receive dividends or that our dividends may not grow over time.</w:t>
      </w:r>
    </w:p>
    <w:p>
      <w:pPr>
        <w:spacing w:after="0" w:line="96"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We intend to continue paying dividends on a quarterly basis to our shareholders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3" w:lineRule="exact"/>
        <w:rPr>
          <w:sz w:val="20"/>
          <w:szCs w:val="20"/>
          <w:color w:val="auto"/>
        </w:rPr>
      </w:pPr>
    </w:p>
    <w:p>
      <w:pPr>
        <w:ind w:right="240" w:firstLine="228"/>
        <w:spacing w:after="0" w:line="289" w:lineRule="auto"/>
        <w:rPr>
          <w:sz w:val="20"/>
          <w:szCs w:val="20"/>
          <w:color w:val="auto"/>
        </w:rPr>
      </w:pPr>
      <w:r>
        <w:rPr>
          <w:rFonts w:ascii="Times New Roman" w:cs="Times New Roman" w:eastAsia="Times New Roman" w:hAnsi="Times New Roman"/>
          <w:sz w:val="14"/>
          <w:szCs w:val="14"/>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4"/>
          <w:szCs w:val="14"/>
          <w:i w:val="1"/>
          <w:iCs w:val="1"/>
          <w:color w:val="auto"/>
        </w:rPr>
        <w:t>—Risks Related to Our Portfolio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Investments—There are certain risks associated with holding debt obligations that have original issue discount or payment-in-kind interest</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69"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6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9"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56"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151"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line="6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unrealized losses we experience on our portfolio may be an indication of future realized losses, which could reduce our income available for distribution.</w:t>
      </w:r>
    </w:p>
    <w:p>
      <w:pPr>
        <w:spacing w:after="0" w:line="192"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 high degree of risk.</w:t>
      </w:r>
    </w:p>
    <w:p>
      <w:pPr>
        <w:spacing w:after="0" w:line="192"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severe economic consequences for defaulting investors.</w:t>
      </w:r>
    </w:p>
    <w:p>
      <w:pPr>
        <w:spacing w:after="0" w:line="192"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If shareholders fail to fund their commitment obligations or to make required capital contributions when due, the Company’s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Company and restrict the Company’s ability to meet loan obligations. Any single defaulting shareholder could cause substantial costs to be incurred by the Company if such default causes the Company to fail to meet its contractual obligations or if the Company must pursue remedial action against such shareholder.</w:t>
      </w:r>
    </w:p>
    <w:p>
      <w:pPr>
        <w:spacing w:after="0" w:line="51"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If the Company fails to meet its contractual obligations related to a portfolio investment due to a defaulting shareholder, the relevant portfolio company may have a cause of action against the Company, which may include a claim against assets of the Company other than the Company’s interest in such portfolio company. A creditor of the Company (including a portfolio company with respect to which the Company has failed to meet its contractual obligations) will not be bound to satisfy its claims from the assets attributable to a particular portfolio investment and such creditor generally may seek to satisfy its claims from the assets of the Company as a whole. As a result, if a creditor’s claims relating to a particular portfolio investment exceed the net assets attributable to that portfolio investment, the remaining assets of the Company will likely be subject to such claim.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shareholders will experience dilution in their ownership percentage if they opt out of our dividend reinvestment plan.</w:t>
      </w:r>
    </w:p>
    <w:p>
      <w:pPr>
        <w:spacing w:after="0" w:line="192"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6"/>
          <w:szCs w:val="16"/>
          <w:i w:val="1"/>
          <w:iCs w:val="1"/>
          <w:color w:val="auto"/>
        </w:rPr>
        <w:t>“ITEM 1. BUSINESS—Dividend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1. BUSINESS—Dividend Reinvestment Plan</w:t>
      </w:r>
      <w:r>
        <w:rPr>
          <w:rFonts w:ascii="Times New Roman" w:cs="Times New Roman" w:eastAsia="Times New Roman" w:hAnsi="Times New Roman"/>
          <w:sz w:val="16"/>
          <w:szCs w:val="16"/>
          <w:color w:val="auto"/>
        </w:rPr>
        <w:t>” for a description of our dividend policy and obligations.</w:t>
      </w:r>
    </w:p>
    <w:p>
      <w:pPr>
        <w:spacing w:after="0" w:line="169"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considerations for certain benefit plan investors.</w:t>
      </w:r>
    </w:p>
    <w:p>
      <w:pPr>
        <w:spacing w:after="0" w:line="192"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67" w:lineRule="exact"/>
        <w:rPr>
          <w:sz w:val="20"/>
          <w:szCs w:val="20"/>
          <w:color w:val="auto"/>
        </w:rPr>
      </w:pPr>
    </w:p>
    <w:p>
      <w:pPr>
        <w:ind w:firstLine="228"/>
        <w:spacing w:after="0" w:line="273" w:lineRule="auto"/>
        <w:rPr>
          <w:sz w:val="20"/>
          <w:szCs w:val="20"/>
          <w:color w:val="auto"/>
        </w:rPr>
      </w:pPr>
      <w:r>
        <w:rPr>
          <w:rFonts w:ascii="Times New Roman" w:cs="Times New Roman" w:eastAsia="Times New Roman" w:hAnsi="Times New Roman"/>
          <w:sz w:val="14"/>
          <w:szCs w:val="14"/>
          <w:color w:val="auto"/>
        </w:rPr>
        <w:t>If, notwithstanding our intent, the assets of the Company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Company, and (ii) the possibility that certain transactions in which the Company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Company could, under certain circumstances, be liable for prohibited transactions or other violations as a result of their investment in the Company or as co-fiduciaries for actions taken by or on behalf of the Company or the Adviser. With respect to a benefit plan investor that is an individual retirement account (an “IRA”) that invests in the Company, the occurrence of a prohibited transaction involving the individual who established the IRA, or his or her beneficiaries, would cause the IRA to lose its tax-exempt status. In addition, to the extent that the Company represents and/or covenants to any contractual counterparty that (1) the assets of the Company are not assets of the Benefit Plan Investors that invest in the Company and/or (2) the transactions entered into between the Company and the Benefit Plan Investor that invest in the Company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329" w:lineRule="exact"/>
        <w:rPr>
          <w:sz w:val="20"/>
          <w:szCs w:val="20"/>
          <w:color w:val="auto"/>
        </w:rPr>
      </w:pPr>
    </w:p>
    <w:p>
      <w:pPr>
        <w:ind w:right="260" w:firstLine="228"/>
        <w:spacing w:after="0" w:line="241" w:lineRule="auto"/>
        <w:rPr>
          <w:sz w:val="20"/>
          <w:szCs w:val="20"/>
          <w:color w:val="auto"/>
        </w:rPr>
      </w:pPr>
      <w:r>
        <w:rPr>
          <w:rFonts w:ascii="Times New Roman" w:cs="Times New Roman" w:eastAsia="Times New Roman" w:hAnsi="Times New Roman"/>
          <w:sz w:val="16"/>
          <w:szCs w:val="16"/>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Company; (b) 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Company shall be subject to such terms and conditions.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have a material adverse effect on our operating results and negatively affect our ability to pay dividends.</w:t>
      </w:r>
    </w:p>
    <w:p>
      <w:pPr>
        <w:spacing w:after="0" w:line="151"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 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•sudden electrical or telecommunications outages;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•natural disasters such as earthquakes, tornadoes and hurricanes;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•disease pandemics;</w:t>
      </w:r>
    </w:p>
    <w:p>
      <w:pPr>
        <w:spacing w:after="0" w:line="92" w:lineRule="exact"/>
        <w:rPr>
          <w:sz w:val="20"/>
          <w:szCs w:val="20"/>
          <w:color w:val="auto"/>
        </w:rPr>
      </w:pPr>
    </w:p>
    <w:p>
      <w:pPr>
        <w:ind w:left="480" w:right="3940"/>
        <w:spacing w:after="0" w:line="416" w:lineRule="auto"/>
        <w:rPr>
          <w:sz w:val="20"/>
          <w:szCs w:val="20"/>
          <w:color w:val="auto"/>
        </w:rPr>
      </w:pPr>
      <w:r>
        <w:rPr>
          <w:rFonts w:ascii="Times New Roman" w:cs="Times New Roman" w:eastAsia="Times New Roman" w:hAnsi="Times New Roman"/>
          <w:sz w:val="16"/>
          <w:szCs w:val="16"/>
          <w:color w:val="auto"/>
        </w:rPr>
        <w:t>•events arising from local or larger scale political or social matters, including wars or terrorist acts; •outages due to idiosyncratic issues at specific providers; and •cyber-attacks.</w:t>
      </w:r>
    </w:p>
    <w:p>
      <w:pPr>
        <w:spacing w:after="0" w:line="286" w:lineRule="exact"/>
        <w:rPr>
          <w:sz w:val="20"/>
          <w:szCs w:val="20"/>
          <w:color w:val="auto"/>
        </w:rPr>
      </w:pPr>
    </w:p>
    <w:p>
      <w:pPr>
        <w:ind w:left="5200" w:right="840" w:hanging="4974"/>
        <w:spacing w:after="0" w:line="384"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our ability to pay dividends to our shareholders.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 w:name="page57"/>
    <w:bookmarkEnd w:id="56"/>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w:t>
      </w:r>
    </w:p>
    <w:p>
      <w:pPr>
        <w:spacing w:after="0" w:line="19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6"/>
          <w:szCs w:val="16"/>
          <w:i w:val="1"/>
          <w:iCs w:val="1"/>
          <w:color w:val="auto"/>
        </w:rPr>
        <w:t>Risks Related to our Portfolio Company Investments.”</w:t>
      </w:r>
    </w:p>
    <w:p>
      <w:pPr>
        <w:spacing w:after="0" w:line="17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Over the last several years, there has been an increase in regulatory attention to the extension of credit outside of the traditional banking sector, raising the possibility that some portion of the non -bank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and trade sanctions could make it more difficult or costly for us to conduct our operations or achieve our business objectives.</w:t>
      </w:r>
    </w:p>
    <w:p>
      <w:pPr>
        <w:spacing w:after="0" w:line="192"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Economic and trade sanctions laws in the United States and other jurisdictions may prohibit us from transacting with or in certain countries and with certain individuals, companies and industry sectors. In the United States, the U.S. Department of the Treasury’s 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172"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At the same time, the Company may be obligated to comply with certain anti-boycott laws and regulations that prevent us from engaging in certain discriminatory practices that may be allowed or required in certain jurisdictions. The Company’s refusal to 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25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ongoing armed conflicts as a result of the Russian invasion of Ukraine and the conflict in the Middle East may have a material adverse impact on us and our portfolio companies.</w:t>
      </w:r>
    </w:p>
    <w:p>
      <w:pPr>
        <w:spacing w:after="0" w:line="151"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7" w:name="page58"/>
    <w:bookmarkEnd w:id="5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sustainability matters.</w:t>
      </w:r>
    </w:p>
    <w:p>
      <w:pPr>
        <w:spacing w:after="0" w:line="192" w:lineRule="exact"/>
        <w:rPr>
          <w:sz w:val="20"/>
          <w:szCs w:val="20"/>
          <w:color w:val="auto"/>
        </w:rPr>
      </w:pPr>
    </w:p>
    <w:p>
      <w:pPr>
        <w:ind w:right="40" w:firstLine="228"/>
        <w:spacing w:after="0" w:line="246" w:lineRule="auto"/>
        <w:rPr>
          <w:sz w:val="20"/>
          <w:szCs w:val="20"/>
          <w:color w:val="auto"/>
        </w:rPr>
      </w:pPr>
      <w:r>
        <w:rPr>
          <w:rFonts w:ascii="Times New Roman" w:cs="Times New Roman" w:eastAsia="Times New Roman" w:hAnsi="Times New Roman"/>
          <w:sz w:val="16"/>
          <w:szCs w:val="16"/>
          <w:color w:val="auto"/>
        </w:rPr>
        <w:t>Rules, regulations and stakeholder expectations concerning sustainability matters have been subject to increased attention and shifting focus in recent years. Some of these changes have resulted in, and are likely to continue to result in, increased general and</w:t>
      </w:r>
    </w:p>
    <w:p>
      <w:pPr>
        <w:spacing w:after="0" w:line="1" w:lineRule="exact"/>
        <w:rPr>
          <w:sz w:val="20"/>
          <w:szCs w:val="20"/>
          <w:color w:val="auto"/>
        </w:rPr>
      </w:pPr>
    </w:p>
    <w:p>
      <w:pPr>
        <w:ind w:right="2500"/>
        <w:spacing w:after="0" w:line="237" w:lineRule="auto"/>
        <w:rPr>
          <w:sz w:val="20"/>
          <w:szCs w:val="20"/>
          <w:color w:val="auto"/>
        </w:rPr>
      </w:pPr>
      <w:r>
        <w:rPr>
          <w:rFonts w:ascii="Times New Roman" w:cs="Times New Roman" w:eastAsia="Times New Roman" w:hAnsi="Times New Roman"/>
          <w:sz w:val="16"/>
          <w:szCs w:val="16"/>
          <w:color w:val="auto"/>
        </w:rPr>
        <w:t>administrative expenses and increased management time and attention spent complying with or meeting such regulations and expectations. If we fail or are perceived to fail to comply with applicable rules, regulations and stakeholder expectations, it could negatively impact our reputation and our business results.</w:t>
      </w:r>
    </w:p>
    <w:p>
      <w:pPr>
        <w:spacing w:after="0" w:line="169"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In evaluating potential investments, the Adviser considers opportunities and risk related to material sustainability factors. In particular, this analysis includes risks associated with climate change including risks related to the impact of climate-and sustainability-related legislation and regulation (both domestically and internationally), risks related to climate-related business trends, and risks stemming from the physical impacts of climate change. Although the Adviser’s consideration of sustainability factors is intended to aid the Adviser in evaluating the return and risk profile of a given investment and is not expected to by itself determine an investment decision for us, the Adviser’s consideration of sustainability factors could, to the extent material economic risks or opportunities associated with an investment are identified, cause the Adviser to consider taking a different action than may have been taken in the absence of such consideration, which could cause us to perform differently compared to funds or other investors that do not consider such risks and opportunities. Further, although the Adviser views application of its sustainability framework to be an opportunity to potentially enhance or protect the performance of investments over the long-term, the Adviser cannot guarantee that any consideration of sustainability factors or engagement with portfolio companies on sustainability, which depends in part on skill and qualitative judgments, will positively impact the performance of any individual portfolio company or us.</w:t>
      </w:r>
    </w:p>
    <w:p>
      <w:pPr>
        <w:spacing w:after="0" w:line="176" w:lineRule="exact"/>
        <w:rPr>
          <w:sz w:val="20"/>
          <w:szCs w:val="20"/>
          <w:color w:val="auto"/>
        </w:rPr>
      </w:pPr>
    </w:p>
    <w:p>
      <w:pPr>
        <w:ind w:right="60" w:firstLine="228"/>
        <w:spacing w:after="0" w:line="242" w:lineRule="auto"/>
        <w:rPr>
          <w:sz w:val="20"/>
          <w:szCs w:val="20"/>
          <w:color w:val="auto"/>
        </w:rPr>
      </w:pPr>
      <w:r>
        <w:rPr>
          <w:rFonts w:ascii="Times New Roman" w:cs="Times New Roman" w:eastAsia="Times New Roman" w:hAnsi="Times New Roman"/>
          <w:sz w:val="16"/>
          <w:szCs w:val="16"/>
          <w:color w:val="auto"/>
        </w:rPr>
        <w:t>If our practices with respect to our business and the businesses of our portfolio investments do not meet the standards set by investors, they may choose not to invest in our Common Shares. Relatedly, adverse performance or incidents with respect to sustainability matters or negative ratings or assessments could impact the value of our brand, or the cost of our operations and</w:t>
      </w:r>
    </w:p>
    <w:p>
      <w:pPr>
        <w:spacing w:after="0" w:line="2" w:lineRule="exact"/>
        <w:rPr>
          <w:sz w:val="20"/>
          <w:szCs w:val="20"/>
          <w:color w:val="auto"/>
        </w:rPr>
      </w:pPr>
    </w:p>
    <w:p>
      <w:pPr>
        <w:ind w:right="2180"/>
        <w:spacing w:after="0" w:line="236" w:lineRule="auto"/>
        <w:rPr>
          <w:sz w:val="20"/>
          <w:szCs w:val="20"/>
          <w:color w:val="auto"/>
        </w:rPr>
      </w:pPr>
      <w:r>
        <w:rPr>
          <w:rFonts w:ascii="Times New Roman" w:cs="Times New Roman" w:eastAsia="Times New Roman" w:hAnsi="Times New Roman"/>
          <w:sz w:val="16"/>
          <w:szCs w:val="16"/>
          <w:color w:val="auto"/>
        </w:rPr>
        <w:t>relationships with investors, all of which could adversely affect our business and results of operations. Conversely, some stakeholders and regulators have increasingly expressed or pursued opposing views, legislation and investment expectations with respect to sustainability initiatives. This divergence increases the risk that any action or lack thereof with respect to sustainability matters will be perceived negatively by at least some stakeholders and adversely impact our reputation and business.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Income Tax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be subject to corporate-level income tax if we are unable to qualify as a RIC under Subchapter M of the Code or to satisfy RIC distribution requirements.</w:t>
      </w:r>
    </w:p>
    <w:p>
      <w:pPr>
        <w:spacing w:after="0" w:line="21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and representing such income.</w:t>
      </w:r>
    </w:p>
    <w:p>
      <w:pPr>
        <w:spacing w:after="0" w:line="192" w:lineRule="exact"/>
        <w:rPr>
          <w:sz w:val="20"/>
          <w:szCs w:val="20"/>
          <w:color w:val="auto"/>
        </w:rPr>
      </w:pPr>
    </w:p>
    <w:p>
      <w:pPr>
        <w:ind w:right="20" w:firstLine="228"/>
        <w:spacing w:after="0" w:line="276" w:lineRule="auto"/>
        <w:rPr>
          <w:sz w:val="20"/>
          <w:szCs w:val="20"/>
          <w:color w:val="auto"/>
        </w:rPr>
      </w:pPr>
      <w:r>
        <w:rPr>
          <w:rFonts w:ascii="Times New Roman" w:cs="Times New Roman" w:eastAsia="Times New Roman" w:hAnsi="Times New Roman"/>
          <w:sz w:val="14"/>
          <w:szCs w:val="14"/>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331"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65"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151" w:lineRule="exact"/>
        <w:rPr>
          <w:sz w:val="20"/>
          <w:szCs w:val="20"/>
          <w:color w:val="auto"/>
        </w:rPr>
      </w:pPr>
    </w:p>
    <w:p>
      <w:pPr>
        <w:ind w:right="40" w:firstLine="228"/>
        <w:spacing w:after="0" w:line="280" w:lineRule="auto"/>
        <w:rPr>
          <w:sz w:val="20"/>
          <w:szCs w:val="20"/>
          <w:color w:val="auto"/>
        </w:rPr>
      </w:pPr>
      <w:r>
        <w:rPr>
          <w:rFonts w:ascii="Times New Roman" w:cs="Times New Roman" w:eastAsia="Times New Roman" w:hAnsi="Times New Roman"/>
          <w:sz w:val="14"/>
          <w:szCs w:val="14"/>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Miscellaneous itemized deductions generally are not deductible for individuals, trusts or estates.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Some of our investments may be subject to corporate-level income tax.</w:t>
      </w:r>
    </w:p>
    <w:p>
      <w:pPr>
        <w:spacing w:after="0" w:line="192"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investments may present special tax issues.</w:t>
      </w:r>
    </w:p>
    <w:p>
      <w:pPr>
        <w:spacing w:after="0" w:line="19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expects to invest in debt securities that are rated below investment grade by rating agencies or that would be rated below investment grade if they were rated. Investments in these types of instruments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Company, to the extent necessary, to preserve its status as a RIC and to distribute sufficient income to not become subject to U.S. federal income tax.</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Legislative or regulatory tax changes could adversely affect investors.</w:t>
      </w:r>
    </w:p>
    <w:p>
      <w:pPr>
        <w:spacing w:after="0" w:line="192" w:lineRule="exact"/>
        <w:rPr>
          <w:sz w:val="20"/>
          <w:szCs w:val="20"/>
          <w:color w:val="auto"/>
        </w:rPr>
      </w:pPr>
    </w:p>
    <w:p>
      <w:pPr>
        <w:jc w:val="both"/>
        <w:ind w:right="120" w:firstLine="228"/>
        <w:spacing w:after="0" w:line="243" w:lineRule="auto"/>
        <w:rPr>
          <w:sz w:val="20"/>
          <w:szCs w:val="20"/>
          <w:color w:val="auto"/>
        </w:rPr>
      </w:pPr>
      <w:r>
        <w:rPr>
          <w:rFonts w:ascii="Times New Roman" w:cs="Times New Roman" w:eastAsia="Times New Roman" w:hAnsi="Times New Roman"/>
          <w:sz w:val="16"/>
          <w:szCs w:val="16"/>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shareholders may be subject to U.S. dividend withholding tax on our distributions.</w:t>
      </w:r>
    </w:p>
    <w:p>
      <w:pPr>
        <w:spacing w:after="0" w:line="192"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94"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As an externally managed closed-end management investment company that has elected to be regulated as a BDC under the 1940 Act, our day-to-day operations are managed by the Adviser, Administrator and our officers under the oversight of our Board of Trustees. Our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41"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73"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77" w:lineRule="exact"/>
        <w:rPr>
          <w:sz w:val="20"/>
          <w:szCs w:val="20"/>
          <w:color w:val="auto"/>
        </w:rPr>
      </w:pPr>
    </w:p>
    <w:p>
      <w:pPr>
        <w:ind w:right="220" w:firstLine="267"/>
        <w:spacing w:after="0" w:line="243" w:lineRule="auto"/>
        <w:rPr>
          <w:sz w:val="20"/>
          <w:szCs w:val="20"/>
          <w:color w:val="auto"/>
        </w:rPr>
      </w:pPr>
      <w:r>
        <w:rPr>
          <w:rFonts w:ascii="Times New Roman" w:cs="Times New Roman" w:eastAsia="Times New Roman" w:hAnsi="Times New Roman"/>
          <w:sz w:val="16"/>
          <w:szCs w:val="16"/>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71" w:lineRule="exact"/>
        <w:rPr>
          <w:sz w:val="20"/>
          <w:szCs w:val="20"/>
          <w:color w:val="auto"/>
        </w:rPr>
      </w:pPr>
    </w:p>
    <w:p>
      <w:pPr>
        <w:ind w:firstLine="267"/>
        <w:spacing w:after="0" w:line="241" w:lineRule="auto"/>
        <w:rPr>
          <w:sz w:val="20"/>
          <w:szCs w:val="20"/>
          <w:color w:val="auto"/>
        </w:rPr>
      </w:pPr>
      <w:r>
        <w:rPr>
          <w:rFonts w:ascii="Times New Roman" w:cs="Times New Roman" w:eastAsia="Times New Roman" w:hAnsi="Times New Roman"/>
          <w:sz w:val="16"/>
          <w:szCs w:val="16"/>
          <w:color w:val="auto"/>
        </w:rPr>
        <w:t>Sixth Street has a comprehensive Security Incident Response Plan (the “IRP”) designed to inform the proper escalation (including, as appropriate, to our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73" w:lineRule="exact"/>
        <w:rPr>
          <w:sz w:val="20"/>
          <w:szCs w:val="20"/>
          <w:color w:val="auto"/>
        </w:rPr>
      </w:pPr>
    </w:p>
    <w:p>
      <w:pPr>
        <w:ind w:right="240" w:firstLine="267"/>
        <w:spacing w:after="0" w:line="247" w:lineRule="auto"/>
        <w:rPr>
          <w:sz w:val="20"/>
          <w:szCs w:val="20"/>
          <w:color w:val="auto"/>
        </w:rPr>
      </w:pPr>
      <w:r>
        <w:rPr>
          <w:rFonts w:ascii="Times New Roman" w:cs="Times New Roman" w:eastAsia="Times New Roman" w:hAnsi="Times New Roman"/>
          <w:sz w:val="16"/>
          <w:szCs w:val="16"/>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6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Sixth Street employs a process designed to assess the cybersecurity risks associated with the engagement of third- party vendors. This assessment is conducted on the basis of, among other factors, the types of services provided and the extent and type of data accessed or processed by a third-party vendor.</w:t>
      </w:r>
    </w:p>
    <w:p>
      <w:pPr>
        <w:spacing w:after="0" w:line="59" w:lineRule="exact"/>
        <w:rPr>
          <w:sz w:val="20"/>
          <w:szCs w:val="20"/>
          <w:color w:val="auto"/>
        </w:rPr>
      </w:pPr>
    </w:p>
    <w:p>
      <w:pPr>
        <w:ind w:right="80" w:firstLine="228"/>
        <w:spacing w:after="0" w:line="280" w:lineRule="auto"/>
        <w:rPr>
          <w:sz w:val="20"/>
          <w:szCs w:val="20"/>
          <w:color w:val="auto"/>
        </w:rPr>
      </w:pPr>
      <w:r>
        <w:rPr>
          <w:rFonts w:ascii="Times New Roman" w:cs="Times New Roman" w:eastAsia="Times New Roman" w:hAnsi="Times New Roman"/>
          <w:sz w:val="14"/>
          <w:szCs w:val="14"/>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 in this Annual Report on Form 10-K.</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9" w:right="660" w:bottom="1440" w:gutter="0" w:footer="0" w:header="0"/>
        </w:sectPr>
      </w:pPr>
    </w:p>
    <w:bookmarkStart w:id="60" w:name="page61"/>
    <w:bookmarkEnd w:id="60"/>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6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6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71"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Our Board of Trustees is responsible for understanding the primary risks to our business, including any cybersecurity risks. The Board of Trustees/ is responsible for reviewing periodically our and the Adviser’s information technology security controls and related compliance matters, with management. Sixth Street’s Head of Technology Risk reports to the Board of Trustees at least annually on cybersecurity matters, including risks facing us and the Adviser and, as applicable, certain incidents. In addition to such periodic reports, the Board of Trustees may receive updates from management as to our and the Adviser’s cybersecurity risks and Sixth Street cybersecurity program developments.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maintain our principal executive office at 2100 McKinney Avenue, Suite 1500, Dallas, Texas 75201. We do not own any real estate.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6"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SHAREHOLDER MATTERS AND ISSUER PURCHASES OF EQUITY SECURITIES</w:t>
      </w:r>
    </w:p>
    <w:p>
      <w:pPr>
        <w:spacing w:after="0" w:line="56"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Until an Exchange Listing, our outstanding Common Shares will be offered and sold in transactions exempt from registration under the Securities Act under section 4(a) (2), Regulation D thereunder, and/or Regulation S thereunder. There is not currently a public market for our Common Shares, nor can we give any assurance that one will develop.</w:t>
      </w:r>
    </w:p>
    <w:p>
      <w:pPr>
        <w:spacing w:after="0" w:line="68" w:lineRule="exact"/>
        <w:rPr>
          <w:sz w:val="20"/>
          <w:szCs w:val="20"/>
          <w:color w:val="auto"/>
        </w:rPr>
      </w:pPr>
    </w:p>
    <w:p>
      <w:pPr>
        <w:jc w:val="both"/>
        <w:ind w:right="40" w:firstLine="228"/>
        <w:spacing w:after="0" w:line="281" w:lineRule="auto"/>
        <w:rPr>
          <w:sz w:val="20"/>
          <w:szCs w:val="20"/>
          <w:color w:val="auto"/>
        </w:rPr>
      </w:pPr>
      <w:r>
        <w:rPr>
          <w:rFonts w:ascii="Times New Roman" w:cs="Times New Roman" w:eastAsia="Times New Roman" w:hAnsi="Times New Roman"/>
          <w:sz w:val="14"/>
          <w:szCs w:val="14"/>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w:t>
      </w:r>
    </w:p>
    <w:p>
      <w:pPr>
        <w:spacing w:after="0" w:line="1" w:lineRule="exact"/>
        <w:rPr>
          <w:sz w:val="20"/>
          <w:szCs w:val="20"/>
          <w:color w:val="auto"/>
        </w:rPr>
      </w:pPr>
    </w:p>
    <w:p>
      <w:pPr>
        <w:ind w:firstLine="6"/>
        <w:spacing w:after="0" w:line="235" w:lineRule="auto"/>
        <w:tabs>
          <w:tab w:leader="none" w:pos="23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February 13, 2026, there were approximately 99 holders of record of our Common Shares.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1" w:right="760" w:bottom="1440" w:gutter="0" w:footer="0" w:header="0"/>
        </w:sectPr>
      </w:pPr>
    </w:p>
    <w:bookmarkStart w:id="62" w:name="page63"/>
    <w:bookmarkEnd w:id="62"/>
    <w:p>
      <w:pPr>
        <w:spacing w:after="0" w:line="200" w:lineRule="exact"/>
        <w:rPr>
          <w:sz w:val="20"/>
          <w:szCs w:val="20"/>
          <w:color w:val="auto"/>
        </w:rPr>
      </w:pPr>
    </w:p>
    <w:p>
      <w:pPr>
        <w:spacing w:after="0" w:line="307"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78" w:lineRule="exact"/>
        <w:rPr>
          <w:sz w:val="20"/>
          <w:szCs w:val="20"/>
          <w:color w:val="auto"/>
        </w:rPr>
      </w:pPr>
    </w:p>
    <w:p>
      <w:pPr>
        <w:ind w:left="18" w:right="60"/>
        <w:spacing w:after="0" w:line="247"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fiscal year. The report of our independent registered public accounting firm, KPMG LLP, on the senior securities table as of December 31, 2025 is attached as an exhibit to this annual report on Form 10-K. The "-" indicates information that the SEC expressly does not require to be disclosed for certain types of senior securities.</w:t>
      </w:r>
    </w:p>
    <w:p>
      <w:pPr>
        <w:spacing w:after="0" w:line="170" w:lineRule="exact"/>
        <w:rPr>
          <w:sz w:val="20"/>
          <w:szCs w:val="20"/>
          <w:color w:val="auto"/>
        </w:rPr>
      </w:pPr>
    </w:p>
    <w:tbl>
      <w:tblPr>
        <w:tblLayout w:type="fixed"/>
        <w:tblInd w:w="18"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24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Total Amount</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2240" w:type="dxa"/>
            <w:vAlign w:val="bottom"/>
            <w:gridSpan w:val="2"/>
          </w:tcPr>
          <w:p>
            <w:pPr>
              <w:jc w:val="center"/>
              <w:ind w:left="242"/>
              <w:spacing w:after="0" w:line="159" w:lineRule="exact"/>
              <w:rPr>
                <w:sz w:val="20"/>
                <w:szCs w:val="20"/>
                <w:color w:val="auto"/>
              </w:rPr>
            </w:pPr>
            <w:r>
              <w:rPr>
                <w:rFonts w:ascii="Times New Roman" w:cs="Times New Roman" w:eastAsia="Times New Roman" w:hAnsi="Times New Roman"/>
                <w:sz w:val="16"/>
                <w:szCs w:val="16"/>
                <w:b w:val="1"/>
                <w:bCs w:val="1"/>
                <w:color w:val="auto"/>
                <w:w w:val="97"/>
              </w:rPr>
              <w:t>Outstanding Exclusive of</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2240" w:type="dxa"/>
            <w:vAlign w:val="bottom"/>
            <w:gridSpan w:val="2"/>
          </w:tcPr>
          <w:p>
            <w:pPr>
              <w:jc w:val="center"/>
              <w:ind w:left="222"/>
              <w:spacing w:after="0" w:line="201" w:lineRule="exact"/>
              <w:rPr>
                <w:sz w:val="20"/>
                <w:szCs w:val="20"/>
                <w:color w:val="auto"/>
              </w:rPr>
            </w:pPr>
            <w:r>
              <w:rPr>
                <w:rFonts w:ascii="Times New Roman" w:cs="Times New Roman" w:eastAsia="Times New Roman" w:hAnsi="Times New Roman"/>
                <w:sz w:val="16"/>
                <w:szCs w:val="16"/>
                <w:b w:val="1"/>
                <w:bCs w:val="1"/>
                <w:color w:val="auto"/>
                <w:w w:val="94"/>
              </w:rPr>
              <w:t xml:space="preserve">Treasury Securities </w:t>
            </w:r>
            <w:r>
              <w:rPr>
                <w:rFonts w:ascii="Times New Roman" w:cs="Times New Roman" w:eastAsia="Times New Roman" w:hAnsi="Times New Roman"/>
                <w:sz w:val="21"/>
                <w:szCs w:val="21"/>
                <w:b w:val="1"/>
                <w:bCs w:val="1"/>
                <w:color w:val="auto"/>
                <w:w w:val="94"/>
                <w:vertAlign w:val="superscript"/>
              </w:rPr>
              <w:t>(1)</w:t>
            </w:r>
          </w:p>
        </w:tc>
        <w:tc>
          <w:tcPr>
            <w:tcW w:w="140" w:type="dxa"/>
            <w:vAlign w:val="bottom"/>
          </w:tcPr>
          <w:p>
            <w:pPr>
              <w:spacing w:after="0"/>
              <w:rPr>
                <w:sz w:val="17"/>
                <w:szCs w:val="17"/>
                <w:color w:val="auto"/>
              </w:rPr>
            </w:pP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Asset Coverage Per</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Involuntary Liquidating Preference</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 and Year/Period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w w:val="98"/>
              </w:rPr>
              <w:t>in millions)</w:t>
            </w:r>
          </w:p>
        </w:tc>
        <w:tc>
          <w:tcPr>
            <w:tcW w:w="140" w:type="dxa"/>
            <w:vAlign w:val="bottom"/>
          </w:tcPr>
          <w:p>
            <w:pPr>
              <w:spacing w:after="0"/>
              <w:rPr>
                <w:sz w:val="17"/>
                <w:szCs w:val="17"/>
                <w:color w:val="auto"/>
              </w:rPr>
            </w:pPr>
          </w:p>
        </w:tc>
        <w:tc>
          <w:tcPr>
            <w:tcW w:w="152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Unit</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Average Market Value Per Unit</w:t>
            </w:r>
          </w:p>
        </w:tc>
        <w:tc>
          <w:tcPr>
            <w:tcW w:w="0" w:type="dxa"/>
            <w:vAlign w:val="bottom"/>
          </w:tcPr>
          <w:p>
            <w:pPr>
              <w:spacing w:after="0"/>
              <w:rPr>
                <w:sz w:val="1"/>
                <w:szCs w:val="1"/>
                <w:color w:val="auto"/>
              </w:rPr>
            </w:pPr>
          </w:p>
        </w:tc>
      </w:tr>
      <w:tr>
        <w:trPr>
          <w:trHeight w:val="170"/>
        </w:trPr>
        <w:tc>
          <w:tcPr>
            <w:tcW w:w="20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98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2,025.9</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2,007.6</w:t>
            </w: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1,502.0</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1,929.6</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9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193.3</w:t>
            </w:r>
          </w:p>
        </w:tc>
        <w:tc>
          <w:tcPr>
            <w:tcW w:w="14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2,456.0</w:t>
            </w: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2022</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538.0</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2,016.2</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Subscription Facility</w:t>
            </w: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98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2,007.6</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9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1,496.8</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1,054.7</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2,456.0</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2029 Notes</w:t>
            </w: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98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745.5</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2,007.6</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9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744.3</w:t>
            </w:r>
          </w:p>
        </w:tc>
        <w:tc>
          <w:tcPr>
            <w:tcW w:w="14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1,929.6</w:t>
            </w: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January 2030 Notes</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98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599.3</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2,007.6</w:t>
            </w: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9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599.1</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1,929.6</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July 2030 Notes</w:t>
            </w: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98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745.8</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2,007.6</w:t>
            </w:r>
          </w:p>
        </w:tc>
        <w:tc>
          <w:tcPr>
            <w:tcW w:w="2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98" w:right="100" w:hanging="498"/>
        <w:spacing w:after="0" w:line="259" w:lineRule="auto"/>
        <w:tabs>
          <w:tab w:leader="none" w:pos="3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amount of each class of senior securities outstanding at carrying value, excluding the impact of deferred financing costs and hedge accounting relationships, at the end of the period presented.</w:t>
      </w:r>
    </w:p>
    <w:p>
      <w:pPr>
        <w:spacing w:after="0" w:line="141"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8"/>
          </w:cols>
          <w:pgMar w:left="642" w:top="1440" w:right="680" w:bottom="1440" w:gutter="0" w:footer="0" w:header="0"/>
        </w:sectPr>
      </w:pPr>
    </w:p>
    <w:bookmarkStart w:id="63" w:name="page64"/>
    <w:bookmarkEnd w:id="63"/>
    <w:p>
      <w:pPr>
        <w:ind w:right="1800"/>
        <w:spacing w:after="0" w:line="360"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 Introduction</w:t>
      </w:r>
    </w:p>
    <w:p>
      <w:pPr>
        <w:ind w:right="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Sixth Street LP Holding II, LLC and Sixth Street Lending Partners Sub, LLC in which we may hold certain investments. Sixth Street LP Holding, LLC has legally dissolved as of December 31, 2023.</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have elected to be treated as a RIC under the Code.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December 31, 2025, we have originated more than $29.2 billion aggregate principal amount of investments and retained approximately $ 9.8 billion aggregate principal amount of these investments on our balance sheet prior to any subsequent exits and repayments. We seek to generate current income and long-term capital appreciation primarily by investing in U.S.-domiciled upper middle- market companies through direct originations of senior secured loans and, to a lesser extent, originations of mezzanine and unsecured loans and investments in corporate bonds, equity securities, and other instruments.</w:t>
      </w:r>
    </w:p>
    <w:p>
      <w:pPr>
        <w:spacing w:after="0" w:line="77"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By “upper middle-market companies,” we mean companies that have annual EBITDA, which we believe is a useful proxy for cash flow, of greater than $ 75 million, although we may invest in smaller companies on occasion. “EBITDA” means a company’s earnings before interest, tax, depreciation and amortization. As of December 31, 2025, our core portfolio companies had a weighted average annual revenue of $870.9 million and weighted average annual EBITDA of $261.6 million. As of December 31, 2025, our core portfolio companies had a median annual revenue of $201.9 million and median annual EBITDA of $67.5 million.</w:t>
      </w:r>
    </w:p>
    <w:p>
      <w:pPr>
        <w:spacing w:after="0" w:line="71"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41"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55"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December 31, 2025, the largest single investment based on fair value represented 4.8% of our total investment portfolio.</w:t>
      </w:r>
    </w:p>
    <w:p>
      <w:pPr>
        <w:spacing w:after="0" w:line="108" w:lineRule="exact"/>
        <w:rPr>
          <w:sz w:val="20"/>
          <w:szCs w:val="20"/>
          <w:color w:val="auto"/>
        </w:rPr>
      </w:pPr>
    </w:p>
    <w:p>
      <w:pPr>
        <w:ind w:left="5200" w:right="1260" w:hanging="4974"/>
        <w:spacing w:after="0" w:line="384" w:lineRule="auto"/>
        <w:rPr>
          <w:sz w:val="20"/>
          <w:szCs w:val="20"/>
          <w:color w:val="auto"/>
        </w:rPr>
      </w:pPr>
      <w:r>
        <w:rPr>
          <w:rFonts w:ascii="Times New Roman" w:cs="Times New Roman" w:eastAsia="Times New Roman" w:hAnsi="Times New Roman"/>
          <w:sz w:val="16"/>
          <w:szCs w:val="16"/>
          <w:color w:val="auto"/>
        </w:rPr>
        <w:t>As of December 31, 2025, the average investment size in each of our portfolio companies was approximately $109.6 million based on fair value.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64" w:name="page65"/>
    <w:bookmarkEnd w:id="64"/>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4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values above $750 million. When reviewing potential investments, we seek to invest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the largest industry represented 19.7% of our total investment portfolio based on fair value.</w:t>
      </w:r>
    </w:p>
    <w:p>
      <w:pPr>
        <w:spacing w:after="0" w:line="186" w:lineRule="exact"/>
        <w:rPr>
          <w:sz w:val="20"/>
          <w:szCs w:val="20"/>
          <w:color w:val="auto"/>
        </w:rPr>
      </w:pPr>
    </w:p>
    <w:p>
      <w:pPr>
        <w:ind w:right="100" w:firstLine="228"/>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Investment Structuring. </w:t>
      </w:r>
      <w:r>
        <w:rPr>
          <w:rFonts w:ascii="Times New Roman" w:cs="Times New Roman" w:eastAsia="Times New Roman" w:hAnsi="Times New Roman"/>
          <w:sz w:val="14"/>
          <w:szCs w:val="14"/>
          <w:color w:val="auto"/>
        </w:rPr>
        <w:t>We focus on investing at the top of the capital structure and protecting that position. As of December 31, 2025, approximately 94.9%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was invested in secured debt, including 94.5%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period ended December 31, 2025, the weighted average term on new investment commitments in new portfolio companies was 5.5 years.</w:t>
      </w:r>
    </w:p>
    <w:p>
      <w:pPr>
        <w:spacing w:after="0" w:line="141" w:lineRule="exact"/>
        <w:rPr>
          <w:sz w:val="20"/>
          <w:szCs w:val="20"/>
          <w:color w:val="auto"/>
        </w:rPr>
      </w:pPr>
    </w:p>
    <w:p>
      <w:pPr>
        <w:ind w:right="8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will focus on, among other deal dynamics, direct origination of investments, where we identify and lead the investment transaction. We seek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that are too small for the traditional high yield market. We look to invest in companies that value our commitment and ability to originate an investment that meets their goals and fits within their existing capital structure.</w:t>
      </w:r>
    </w:p>
    <w:p>
      <w:pPr>
        <w:spacing w:after="0" w:line="162"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2025, we had call protection on 95.5% of our debt investments based on fair value, with weighted average call prices of 108.3% for the first year, 104.3% for the second year and 101.9% for the third year, in each case from the date of the initial investment. As of December 31, 2025, 96.9% of our debt investments based on fair value bore interest at floating rates, with 100%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 -Head of Sixth Street Direct Lending and Co-Head of Growth Robert 'Bo' Stanley, Co -Head of Direct Lending Michael Griffin and our Adviser’s Co -Founding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0"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 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5" w:name="page66"/>
    <w:bookmarkEnd w:id="65"/>
    <w:p>
      <w:pPr>
        <w:spacing w:after="0" w:line="6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upper middle-market companies domiciled in the United States.</w:t>
      </w:r>
    </w:p>
    <w:p>
      <w:pPr>
        <w:spacing w:after="0" w:line="92"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84" w:lineRule="auto"/>
        <w:rPr>
          <w:sz w:val="20"/>
          <w:szCs w:val="20"/>
          <w:color w:val="auto"/>
        </w:rPr>
      </w:pPr>
      <w:r>
        <w:rPr>
          <w:rFonts w:ascii="Times New Roman" w:cs="Times New Roman" w:eastAsia="Times New Roman" w:hAnsi="Times New Roman"/>
          <w:sz w:val="14"/>
          <w:szCs w:val="14"/>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2025, 96.9% of these investments based on fair value bore interest at a floating rate, with 100% of these subject to interest rate floors. Interest on debt investments is generally payable quarterly or semiannually. Some of our investments provide for deferred interest payments or PIK interest. For the years ended December 31, 2025, 2024 and 2023, 7.4%, 5.2% and 5.9%, respectively, of our total investment income was comprised of PIK interest.</w:t>
      </w:r>
    </w:p>
    <w:p>
      <w:pPr>
        <w:spacing w:after="0" w:line="140"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 —often are idiosyncratic, and reflect the characteristics of the particular portfolio companies that we invested in or exited during the period and not necessarily any trends in our business.</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6" w:name="page67"/>
    <w:bookmarkEnd w:id="66"/>
    <w:p>
      <w:pPr>
        <w:spacing w:after="0" w:line="65"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right="3060"/>
        <w:spacing w:after="0" w:line="243" w:lineRule="auto"/>
        <w:rPr>
          <w:sz w:val="20"/>
          <w:szCs w:val="20"/>
          <w:color w:val="auto"/>
        </w:rPr>
      </w:pPr>
      <w:r>
        <w:rPr>
          <w:rFonts w:ascii="Times New Roman" w:cs="Times New Roman" w:eastAsia="Times New Roman" w:hAnsi="Times New Roman"/>
          <w:sz w:val="16"/>
          <w:szCs w:val="16"/>
          <w:color w:val="auto"/>
        </w:rPr>
        <w:t>•organizational and offering expenses related to our initial private offering of Common Shares (up to an aggregate of 0.10% of total capital commitments to us, it being understood and agreed that the Adviser shall bear all such organizational and offering expenses related to our initial private offering of Common Shares in excess of such amount);</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12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Shares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Common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2380"/>
        <w:spacing w:after="0" w:line="239"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Trustees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80"/>
        <w:spacing w:after="0" w:line="360" w:lineRule="auto"/>
        <w:rPr>
          <w:sz w:val="20"/>
          <w:szCs w:val="20"/>
          <w:color w:val="auto"/>
        </w:rPr>
      </w:pPr>
      <w:r>
        <w:rPr>
          <w:rFonts w:ascii="Times New Roman" w:cs="Times New Roman" w:eastAsia="Times New Roman" w:hAnsi="Times New Roman"/>
          <w:sz w:val="16"/>
          <w:szCs w:val="16"/>
          <w:color w:val="auto"/>
        </w:rPr>
        <w:t>•trustees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right="3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our portfolio based on fair value consisted of 94.5% first-lien debt investments, 0.5% second-lien debt investments, 2.7% mezzanine investments and 2.3% equity and other investments. As of December 31, 2024, our portfolio based on fair value consisted of 94.9% first-lien debt investments, 1.3% second lien-debt investments, 1.7% mezzanine investments and 2.1% equity and other investments.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8" w:name="page69"/>
    <w:bookmarkEnd w:id="68"/>
    <w:p>
      <w:pPr>
        <w:spacing w:after="0" w:line="65"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and December 31, 2024, our weighted average total yield of debt and income producing securities at fair value (which includes interest income and amortization of fees and discounts) was 10.0% and 11.0%, respectively, and our weighted average total yield of debt and income-producing securities at amortized cost (which includes interest income and amortization of fees and discounts) was 10.3% and 11.3%.</w:t>
      </w:r>
    </w:p>
    <w:p>
      <w:pPr>
        <w:spacing w:after="0" w:line="16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had investments in 74 and 67 portfolio companies, with an aggregate fair value of $8,108.7 million and $7,244.3 million.</w:t>
      </w:r>
    </w:p>
    <w:p>
      <w:pPr>
        <w:spacing w:after="0" w:line="15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2025, the principal amount of new investments funded was $2,392.1 million in 34 new portfolio companies and 16 existing portfolio companies. For this period, we had $2,001.8 million aggregate principal amount in exits and repayments.</w:t>
      </w:r>
    </w:p>
    <w:p>
      <w:pPr>
        <w:spacing w:after="0" w:line="15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the principal amount of new investments funded was $4,263.9 million in 34 new portfolio companies and 11 existing portfolio companies. For this period, we had $662.5 million aggregate principal amount in exits and repayments.</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years ended December 31, 2025, December 31, 2024 and December 31, 2023 is presented below (information presented herein is at par value unless otherwise indicated).</w:t>
      </w:r>
    </w:p>
    <w:p>
      <w:pPr>
        <w:spacing w:after="0" w:line="358" w:lineRule="exact"/>
        <w:rPr>
          <w:sz w:val="20"/>
          <w:szCs w:val="20"/>
          <w:color w:val="auto"/>
        </w:rPr>
      </w:pPr>
    </w:p>
    <w:tbl>
      <w:tblPr>
        <w:tblLayout w:type="fixed"/>
        <w:tblInd w:w="42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44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40" w:type="dxa"/>
            <w:vAlign w:val="bottom"/>
            <w:gridSpan w:val="2"/>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4"/>
                <w:szCs w:val="14"/>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Gross originations </w:t>
            </w:r>
            <w:r>
              <w:rPr>
                <w:rFonts w:ascii="Times New Roman" w:cs="Times New Roman" w:eastAsia="Times New Roman" w:hAnsi="Times New Roman"/>
                <w:sz w:val="20"/>
                <w:szCs w:val="20"/>
                <w:color w:val="auto"/>
                <w:vertAlign w:val="superscript"/>
              </w:rPr>
              <w:t>(1)</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7,603.4</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14,354.5</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5,500.4</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Less: Syndications/sell downs </w:t>
            </w:r>
            <w:r>
              <w:rPr>
                <w:rFonts w:ascii="Times New Roman" w:cs="Times New Roman" w:eastAsia="Times New Roman" w:hAnsi="Times New Roman"/>
                <w:sz w:val="20"/>
                <w:szCs w:val="20"/>
                <w:color w:val="auto"/>
                <w:vertAlign w:val="superscript"/>
              </w:rPr>
              <w:t>(1)</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4,839.1</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8,682.4</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2,866.3</w:t>
            </w: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new investment commitments</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2,764.3</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5,672.1</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2,634.1</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2,231.7</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4,174.9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2,044.5</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48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78.0</w:t>
            </w:r>
          </w:p>
        </w:tc>
        <w:tc>
          <w:tcPr>
            <w:tcW w:w="2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5"/>
                <w:szCs w:val="15"/>
                <w:color w:val="auto"/>
              </w:rPr>
            </w:pP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58.8</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2,392.1</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4,263.9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2,279.8</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1,883.3</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660.4</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83.9</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480" w:type="dxa"/>
            <w:vAlign w:val="bottom"/>
          </w:tcPr>
          <w:p>
            <w:pPr>
              <w:spacing w:after="0"/>
              <w:rPr>
                <w:sz w:val="15"/>
                <w:szCs w:val="15"/>
                <w:color w:val="auto"/>
              </w:rPr>
            </w:pP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34.6</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2,001.8</w:t>
            </w:r>
          </w:p>
        </w:tc>
        <w:tc>
          <w:tcPr>
            <w:tcW w:w="2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662.5</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165"/>
        </w:trPr>
        <w:tc>
          <w:tcPr>
            <w:tcW w:w="43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4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65"/>
        </w:trPr>
        <w:tc>
          <w:tcPr>
            <w:tcW w:w="43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48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63.2</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65"/>
        </w:trPr>
        <w:tc>
          <w:tcPr>
            <w:tcW w:w="43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4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5"/>
        </w:trPr>
        <w:tc>
          <w:tcPr>
            <w:tcW w:w="43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165"/>
        </w:trPr>
        <w:tc>
          <w:tcPr>
            <w:tcW w:w="43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at fixed rates</w:t>
            </w:r>
          </w:p>
        </w:tc>
        <w:tc>
          <w:tcPr>
            <w:tcW w:w="14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98"/>
        </w:trPr>
        <w:tc>
          <w:tcPr>
            <w:tcW w:w="438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96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30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3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65"/>
        </w:trPr>
        <w:tc>
          <w:tcPr>
            <w:tcW w:w="43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w:t>
            </w:r>
          </w:p>
        </w:tc>
        <w:tc>
          <w:tcPr>
            <w:tcW w:w="1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floating rate investment commitments</w:t>
            </w:r>
          </w:p>
        </w:tc>
        <w:tc>
          <w:tcPr>
            <w:tcW w:w="1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5"/>
        </w:trPr>
        <w:tc>
          <w:tcPr>
            <w:tcW w:w="43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affiliates of Sixth Street.</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69" w:name="page70"/>
    <w:bookmarkEnd w:id="69"/>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our investments consisted of the following:</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56"/>
        </w:trPr>
        <w:tc>
          <w:tcPr>
            <w:tcW w:w="3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3"/>
                <w:szCs w:val="13"/>
                <w:color w:val="auto"/>
              </w:rPr>
            </w:pPr>
          </w:p>
        </w:tc>
        <w:tc>
          <w:tcPr>
            <w:tcW w:w="2780" w:type="dxa"/>
            <w:vAlign w:val="bottom"/>
            <w:gridSpan w:val="5"/>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3"/>
                <w:szCs w:val="13"/>
                <w:color w:val="auto"/>
              </w:rPr>
            </w:pPr>
          </w:p>
        </w:tc>
        <w:tc>
          <w:tcPr>
            <w:tcW w:w="2840" w:type="dxa"/>
            <w:vAlign w:val="bottom"/>
            <w:gridSpan w:val="5"/>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3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7,483.9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7,659.9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6,732.1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215.2</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222.4</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118.4</w:t>
            </w:r>
          </w:p>
        </w:tc>
        <w:tc>
          <w:tcPr>
            <w:tcW w:w="2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180"/>
        </w:trPr>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3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158.5</w:t>
            </w:r>
          </w:p>
        </w:tc>
        <w:tc>
          <w:tcPr>
            <w:tcW w:w="220" w:type="dxa"/>
            <w:vAlign w:val="bottom"/>
          </w:tcPr>
          <w:p>
            <w:pPr>
              <w:spacing w:after="0"/>
              <w:rPr>
                <w:sz w:val="15"/>
                <w:szCs w:val="15"/>
                <w:color w:val="auto"/>
              </w:rPr>
            </w:pPr>
          </w:p>
        </w:tc>
        <w:tc>
          <w:tcPr>
            <w:tcW w:w="12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189.0</w:t>
            </w:r>
          </w:p>
        </w:tc>
        <w:tc>
          <w:tcPr>
            <w:tcW w:w="14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140.0</w:t>
            </w:r>
          </w:p>
        </w:tc>
        <w:tc>
          <w:tcPr>
            <w:tcW w:w="240" w:type="dxa"/>
            <w:vAlign w:val="bottom"/>
          </w:tcPr>
          <w:p>
            <w:pPr>
              <w:spacing w:after="0"/>
              <w:rPr>
                <w:sz w:val="15"/>
                <w:szCs w:val="15"/>
                <w:color w:val="auto"/>
              </w:rPr>
            </w:pPr>
          </w:p>
        </w:tc>
        <w:tc>
          <w:tcPr>
            <w:tcW w:w="1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20"/>
        </w:trPr>
        <w:tc>
          <w:tcPr>
            <w:tcW w:w="330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7,892.9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8,108.7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7,080.0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76" w:lineRule="exact"/>
        <w:rPr>
          <w:sz w:val="20"/>
          <w:szCs w:val="20"/>
          <w:color w:val="auto"/>
        </w:rPr>
      </w:pPr>
    </w:p>
    <w:p>
      <w:pPr>
        <w:jc w:val="both"/>
        <w:ind w:right="700"/>
        <w:spacing w:after="0" w:line="259" w:lineRule="auto"/>
        <w:rPr>
          <w:sz w:val="20"/>
          <w:szCs w:val="20"/>
          <w:color w:val="auto"/>
        </w:rPr>
      </w:pPr>
      <w:r>
        <w:rPr>
          <w:rFonts w:ascii="Times New Roman" w:cs="Times New Roman" w:eastAsia="Times New Roman" w:hAnsi="Times New Roman"/>
          <w:sz w:val="16"/>
          <w:szCs w:val="16"/>
          <w:color w:val="auto"/>
        </w:rPr>
        <w:t>The following table shows the fair value and amortized cost of our performing and non-accrual investments as of December 31, 2025. We had no non-accrual investments as of December 31, 2024.</w:t>
      </w:r>
    </w:p>
    <w:p>
      <w:pPr>
        <w:sectPr>
          <w:pgSz w:w="11900" w:h="16840" w:orient="portrait"/>
          <w:cols w:equalWidth="0" w:num="1">
            <w:col w:w="10560"/>
          </w:cols>
          <w:pgMar w:left="660" w:top="1440" w:right="680" w:bottom="1440" w:gutter="0" w:footer="0" w:header="0"/>
        </w:sectPr>
      </w:pPr>
    </w:p>
    <w:p>
      <w:pPr>
        <w:spacing w:after="0" w:line="3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p>
      <w:pPr>
        <w:ind w:left="1220"/>
        <w:spacing w:after="0" w:line="212" w:lineRule="auto"/>
        <w:rPr>
          <w:sz w:val="20"/>
          <w:szCs w:val="20"/>
          <w:color w:val="auto"/>
        </w:rPr>
      </w:pPr>
      <w:r>
        <w:rPr>
          <w:rFonts w:ascii="Times New Roman" w:cs="Times New Roman" w:eastAsia="Times New Roman" w:hAnsi="Times New Roman"/>
          <w:sz w:val="16"/>
          <w:szCs w:val="16"/>
          <w:color w:val="auto"/>
        </w:rPr>
        <w:t>Performing</w:t>
      </w:r>
    </w:p>
    <w:p>
      <w:pPr>
        <w:ind w:left="1220"/>
        <w:spacing w:after="0" w:line="220" w:lineRule="auto"/>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(2)(3)</w:t>
      </w:r>
    </w:p>
    <w:p>
      <w:pPr>
        <w:ind w:left="12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0" w:lineRule="exact"/>
        <w:rPr>
          <w:sz w:val="20"/>
          <w:szCs w:val="20"/>
          <w:color w:val="auto"/>
        </w:rPr>
      </w:pPr>
    </w:p>
    <w:p>
      <w:pPr>
        <w:spacing w:after="0" w:line="3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p>
      <w:pPr>
        <w:ind w:left="1220"/>
        <w:spacing w:after="0" w:line="212" w:lineRule="auto"/>
        <w:rPr>
          <w:sz w:val="20"/>
          <w:szCs w:val="20"/>
          <w:color w:val="auto"/>
        </w:rPr>
      </w:pPr>
      <w:r>
        <w:rPr>
          <w:rFonts w:ascii="Times New Roman" w:cs="Times New Roman" w:eastAsia="Times New Roman" w:hAnsi="Times New Roman"/>
          <w:sz w:val="16"/>
          <w:szCs w:val="16"/>
          <w:color w:val="auto"/>
        </w:rPr>
        <w:t>Performing</w:t>
      </w:r>
    </w:p>
    <w:p>
      <w:pPr>
        <w:ind w:left="1220"/>
        <w:spacing w:after="0" w:line="220" w:lineRule="auto"/>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(2)(3)</w:t>
      </w:r>
    </w:p>
    <w:p>
      <w:pPr>
        <w:ind w:left="12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(1)Table may not sum due to rounding.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2480" w:type="dxa"/>
            <w:vAlign w:val="bottom"/>
            <w:gridSpan w:val="3"/>
          </w:tcPr>
          <w:p>
            <w:pPr>
              <w:ind w:left="12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320" w:type="dxa"/>
            <w:vAlign w:val="bottom"/>
          </w:tcPr>
          <w:p>
            <w:pPr>
              <w:spacing w:after="0"/>
              <w:rPr>
                <w:sz w:val="14"/>
                <w:szCs w:val="14"/>
                <w:color w:val="auto"/>
              </w:rPr>
            </w:pPr>
          </w:p>
        </w:tc>
        <w:tc>
          <w:tcPr>
            <w:tcW w:w="2480" w:type="dxa"/>
            <w:vAlign w:val="bottom"/>
            <w:gridSpan w:val="3"/>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0"/>
        </w:trPr>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8,108.4</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320" w:type="dxa"/>
            <w:vAlign w:val="bottom"/>
          </w:tcPr>
          <w:p>
            <w:pPr>
              <w:spacing w:after="0"/>
              <w:rPr>
                <w:sz w:val="15"/>
                <w:szCs w:val="15"/>
                <w:color w:val="auto"/>
              </w:rPr>
            </w:pPr>
          </w:p>
        </w:tc>
        <w:tc>
          <w:tcPr>
            <w:tcW w:w="1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540" w:type="dxa"/>
            <w:vAlign w:val="bottom"/>
          </w:tcPr>
          <w:p>
            <w:pPr>
              <w:spacing w:after="0"/>
              <w:rPr>
                <w:sz w:val="15"/>
                <w:szCs w:val="15"/>
                <w:color w:val="auto"/>
              </w:rPr>
            </w:pPr>
          </w:p>
        </w:tc>
        <w:tc>
          <w:tcPr>
            <w:tcW w:w="15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93"/>
        </w:trPr>
        <w:tc>
          <w:tcPr>
            <w:tcW w:w="320" w:type="dxa"/>
            <w:vAlign w:val="bottom"/>
          </w:tcPr>
          <w:p>
            <w:pPr>
              <w:jc w:val="right"/>
              <w:ind w:right="16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8,108.7</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2"/>
                <w:szCs w:val="12"/>
                <w:color w:val="auto"/>
              </w:rPr>
              <w:t>100.0</w:t>
            </w:r>
            <w:r>
              <w:rPr>
                <w:rFonts w:ascii="Times New Roman" w:cs="Times New Roman" w:eastAsia="Times New Roman" w:hAnsi="Times New Roman"/>
                <w:sz w:val="20"/>
                <w:szCs w:val="20"/>
                <w:color w:val="auto"/>
                <w:vertAlign w:val="subscript"/>
              </w:rPr>
              <w:t>%</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6"/>
        </w:trPr>
        <w:tc>
          <w:tcPr>
            <w:tcW w:w="320" w:type="dxa"/>
            <w:vAlign w:val="bottom"/>
          </w:tcPr>
          <w:p>
            <w:pPr>
              <w:spacing w:after="0"/>
              <w:rPr>
                <w:sz w:val="24"/>
                <w:szCs w:val="24"/>
                <w:color w:val="auto"/>
              </w:rPr>
            </w:pPr>
          </w:p>
        </w:tc>
        <w:tc>
          <w:tcPr>
            <w:tcW w:w="2480" w:type="dxa"/>
            <w:vAlign w:val="bottom"/>
            <w:gridSpan w:val="3"/>
          </w:tcPr>
          <w:p>
            <w:pPr>
              <w:ind w:left="12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320" w:type="dxa"/>
            <w:vAlign w:val="bottom"/>
          </w:tcPr>
          <w:p>
            <w:pPr>
              <w:spacing w:after="0"/>
              <w:rPr>
                <w:sz w:val="14"/>
                <w:szCs w:val="14"/>
                <w:color w:val="auto"/>
              </w:rPr>
            </w:pPr>
          </w:p>
        </w:tc>
        <w:tc>
          <w:tcPr>
            <w:tcW w:w="2480" w:type="dxa"/>
            <w:vAlign w:val="bottom"/>
            <w:gridSpan w:val="3"/>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0"/>
        </w:trPr>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7,891.3</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320" w:type="dxa"/>
            <w:vAlign w:val="bottom"/>
          </w:tcPr>
          <w:p>
            <w:pPr>
              <w:spacing w:after="0"/>
              <w:rPr>
                <w:sz w:val="15"/>
                <w:szCs w:val="15"/>
                <w:color w:val="auto"/>
              </w:rPr>
            </w:pPr>
          </w:p>
        </w:tc>
        <w:tc>
          <w:tcPr>
            <w:tcW w:w="1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540" w:type="dxa"/>
            <w:vAlign w:val="bottom"/>
          </w:tcPr>
          <w:p>
            <w:pPr>
              <w:spacing w:after="0"/>
              <w:rPr>
                <w:sz w:val="15"/>
                <w:szCs w:val="15"/>
                <w:color w:val="auto"/>
              </w:rPr>
            </w:pPr>
          </w:p>
        </w:tc>
        <w:tc>
          <w:tcPr>
            <w:tcW w:w="15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93"/>
        </w:trPr>
        <w:tc>
          <w:tcPr>
            <w:tcW w:w="320" w:type="dxa"/>
            <w:vAlign w:val="bottom"/>
          </w:tcPr>
          <w:p>
            <w:pPr>
              <w:jc w:val="right"/>
              <w:ind w:right="16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7,892.9</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2"/>
                <w:szCs w:val="12"/>
                <w:color w:val="auto"/>
              </w:rPr>
              <w:t>100.0</w:t>
            </w:r>
            <w:r>
              <w:rPr>
                <w:rFonts w:ascii="Times New Roman" w:cs="Times New Roman" w:eastAsia="Times New Roman" w:hAnsi="Times New Roman"/>
                <w:sz w:val="20"/>
                <w:szCs w:val="20"/>
                <w:color w:val="auto"/>
                <w:vertAlign w:val="subscript"/>
              </w:rPr>
              <w:t>%</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-1211580</wp:posOffset>
            </wp:positionV>
            <wp:extent cx="516001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60010" cy="11430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-982345</wp:posOffset>
            </wp:positionV>
            <wp:extent cx="516001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60010" cy="13716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-365125</wp:posOffset>
            </wp:positionV>
            <wp:extent cx="516001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60010" cy="11430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-136525</wp:posOffset>
            </wp:positionV>
            <wp:extent cx="516001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60010" cy="137160"/>
                    </a:xfrm>
                    <a:prstGeom prst="rect">
                      <a:avLst/>
                    </a:prstGeom>
                    <a:noFill/>
                  </pic:spPr>
                </pic:pic>
              </a:graphicData>
            </a:graphic>
          </wp:anchor>
        </w:drawing>
      </w:r>
    </w:p>
    <w:p>
      <w:pPr>
        <w:spacing w:after="0" w:line="359" w:lineRule="exact"/>
        <w:rPr>
          <w:sz w:val="20"/>
          <w:szCs w:val="20"/>
          <w:color w:val="auto"/>
        </w:rPr>
      </w:pPr>
    </w:p>
    <w:p>
      <w:pPr>
        <w:sectPr>
          <w:pgSz w:w="11900" w:h="16840" w:orient="portrait"/>
          <w:cols w:equalWidth="0" w:num="2">
            <w:col w:w="4160" w:space="720"/>
            <w:col w:w="5680"/>
          </w:cols>
          <w:pgMar w:left="660" w:top="1440" w:right="680" w:bottom="1440" w:gutter="0" w:footer="0" w:header="0"/>
          <w:type w:val="continuous"/>
        </w:sect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(2)Loans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 – Interest and Dividend Income Recognition.”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(3)Amounts round to less than 0.1%.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December 31, 2025 and December 31, 2024 were as follows:</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70"/>
        </w:trPr>
        <w:tc>
          <w:tcPr>
            <w:tcW w:w="6600" w:type="dxa"/>
            <w:vAlign w:val="bottom"/>
          </w:tcPr>
          <w:p>
            <w:pPr>
              <w:ind w:left="55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60" w:type="dxa"/>
            <w:vAlign w:val="bottom"/>
          </w:tcPr>
          <w:p>
            <w:pPr>
              <w:spacing w:after="0"/>
              <w:rPr>
                <w:sz w:val="14"/>
                <w:szCs w:val="14"/>
                <w:color w:val="auto"/>
              </w:rPr>
            </w:pPr>
          </w:p>
        </w:tc>
        <w:tc>
          <w:tcPr>
            <w:tcW w:w="180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4"/>
        </w:trPr>
        <w:tc>
          <w:tcPr>
            <w:tcW w:w="6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66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r>
      <w:tr>
        <w:trPr>
          <w:trHeight w:val="216"/>
        </w:trPr>
        <w:tc>
          <w:tcPr>
            <w:tcW w:w="66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91"/>
              </w:rPr>
              <w:t>10.0%</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67"/>
        </w:trPr>
        <w:tc>
          <w:tcPr>
            <w:tcW w:w="66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93"/>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producing securities</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9.7%</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67"/>
        </w:trPr>
        <w:tc>
          <w:tcPr>
            <w:tcW w:w="6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Weighted average spread over reference rate of all</w:t>
            </w:r>
          </w:p>
        </w:tc>
        <w:tc>
          <w:tcPr>
            <w:tcW w:w="66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r>
      <w:tr>
        <w:trPr>
          <w:trHeight w:val="193"/>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floating rate investments</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5.9%</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9.8% at December 31, 2025 and at 10.8% at December 31, 2024.</w:t>
      </w:r>
    </w:p>
    <w:p>
      <w:pPr>
        <w:spacing w:after="0" w:line="24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0" w:right="3300" w:hanging="4974"/>
        <w:spacing w:after="0" w:line="384" w:lineRule="auto"/>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70" w:name="page71"/>
    <w:bookmarkEnd w:id="70"/>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9"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December 31,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368" w:lineRule="exact"/>
        <w:rPr>
          <w:sz w:val="20"/>
          <w:szCs w:val="20"/>
          <w:color w:val="auto"/>
        </w:rPr>
      </w:pPr>
    </w:p>
    <w:tbl>
      <w:tblPr>
        <w:tblLayout w:type="fixed"/>
        <w:tblInd w:w="700" w:type="dxa"/>
        <w:tblCellMar>
          <w:top w:w="0" w:type="dxa"/>
          <w:left w:w="0" w:type="dxa"/>
          <w:bottom w:w="0" w:type="dxa"/>
          <w:right w:w="0" w:type="dxa"/>
        </w:tblCellMar>
      </w:tblPr>
      <w:tr>
        <w:trPr>
          <w:trHeight w:val="156"/>
        </w:trPr>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3"/>
          </w:tcPr>
          <w:p>
            <w:pPr>
              <w:ind w:left="10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40" w:type="dxa"/>
            <w:vAlign w:val="bottom"/>
            <w:gridSpan w:val="4"/>
          </w:tcPr>
          <w:p>
            <w:pPr>
              <w:jc w:val="right"/>
              <w:ind w:right="14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14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24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80" w:type="dxa"/>
            <w:vAlign w:val="bottom"/>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1380" w:type="dxa"/>
            <w:vAlign w:val="bottom"/>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Total Portfolio</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180"/>
        </w:trPr>
        <w:tc>
          <w:tcPr>
            <w:tcW w:w="1460" w:type="dxa"/>
            <w:vAlign w:val="bottom"/>
            <w:shd w:val="clear" w:color="auto" w:fill="CFF0FC"/>
          </w:tcPr>
          <w:p>
            <w:pPr>
              <w:jc w:val="center"/>
              <w:ind w:right="50"/>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7,827.6</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600" w:type="dxa"/>
            <w:vAlign w:val="bottom"/>
            <w:shd w:val="clear" w:color="auto" w:fill="CFF0FC"/>
          </w:tcPr>
          <w:p>
            <w:pPr>
              <w:jc w:val="right"/>
              <w:ind w:right="449"/>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7,037.9</w:t>
            </w:r>
          </w:p>
        </w:tc>
        <w:tc>
          <w:tcPr>
            <w:tcW w:w="18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97.1%</w:t>
            </w:r>
          </w:p>
        </w:tc>
      </w:tr>
      <w:tr>
        <w:trPr>
          <w:trHeight w:val="180"/>
        </w:trPr>
        <w:tc>
          <w:tcPr>
            <w:tcW w:w="146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6"/>
                <w:szCs w:val="16"/>
                <w:color w:val="auto"/>
                <w:w w:val="74"/>
              </w:rPr>
              <w:t>2</w:t>
            </w:r>
          </w:p>
        </w:tc>
        <w:tc>
          <w:tcPr>
            <w:tcW w:w="240" w:type="dxa"/>
            <w:vAlign w:val="bottom"/>
          </w:tcPr>
          <w:p>
            <w:pPr>
              <w:spacing w:after="0"/>
              <w:rPr>
                <w:sz w:val="15"/>
                <w:szCs w:val="15"/>
                <w:color w:val="auto"/>
              </w:rPr>
            </w:pPr>
          </w:p>
        </w:tc>
        <w:tc>
          <w:tcPr>
            <w:tcW w:w="1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230.1</w:t>
            </w:r>
          </w:p>
        </w:tc>
        <w:tc>
          <w:tcPr>
            <w:tcW w:w="138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5"/>
                <w:szCs w:val="15"/>
                <w:color w:val="auto"/>
              </w:rPr>
            </w:pPr>
          </w:p>
        </w:tc>
        <w:tc>
          <w:tcPr>
            <w:tcW w:w="12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143.3</w:t>
            </w:r>
          </w:p>
        </w:tc>
        <w:tc>
          <w:tcPr>
            <w:tcW w:w="1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1460" w:type="dxa"/>
            <w:vAlign w:val="bottom"/>
            <w:shd w:val="clear" w:color="auto" w:fill="CFF0FC"/>
          </w:tcPr>
          <w:p>
            <w:pPr>
              <w:jc w:val="center"/>
              <w:ind w:right="50"/>
              <w:spacing w:after="0" w:line="180" w:lineRule="exact"/>
              <w:rPr>
                <w:sz w:val="20"/>
                <w:szCs w:val="20"/>
                <w:color w:val="auto"/>
              </w:rPr>
            </w:pPr>
            <w:r>
              <w:rPr>
                <w:rFonts w:ascii="Times New Roman" w:cs="Times New Roman" w:eastAsia="Times New Roman" w:hAnsi="Times New Roman"/>
                <w:sz w:val="16"/>
                <w:szCs w:val="16"/>
                <w:color w:val="auto"/>
                <w:w w:val="74"/>
              </w:rPr>
              <w:t>3</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6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18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146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6"/>
                <w:szCs w:val="16"/>
                <w:color w:val="auto"/>
                <w:w w:val="74"/>
              </w:rPr>
              <w:t>4</w:t>
            </w:r>
          </w:p>
        </w:tc>
        <w:tc>
          <w:tcPr>
            <w:tcW w:w="240" w:type="dxa"/>
            <w:vAlign w:val="bottom"/>
          </w:tcPr>
          <w:p>
            <w:pPr>
              <w:spacing w:after="0"/>
              <w:rPr>
                <w:sz w:val="15"/>
                <w:szCs w:val="15"/>
                <w:color w:val="auto"/>
              </w:rPr>
            </w:pPr>
          </w:p>
        </w:tc>
        <w:tc>
          <w:tcPr>
            <w:tcW w:w="1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460" w:type="dxa"/>
            <w:vAlign w:val="bottom"/>
            <w:shd w:val="clear" w:color="auto" w:fill="CFF0FC"/>
          </w:tcPr>
          <w:p>
            <w:pPr>
              <w:jc w:val="center"/>
              <w:ind w:right="30"/>
              <w:spacing w:after="0" w:line="180" w:lineRule="exact"/>
              <w:rPr>
                <w:sz w:val="20"/>
                <w:szCs w:val="20"/>
                <w:color w:val="auto"/>
              </w:rPr>
            </w:pPr>
            <w:r>
              <w:rPr>
                <w:rFonts w:ascii="Times New Roman" w:cs="Times New Roman" w:eastAsia="Times New Roman" w:hAnsi="Times New Roman"/>
                <w:sz w:val="20"/>
                <w:szCs w:val="20"/>
                <w:color w:val="auto"/>
                <w:vertAlign w:val="subscript"/>
              </w:rPr>
              <w:t>5</w:t>
            </w:r>
            <w:r>
              <w:rPr>
                <w:rFonts w:ascii="Times New Roman" w:cs="Times New Roman" w:eastAsia="Times New Roman" w:hAnsi="Times New Roman"/>
                <w:sz w:val="9"/>
                <w:szCs w:val="9"/>
                <w:color w:val="auto"/>
              </w:rPr>
              <w:t xml:space="preserve"> (1)</w:t>
            </w:r>
          </w:p>
        </w:tc>
        <w:tc>
          <w:tcPr>
            <w:tcW w:w="2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3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6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460" w:type="dxa"/>
            <w:vAlign w:val="bottom"/>
          </w:tcPr>
          <w:p>
            <w:pPr>
              <w:jc w:val="center"/>
              <w:ind w:right="30"/>
              <w:spacing w:after="0" w:line="160" w:lineRule="exact"/>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8,108.7</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600" w:type="dxa"/>
            <w:vAlign w:val="bottom"/>
          </w:tcPr>
          <w:p>
            <w:pPr>
              <w:jc w:val="right"/>
              <w:ind w:right="449"/>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7,244.3</w:t>
            </w:r>
          </w:p>
        </w:tc>
        <w:tc>
          <w:tcPr>
            <w:tcW w:w="180" w:type="dxa"/>
            <w:vAlign w:val="bottom"/>
          </w:tcPr>
          <w:p>
            <w:pPr>
              <w:spacing w:after="0"/>
              <w:rPr>
                <w:sz w:val="15"/>
                <w:szCs w:val="15"/>
                <w:color w:val="auto"/>
              </w:rPr>
            </w:pPr>
          </w:p>
        </w:tc>
        <w:tc>
          <w:tcPr>
            <w:tcW w:w="19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(1)Amounts round to less than 0.1%.</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i w:val="1"/>
          <w:iCs w:val="1"/>
          <w:color w:val="auto"/>
        </w:rPr>
        <w:t>Structured Credit Partners JV, LLC (“SCP”)</w:t>
      </w:r>
    </w:p>
    <w:p>
      <w:pPr>
        <w:spacing w:after="0" w:line="27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December 23, 2025, affiliates of Sixth Street, including us, and affiliates of Carlyle entered into the Limited Liability Company Agreement, to co- manage SCP, a joint venture focused on investing in broadly syndicated first lien senior secured loans, financed with long-term, non -mark-to-market,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 As of December 31, 2025, SCP had not commenced operations and no capital had been contributed to SCP.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years ended December 31, 2025, December 31, 2024 and December 31, 2023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5880" w:type="dxa"/>
            <w:vAlign w:val="bottom"/>
            <w:gridSpan w:val="2"/>
            <w:vMerge w:val="continue"/>
          </w:tcPr>
          <w:p>
            <w:pPr>
              <w:spacing w:after="0"/>
              <w:rPr>
                <w:sz w:val="14"/>
                <w:szCs w:val="14"/>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440" w:type="dxa"/>
            <w:vAlign w:val="bottom"/>
            <w:tcBorders>
              <w:left w:val="single" w:sz="8" w:color="CFF0FC"/>
            </w:tcBorders>
            <w:shd w:val="clear" w:color="auto" w:fill="CFF0FC"/>
          </w:tcPr>
          <w:p>
            <w:pPr>
              <w:jc w:val="right"/>
              <w:ind w:right="2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948.7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668.8</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Net expenses</w:t>
            </w:r>
          </w:p>
        </w:tc>
        <w:tc>
          <w:tcPr>
            <w:tcW w:w="440" w:type="dxa"/>
            <w:vAlign w:val="bottom"/>
          </w:tcPr>
          <w:p>
            <w:pPr>
              <w:spacing w:after="0"/>
              <w:rPr>
                <w:sz w:val="15"/>
                <w:szCs w:val="15"/>
                <w:color w:val="auto"/>
              </w:rPr>
            </w:pPr>
          </w:p>
        </w:tc>
        <w:tc>
          <w:tcPr>
            <w:tcW w:w="78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362.0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investment income before income taxes</w:t>
            </w:r>
          </w:p>
        </w:tc>
        <w:tc>
          <w:tcPr>
            <w:tcW w:w="440" w:type="dxa"/>
            <w:vAlign w:val="bottom"/>
            <w:tcBorders>
              <w:left w:val="single" w:sz="8" w:color="CFF0FC"/>
            </w:tcBorders>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5"/>
                <w:szCs w:val="15"/>
                <w:color w:val="auto"/>
              </w:rPr>
              <w:t xml:space="preserve">Less: Income taxes, including excise taxes </w:t>
            </w:r>
            <w:r>
              <w:rPr>
                <w:rFonts w:ascii="Times New Roman" w:cs="Times New Roman" w:eastAsia="Times New Roman" w:hAnsi="Times New Roman"/>
                <w:sz w:val="20"/>
                <w:szCs w:val="20"/>
                <w:color w:val="auto"/>
                <w:vertAlign w:val="superscript"/>
              </w:rPr>
              <w:t>(3)</w:t>
            </w:r>
          </w:p>
        </w:tc>
        <w:tc>
          <w:tcPr>
            <w:tcW w:w="440" w:type="dxa"/>
            <w:vAlign w:val="bottom"/>
          </w:tcPr>
          <w:p>
            <w:pPr>
              <w:spacing w:after="0"/>
              <w:rPr>
                <w:sz w:val="15"/>
                <w:szCs w:val="15"/>
                <w:color w:val="auto"/>
              </w:rPr>
            </w:pPr>
          </w:p>
        </w:tc>
        <w:tc>
          <w:tcPr>
            <w:tcW w:w="78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440" w:type="dxa"/>
            <w:vAlign w:val="bottom"/>
            <w:tcBorders>
              <w:left w:val="single" w:sz="8" w:color="CFF0FC"/>
            </w:tcBorders>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364.8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w:t>
            </w:r>
            <w:r>
              <w:rPr>
                <w:rFonts w:ascii="Times New Roman" w:cs="Times New Roman" w:eastAsia="Times New Roman" w:hAnsi="Times New Roman"/>
                <w:sz w:val="20"/>
                <w:szCs w:val="20"/>
                <w:color w:val="auto"/>
                <w:vertAlign w:val="superscript"/>
              </w:rPr>
              <w:t>(2)</w:t>
            </w:r>
          </w:p>
        </w:tc>
        <w:tc>
          <w:tcPr>
            <w:tcW w:w="440" w:type="dxa"/>
            <w:vAlign w:val="bottom"/>
          </w:tcPr>
          <w:p>
            <w:pPr>
              <w:spacing w:after="0"/>
              <w:rPr>
                <w:sz w:val="15"/>
                <w:szCs w:val="15"/>
                <w:color w:val="auto"/>
              </w:rPr>
            </w:pPr>
          </w:p>
        </w:tc>
        <w:tc>
          <w:tcPr>
            <w:tcW w:w="78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change in unrealized gains (losses) </w:t>
            </w:r>
            <w:r>
              <w:rPr>
                <w:rFonts w:ascii="Times New Roman" w:cs="Times New Roman" w:eastAsia="Times New Roman" w:hAnsi="Times New Roman"/>
                <w:sz w:val="20"/>
                <w:szCs w:val="20"/>
                <w:color w:val="auto"/>
                <w:vertAlign w:val="superscript"/>
              </w:rPr>
              <w:t>(2)</w:t>
            </w:r>
          </w:p>
        </w:tc>
        <w:tc>
          <w:tcPr>
            <w:tcW w:w="440" w:type="dxa"/>
            <w:vAlign w:val="bottom"/>
            <w:tcBorders>
              <w:left w:val="single" w:sz="8" w:color="CFF0FC"/>
            </w:tcBorders>
            <w:shd w:val="clear" w:color="auto" w:fill="CFF0FC"/>
          </w:tcPr>
          <w:p>
            <w:pPr>
              <w:spacing w:after="0"/>
              <w:rPr>
                <w:sz w:val="15"/>
                <w:szCs w:val="15"/>
                <w:color w:val="auto"/>
              </w:rPr>
            </w:pPr>
          </w:p>
        </w:tc>
        <w:tc>
          <w:tcPr>
            <w:tcW w:w="880" w:type="dxa"/>
            <w:vAlign w:val="bottom"/>
            <w:gridSpan w:val="4"/>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8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440" w:type="dxa"/>
            <w:vAlign w:val="bottom"/>
          </w:tcPr>
          <w:p>
            <w:pPr>
              <w:jc w:val="right"/>
              <w:ind w:right="2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513.1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505.9</w:t>
            </w:r>
          </w:p>
        </w:tc>
        <w:tc>
          <w:tcPr>
            <w:tcW w:w="100" w:type="dxa"/>
            <w:vAlign w:val="bottom"/>
          </w:tcPr>
          <w:p>
            <w:pPr>
              <w:spacing w:after="0"/>
              <w:rPr>
                <w:sz w:val="15"/>
                <w:szCs w:val="15"/>
                <w:color w:val="auto"/>
              </w:rPr>
            </w:pPr>
          </w:p>
        </w:tc>
        <w:tc>
          <w:tcPr>
            <w:tcW w:w="2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(1)Table may not sum due to rounding.</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1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(2)Includes foreign exchange hedging activity.</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(3)Amounts round to less than $0.1 million.</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6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3"/>
                <w:szCs w:val="13"/>
                <w:color w:val="auto"/>
              </w:rPr>
            </w:pPr>
          </w:p>
        </w:tc>
        <w:tc>
          <w:tcPr>
            <w:tcW w:w="146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vMerge w:val="continue"/>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from investments</w:t>
            </w:r>
          </w:p>
        </w:tc>
        <w:tc>
          <w:tcPr>
            <w:tcW w:w="440" w:type="dxa"/>
            <w:vAlign w:val="bottom"/>
            <w:tcBorders>
              <w:lef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833.1</w:t>
            </w:r>
          </w:p>
        </w:tc>
        <w:tc>
          <w:tcPr>
            <w:tcW w:w="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592.8</w:t>
            </w: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222.3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 income</w:t>
            </w:r>
          </w:p>
        </w:tc>
        <w:tc>
          <w:tcPr>
            <w:tcW w:w="4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440" w:type="dxa"/>
            <w:vAlign w:val="bottom"/>
            <w:tcBorders>
              <w:left w:val="single" w:sz="8" w:color="CFF0FC"/>
            </w:tcBorders>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20" w:type="dxa"/>
            <w:vAlign w:val="bottom"/>
            <w:shd w:val="clear" w:color="auto" w:fill="CFF0FC"/>
          </w:tcPr>
          <w:p>
            <w:pPr>
              <w:spacing w:after="0"/>
              <w:rPr>
                <w:sz w:val="11"/>
                <w:szCs w:val="11"/>
                <w:color w:val="auto"/>
              </w:rPr>
            </w:pPr>
          </w:p>
        </w:tc>
        <w:tc>
          <w:tcPr>
            <w:tcW w:w="44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4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440" w:type="dxa"/>
            <w:vAlign w:val="bottom"/>
            <w:tcBorders>
              <w:lef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948.7</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668.8</w:t>
            </w:r>
          </w:p>
        </w:tc>
        <w:tc>
          <w:tcPr>
            <w:tcW w:w="16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246.1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76" w:lineRule="exact"/>
        <w:rPr>
          <w:sz w:val="20"/>
          <w:szCs w:val="20"/>
          <w:color w:val="auto"/>
        </w:rPr>
      </w:pPr>
    </w:p>
    <w:p>
      <w:pPr>
        <w:ind w:right="40" w:firstLine="216"/>
        <w:spacing w:after="0" w:line="239"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$592.8 million for the year ended December 31, 2024, to $833.1 million for the year ended December 31, 2025. The increase in interest from investments was primarily the result of growth in our investment portfolio. Paid-in-kind interest income increased from $34.7 million for the year ended December 31, 2024, to $70.7 million for the year ended December 31, 2025, primarily due to increased PIK investments. Dividend income increased from $ 5.3 million for the year ended December 31, 2024, to $6.3 million for the year ended December 31, 2025. Other income increased from $36.0 million for the year ended December 31, 2024, to $38.6 million for the year ended December 31, 2025, primarily due to increased miscellaneous fees earned.</w:t>
      </w:r>
    </w:p>
    <w:p>
      <w:pPr>
        <w:spacing w:after="0" w:line="161" w:lineRule="exact"/>
        <w:rPr>
          <w:sz w:val="20"/>
          <w:szCs w:val="20"/>
          <w:color w:val="auto"/>
        </w:rPr>
      </w:pPr>
    </w:p>
    <w:p>
      <w:pPr>
        <w:ind w:right="80" w:firstLine="216"/>
        <w:spacing w:after="0" w:line="243"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$222.3 million for the year ended December 31, 2023, to $592.8 million for the year ended December 31, 2024. The increase in interest from investments was primarily the result of growth in our investment portfolio. Paid-in-kind interest income increased from $14.4 for the year ended December 31, 2023, to $34.7 million for the year ended December 31, 2024. There was no dividend income for the year ended</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09" w:right="700" w:bottom="1440" w:gutter="0" w:footer="0" w:header="0"/>
        </w:sectPr>
      </w:pPr>
    </w:p>
    <w:bookmarkStart w:id="72" w:name="page73"/>
    <w:bookmarkEnd w:id="72"/>
    <w:p>
      <w:pPr>
        <w:ind w:right="380"/>
        <w:spacing w:after="0" w:line="259" w:lineRule="auto"/>
        <w:rPr>
          <w:sz w:val="20"/>
          <w:szCs w:val="20"/>
          <w:color w:val="auto"/>
        </w:rPr>
      </w:pPr>
      <w:r>
        <w:rPr>
          <w:rFonts w:ascii="Times New Roman" w:cs="Times New Roman" w:eastAsia="Times New Roman" w:hAnsi="Times New Roman"/>
          <w:sz w:val="16"/>
          <w:szCs w:val="16"/>
          <w:color w:val="auto"/>
        </w:rPr>
        <w:t>December 31, 2023. For the year ended December 31, 2024, we had dividend income of $5.3 million. Other income increased from $9.4 million for the year ended December 31, 2023, to $36.0 million for the year ended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years ended December 31, 2025, December 31, 2024 and December 31, 2023, were as follows: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3"/>
                <w:szCs w:val="13"/>
                <w:color w:val="auto"/>
              </w:rPr>
            </w:pPr>
          </w:p>
        </w:tc>
        <w:tc>
          <w:tcPr>
            <w:tcW w:w="2800" w:type="dxa"/>
            <w:vAlign w:val="bottom"/>
            <w:gridSpan w:val="6"/>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233.9</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192.0</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fees (net of waivers)</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0"/>
        </w:trPr>
        <w:tc>
          <w:tcPr>
            <w:tcW w:w="5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investment income</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capital gains (losses)</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5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Organizational and offering expense</w:t>
            </w: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5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0"/>
        </w:trPr>
        <w:tc>
          <w:tcPr>
            <w:tcW w:w="5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Trustees fees</w:t>
            </w: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80"/>
        </w:trPr>
        <w:tc>
          <w:tcPr>
            <w:tcW w:w="5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general and administrative</w:t>
            </w:r>
          </w:p>
        </w:tc>
        <w:tc>
          <w:tcPr>
            <w:tcW w:w="28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2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0"/>
        </w:trPr>
        <w:tc>
          <w:tcPr>
            <w:tcW w:w="5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Expenses</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362.0</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expense, including other debt financing costs, increased from $192.0 million for the year ended December 31, 2024, to $233.9 million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This increase was primarily due to an increase in average debt outstanding from $2,519.0 million for the year ended December 31, 2024, to</w:t>
      </w:r>
    </w:p>
    <w:p>
      <w:pPr>
        <w:spacing w:after="0"/>
        <w:rPr>
          <w:sz w:val="20"/>
          <w:szCs w:val="20"/>
          <w:color w:val="auto"/>
        </w:rPr>
      </w:pPr>
      <w:r>
        <w:rPr>
          <w:rFonts w:ascii="Times New Roman" w:cs="Times New Roman" w:eastAsia="Times New Roman" w:hAnsi="Times New Roman"/>
          <w:sz w:val="14"/>
          <w:szCs w:val="14"/>
          <w:color w:val="auto"/>
        </w:rPr>
        <w:t>$3,687.3 million for the year ended December 31, 2025. The average interest rate on our debt outstanding decreased from 7.1% for the year ended December 31,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5.8% for the year ended December 31, 2025 due to a change in SOFR rates and the mix of our debt financing sources.</w:t>
      </w:r>
    </w:p>
    <w:p>
      <w:pPr>
        <w:spacing w:after="0" w:line="170" w:lineRule="exact"/>
        <w:rPr>
          <w:sz w:val="20"/>
          <w:szCs w:val="20"/>
          <w:color w:val="auto"/>
        </w:rPr>
      </w:pPr>
    </w:p>
    <w:p>
      <w:pPr>
        <w:ind w:right="80" w:firstLine="216"/>
        <w:spacing w:after="0" w:line="243" w:lineRule="auto"/>
        <w:rPr>
          <w:sz w:val="20"/>
          <w:szCs w:val="20"/>
          <w:color w:val="auto"/>
        </w:rPr>
      </w:pPr>
      <w:r>
        <w:rPr>
          <w:rFonts w:ascii="Times New Roman" w:cs="Times New Roman" w:eastAsia="Times New Roman" w:hAnsi="Times New Roman"/>
          <w:sz w:val="16"/>
          <w:szCs w:val="16"/>
          <w:color w:val="auto"/>
        </w:rPr>
        <w:t>Interest expense, including other debt financing costs, increased from $72.4 million for the year ended December 31, 2023, to $192.0 million for the year ended December 31, 2024. This increase was primarily due to an increase in average debt outstanding from $876.9 million for the year ended December 31, 2023, to $2,519.0 million for the year ended December 31, 2024. The average interest rate on our debt outstanding decreased from 7.3% for the year ended December 31, 2023, to 7.1% for the year ended December 31, 2024, due to a change in the mix of our debt financing sources and a change in SOFR rates.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190" w:lineRule="exact"/>
        <w:rPr>
          <w:sz w:val="20"/>
          <w:szCs w:val="20"/>
          <w:color w:val="auto"/>
        </w:rPr>
      </w:pPr>
    </w:p>
    <w:p>
      <w:pPr>
        <w:ind w:right="160" w:firstLine="216"/>
        <w:spacing w:after="0" w:line="243" w:lineRule="auto"/>
        <w:rPr>
          <w:sz w:val="20"/>
          <w:szCs w:val="20"/>
          <w:color w:val="auto"/>
        </w:rPr>
      </w:pPr>
      <w:r>
        <w:rPr>
          <w:rFonts w:ascii="Times New Roman" w:cs="Times New Roman" w:eastAsia="Times New Roman" w:hAnsi="Times New Roman"/>
          <w:sz w:val="16"/>
          <w:szCs w:val="16"/>
          <w:color w:val="auto"/>
        </w:rPr>
        <w:t>Management Fees (gross of waivers) increased from $67.8 million for the year ended December 31, 2024, to $108.0 million for the year ended December 31, 2025 due to an increase in average assets for the year ended December 31, 2025, compared to the year ended December 31, 2024. Management Fees (net of waivers) increased from $24.0 million for the year ended December 31, 2024, to $40.1 million for the year ended December 31, 2025. For the years ended December 31, 2025 and December 31, 2024, the Adviser waived management fees of $67.9 million and $43.8 million, respectively.</w:t>
      </w:r>
    </w:p>
    <w:p>
      <w:pPr>
        <w:spacing w:after="0" w:line="167" w:lineRule="exact"/>
        <w:rPr>
          <w:sz w:val="20"/>
          <w:szCs w:val="20"/>
          <w:color w:val="auto"/>
        </w:rPr>
      </w:pPr>
    </w:p>
    <w:p>
      <w:pPr>
        <w:ind w:right="40" w:firstLine="216"/>
        <w:spacing w:after="0" w:line="243" w:lineRule="auto"/>
        <w:rPr>
          <w:sz w:val="20"/>
          <w:szCs w:val="20"/>
          <w:color w:val="auto"/>
        </w:rPr>
      </w:pPr>
      <w:r>
        <w:rPr>
          <w:rFonts w:ascii="Times New Roman" w:cs="Times New Roman" w:eastAsia="Times New Roman" w:hAnsi="Times New Roman"/>
          <w:sz w:val="16"/>
          <w:szCs w:val="16"/>
          <w:color w:val="auto"/>
        </w:rPr>
        <w:t>Management Fees (gross of waivers) increased from $25.2 million for the year ended December 31, 2023, to $67.8 million for the year ended December 31, 2024, due to an increase in average assets for the year ended December 31, 2024, compared to the year ended December 31, 2023. Management Fees (net of waivers) increased from $8.5 million for the year ended December 31, 2023, to $24.0 million for the year ended December 31, 2024. For the years ended December 31, 2024 and December 31, 2023, the Adviser waived Management Fees of $43.8 million and $16.7 million, respectively.</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90" w:lineRule="exact"/>
        <w:rPr>
          <w:sz w:val="20"/>
          <w:szCs w:val="20"/>
          <w:color w:val="auto"/>
        </w:rPr>
      </w:pPr>
    </w:p>
    <w:p>
      <w:pPr>
        <w:ind w:firstLine="216"/>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related to pre-incentive net investment income were $82.4 million, $54.7 million, and $19.3 million, respectively. The increase in Incentive Fees from 2024 to 2025 was primarily due to a larger average portfolio size for the year ended December 31, 2025 compared to the same period in 2024. For the years ended December 31, 2025, December 31, 2024 and December 31, 2023, $ (9.6) million, 17.8 million and $6.7 million, respectively, were accrued related to Capital Gains (Losses) Fees. As of December 31, 2025, these accrued Incentive Fees are not contractually payable to the Adviser.</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73" w:name="page74"/>
    <w:bookmarkEnd w:id="73"/>
    <w:p>
      <w:pPr>
        <w:ind w:left="220"/>
        <w:spacing w:after="0"/>
        <w:rPr>
          <w:sz w:val="20"/>
          <w:szCs w:val="20"/>
          <w:color w:val="auto"/>
        </w:rPr>
      </w:pPr>
      <w:r>
        <w:rPr>
          <w:rFonts w:ascii="Times New Roman" w:cs="Times New Roman" w:eastAsia="Times New Roman" w:hAnsi="Times New Roman"/>
          <w:sz w:val="16"/>
          <w:szCs w:val="16"/>
          <w:i w:val="1"/>
          <w:iCs w:val="1"/>
          <w:color w:val="auto"/>
        </w:rPr>
        <w:t>Organizational and Offering Expense</w:t>
      </w:r>
    </w:p>
    <w:p>
      <w:pPr>
        <w:spacing w:after="0" w:line="190" w:lineRule="exact"/>
        <w:rPr>
          <w:sz w:val="20"/>
          <w:szCs w:val="20"/>
          <w:color w:val="auto"/>
        </w:rPr>
      </w:pPr>
    </w:p>
    <w:p>
      <w:pPr>
        <w:ind w:firstLine="216"/>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2025, there were no organizational and offering expenses. Organizational and offering expenses increased from $1.1 million for the year ended December 31, 2023, to $1.4 million for the year ended December 31, 2024. We will not bear more than an amount equal to 0.10% of the aggregate capital commitments for organizational and offering expenses in connection with the offering of our Common Shares.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190" w:lineRule="exact"/>
        <w:rPr>
          <w:sz w:val="20"/>
          <w:szCs w:val="20"/>
          <w:color w:val="auto"/>
        </w:rPr>
      </w:pPr>
    </w:p>
    <w:p>
      <w:pPr>
        <w:ind w:right="140" w:firstLine="216"/>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$5.5 million for the year ended December 31, 2024, to $7.8 million for the year ended December 31, 2025. Trustee Fees increased from $0.5 million for the year ended December 31, 2024, to $0.7 million for the year ended December 31, 2025. Other general and administrative expenses increased from $5.8 million for the year ended December 31, 2024, to $6.7 million for the year ended December 31, 2025.</w:t>
      </w:r>
    </w:p>
    <w:p>
      <w:pPr>
        <w:spacing w:after="0" w:line="164" w:lineRule="exact"/>
        <w:rPr>
          <w:sz w:val="20"/>
          <w:szCs w:val="20"/>
          <w:color w:val="auto"/>
        </w:rPr>
      </w:pPr>
    </w:p>
    <w:p>
      <w:pPr>
        <w:ind w:right="120" w:firstLine="216"/>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$3.3 million for the year ended December 31, 2023, to $5.5 million for the year ended December 31, 2024. Trustee Fees decreased from $0.7 million for the year ended December 31, 2023, to $0.5 million for the year ended December 31, 2024. Other general and administrative expenses increased from $4.3 million for the year ended December 31, 2023, to $5.8 million for the year ended December 31,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elected to be treated as a RIC under Subchapter M of the Code, and we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67"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2025, December 31, 2024 and December 31, 2023, we recorded a net expense of less than $0.1 million, $2.2 million and $1.5 million, respectively, for U.S. federal excise tax and other taxes.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we recorded no provision pertaining to net unrealized gains or losses from our investments. For the calendar year ended December 31, 2025, we recognized a tax expense of $1.2 million pertaining to net realized gains. For the calendar years ended December 31, 2024 and December 31, 2023, there were no tax expenses related to net realized gains.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74" w:name="page75"/>
    <w:bookmarkEnd w:id="7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our net realized and unrealized gains (losses) for the years ended December 31, 2025, December 31, 2024 and December 31, 2023:</w:t>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3"/>
                <w:szCs w:val="13"/>
                <w:color w:val="auto"/>
              </w:rPr>
            </w:pPr>
          </w:p>
        </w:tc>
        <w:tc>
          <w:tcPr>
            <w:tcW w:w="2720" w:type="dxa"/>
            <w:vAlign w:val="bottom"/>
            <w:gridSpan w:val="8"/>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investments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4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investments</w:t>
            </w:r>
          </w:p>
        </w:tc>
        <w:tc>
          <w:tcPr>
            <w:tcW w:w="2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transactions </w:t>
            </w:r>
            <w:r>
              <w:rPr>
                <w:rFonts w:ascii="Times New Roman" w:cs="Times New Roman" w:eastAsia="Times New Roman" w:hAnsi="Times New Roman"/>
                <w:sz w:val="20"/>
                <w:szCs w:val="20"/>
                <w:color w:val="auto"/>
                <w:vertAlign w:val="superscript"/>
              </w:rPr>
              <w:t>(3)</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borrowings </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5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Income tax provision on net realized gains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7.1</w:t>
            </w:r>
          </w:p>
        </w:tc>
        <w:tc>
          <w:tcPr>
            <w:tcW w:w="4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(1.1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13"/>
                <w:szCs w:val="13"/>
                <w:color w:val="auto"/>
              </w:rPr>
            </w:pPr>
          </w:p>
        </w:tc>
        <w:tc>
          <w:tcPr>
            <w:tcW w:w="980" w:type="dxa"/>
            <w:vAlign w:val="bottom"/>
            <w:gridSpan w:val="2"/>
            <w:shd w:val="clear" w:color="auto" w:fill="CFF0FC"/>
          </w:tcPr>
          <w:p>
            <w:pPr>
              <w:spacing w:after="0"/>
              <w:rPr>
                <w:sz w:val="13"/>
                <w:szCs w:val="13"/>
                <w:color w:val="auto"/>
              </w:rPr>
            </w:pPr>
          </w:p>
        </w:tc>
        <w:tc>
          <w:tcPr>
            <w:tcW w:w="400" w:type="dxa"/>
            <w:vAlign w:val="bottom"/>
            <w:gridSpan w:val="2"/>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gains on investments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136.7</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(losses) on investments</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5"/>
        </w:trPr>
        <w:tc>
          <w:tcPr>
            <w:tcW w:w="55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Unrealized gains (losses) on foreign currency transactions </w:t>
            </w:r>
            <w:r>
              <w:rPr>
                <w:rFonts w:ascii="Times New Roman" w:cs="Times New Roman" w:eastAsia="Times New Roman" w:hAnsi="Times New Roman"/>
                <w:sz w:val="20"/>
                <w:szCs w:val="20"/>
                <w:color w:val="auto"/>
                <w:vertAlign w:val="superscript"/>
              </w:rPr>
              <w:t>(2)(3)</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65"/>
        </w:trPr>
        <w:tc>
          <w:tcPr>
            <w:tcW w:w="550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0"/>
        </w:trPr>
        <w:tc>
          <w:tcPr>
            <w:tcW w:w="5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spacing w:after="0"/>
              <w:rPr>
                <w:sz w:val="15"/>
                <w:szCs w:val="15"/>
                <w:color w:val="auto"/>
              </w:rPr>
            </w:pPr>
          </w:p>
        </w:tc>
        <w:tc>
          <w:tcPr>
            <w:tcW w:w="980" w:type="dxa"/>
            <w:vAlign w:val="bottom"/>
            <w:gridSpan w:val="2"/>
            <w:shd w:val="clear" w:color="auto" w:fill="CFF0FC"/>
          </w:tcPr>
          <w:p>
            <w:pPr>
              <w:spacing w:after="0"/>
              <w:rPr>
                <w:sz w:val="15"/>
                <w:szCs w:val="15"/>
                <w:color w:val="auto"/>
              </w:rPr>
            </w:pPr>
          </w:p>
        </w:tc>
        <w:tc>
          <w:tcPr>
            <w:tcW w:w="40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(80.9</w:t>
            </w:r>
            <w:r>
              <w:rPr>
                <w:rFonts w:ascii="Times New Roman" w:cs="Times New Roman" w:eastAsia="Times New Roman" w:hAnsi="Times New Roman"/>
                <w:sz w:val="18"/>
                <w:szCs w:val="18"/>
                <w:color w:val="auto"/>
                <w:vertAlign w:val="subscript"/>
              </w:rPr>
              <w:t>)</w:t>
            </w:r>
          </w:p>
        </w:tc>
        <w:tc>
          <w:tcPr>
            <w:tcW w:w="34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134.0</w:t>
            </w:r>
          </w:p>
        </w:tc>
        <w:tc>
          <w:tcPr>
            <w:tcW w:w="4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56.8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(2)Amounts round to less than $0.1 million.</w:t>
      </w:r>
    </w:p>
    <w:p>
      <w:pPr>
        <w:spacing w:after="0"/>
        <w:rPr>
          <w:sz w:val="20"/>
          <w:szCs w:val="20"/>
          <w:color w:val="auto"/>
        </w:rPr>
      </w:pPr>
      <w:r>
        <w:rPr>
          <w:rFonts w:ascii="Times New Roman" w:cs="Times New Roman" w:eastAsia="Times New Roman" w:hAnsi="Times New Roman"/>
          <w:sz w:val="16"/>
          <w:szCs w:val="16"/>
          <w:color w:val="auto"/>
        </w:rPr>
        <w:t>(3)Includes foreign exchange hedging activity.</w:t>
      </w:r>
    </w:p>
    <w:p>
      <w:pPr>
        <w:spacing w:after="0" w:line="158" w:lineRule="exact"/>
        <w:rPr>
          <w:sz w:val="20"/>
          <w:szCs w:val="20"/>
          <w:color w:val="auto"/>
        </w:rPr>
      </w:pPr>
    </w:p>
    <w:p>
      <w:pPr>
        <w:ind w:right="160" w:firstLine="267"/>
        <w:spacing w:after="0" w:line="237" w:lineRule="auto"/>
        <w:rPr>
          <w:sz w:val="20"/>
          <w:szCs w:val="20"/>
          <w:color w:val="auto"/>
        </w:rPr>
      </w:pPr>
      <w:r>
        <w:rPr>
          <w:rFonts w:ascii="Times New Roman" w:cs="Times New Roman" w:eastAsia="Times New Roman" w:hAnsi="Times New Roman"/>
          <w:sz w:val="16"/>
          <w:szCs w:val="16"/>
          <w:color w:val="auto"/>
        </w:rPr>
        <w:t>For the years ended December 31, 2025 and December 31, 2024, we had net realized gains on investments of $15.1 million and $3.7 million, respectively. For the year ended December 31, 2023, we had no net realized gains or losses on investments. For the years ended December 31, 2025 and December 31, 2024, we had net realized gains on foreign currency investments of $11.4 million and $0.9 million, respectively. For the year ended December 31, 2023, we had no realized gains or losses on foreign currency investments. For the years ended December 31, 2025, December 31, 2024 and December 31, 2023, we had net realized losses on foreign currency transactions of $8.7 million, net realized gains of $ 0.4 million and net realized losses of $1.1 million, respectively, primarily as a result of translating foreign currency related to our non-USD denominated investments. For the years ended December 31, 2025 and December 31, 2024, we had net realized losses on foreign currency borrowings of $9.4 million and net realized gains of $2.1 million, respectively, primarily as a result of payments on our revolving facility. For the year ended December 31, 2023, we had net realized losses on foreign currency borrowings of less than $0.1 million. For the year ended December 31, 2025, we recognized a tax expense of $1.2 million, pertaining to net realized gains. For the years ended December 31, 2024 and December 31, 2023, we had no tax expenses related to realized gains.</w:t>
      </w:r>
    </w:p>
    <w:p>
      <w:pPr>
        <w:spacing w:after="0" w:line="164"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2025, we had $194.5 million in unrealized gains on 50 portfolio company investments, which was offset by $143.0 million in unrealized losses on 38 portfolio company investments. Unrealized gains were primarily due to fluctuations in foreign exchange rates and positive portfolio company specific developments. Unrealized losses resulted from the reversal of prior period unrealized gains due to realizations of investments, widening credit spreads and negative portfolio company specific developments.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we had $136.7 million in unrealized gains on 47 portfolio company investments, which was offset by $33.7 million in unrealized losses on 24 portfolio company investments. Unrealized gains were driven by an increase in fair value, primarily due to changes in credit spreads and positive portfolio company specific developments. Unrealized losses resulted from negative credit related adjustments, the reversal of prior period unrealized gains due to realizations of fluctuations in foreign exchange rates.</w:t>
      </w:r>
    </w:p>
    <w:p>
      <w:pPr>
        <w:spacing w:after="0" w:line="155" w:lineRule="exact"/>
        <w:rPr>
          <w:sz w:val="20"/>
          <w:szCs w:val="20"/>
          <w:color w:val="auto"/>
        </w:rPr>
      </w:pPr>
    </w:p>
    <w:p>
      <w:pPr>
        <w:ind w:right="620" w:firstLine="228"/>
        <w:spacing w:after="0" w:line="331" w:lineRule="auto"/>
        <w:rPr>
          <w:sz w:val="20"/>
          <w:szCs w:val="20"/>
          <w:color w:val="auto"/>
        </w:rPr>
      </w:pPr>
      <w:r>
        <w:rPr>
          <w:rFonts w:ascii="Times New Roman" w:cs="Times New Roman" w:eastAsia="Times New Roman" w:hAnsi="Times New Roman"/>
          <w:sz w:val="14"/>
          <w:szCs w:val="14"/>
          <w:color w:val="auto"/>
        </w:rPr>
        <w:t>For the year ended December 31, 2023, we had $65.3 million in unrealized gains on 35 portfolio company investments, which was offset by $3.7 million in unrealized losses on two portfolio company investments. Unrealized gains were driven by an increase in fair value, primarily due to tightening credit spreads.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2025, we had unrealized losses of $132.3 million on foreign currency borrowings, as a result of fluctuations in the CAD, GBP, EUR and SEK exchange rates. For the year ended December 31, 2024, we had unrealized gains of $31.0 million on foreign currency borrowings, primarily as a result of fluctuations in the GBP, EUR and SEK exchange rates. For the year ended December 31, 2023, we had unrealized losses of $4.8 million on foreign currency borrowings, primarily as a result of fluctuations in the GBP and EUR exchange rates. For the years ended December 31, 2025, December 31, 2024 and December 31, 2023, we had unrealized losses of less than $0.1 million, unrealized gains of less than $0.1 million and unrealized losses of less than $0.1 million, respectively, on foreign currency transactions.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ind w:right="36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2022 through December 31, 2025, weighted by capital invested, our exited investments have generated an average realized gross internal rate of return to us of 19.1% (based on total capital invested of $2.0 million and total proceeds from these exited investments of $2.5 million). One hundred percent of these investments resulted in a realized gross internal rate of return to us of 10% or greater.</w:t>
      </w:r>
    </w:p>
    <w:p>
      <w:pPr>
        <w:spacing w:after="0" w:line="68"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68"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59"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59"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59"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6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6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1"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Credit Facilities to fund these investments. For the years ended December 31, 2025, December 31, 2024 and December 31, 2023, we had unrealized losses of $132.3 million, unrealized gains of $31.0 million, and unrealized losses of $ 4.8 million, respectively, on the translation of our non -U.S. dollar denominated debt into U.S. dollars; such amounts approximate the corresponding unrealized gains on the translation of our non-U.S. dollar denominated investments into U.S. dollars. See Note 2 for additional disclosure regarding our accounting for foreign currency. See Note 7 for additional disclosure regarding the amounts of outstanding debt denominated in each foreign currency at December 31, 2025. See our consolidated schedule of investments for additional disclosure regarding the foreign currency amounts (in both par and fair value) of our non-U.S. dollar denominated investments.</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76" w:name="page77"/>
    <w:bookmarkEnd w:id="7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right="100"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6"/>
          <w:szCs w:val="16"/>
          <w:i w:val="1"/>
          <w:iCs w:val="1"/>
          <w:color w:val="auto"/>
        </w:rPr>
        <w:t>Key Components of Our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—Leverage</w:t>
      </w:r>
      <w:r>
        <w:rPr>
          <w:rFonts w:ascii="Times New Roman" w:cs="Times New Roman" w:eastAsia="Times New Roman" w:hAnsi="Times New Roman"/>
          <w:sz w:val="16"/>
          <w:szCs w:val="16"/>
          <w:color w:val="auto"/>
        </w:rPr>
        <w:t>” above. As of December 31, 2025, December 31, 2024 and December 31, 2023, our asset coverage ratio was 200.8%, 193.0% and 245.6%,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220" w:firstLine="228"/>
        <w:spacing w:after="0" w:line="299" w:lineRule="auto"/>
        <w:rPr>
          <w:sz w:val="20"/>
          <w:szCs w:val="20"/>
          <w:color w:val="auto"/>
        </w:rPr>
      </w:pPr>
      <w:r>
        <w:rPr>
          <w:rFonts w:ascii="Times New Roman" w:cs="Times New Roman" w:eastAsia="Times New Roman" w:hAnsi="Times New Roman"/>
          <w:sz w:val="14"/>
          <w:szCs w:val="14"/>
          <w:color w:val="auto"/>
        </w:rPr>
        <w:t>Cash and cash equivalents as of December 31, 2025, taken together with cash available under our Credit Facilities and cash available from undrawn Capital Commitments, is expected to be sufficient for our investing activities and to conduct our operations in the near term. As of December 31, 2025, we had approximately $477.6 million and $617.1 million of availability on our Subscription Facility and Revolving Credit Facility, respectively, subject to asset coverage limitations.</w:t>
      </w:r>
    </w:p>
    <w:p>
      <w:pPr>
        <w:spacing w:after="0" w:line="131"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As of December 31, 2025, we had $454.7 million in cash and cash equivalents, including $47.7 million of restricted cash. During the year ended December 31, 2025, cash used in operating activities was $163.8 million, primarily attributable to funding portfolio investments of $2,811.5 million and a net change in unrealized gains on investments of $51.5 million, which was offset by repayments and proceeds from investments of $2,156.2 million, an increase in net assets resulting from operations of $513.1 million and other net operating activities of $29.9 million. Cash used in financing activities was $579.6 million during the period due to paydowns on debt of $3,650.3 million and other financing activities of $233.3 million, which was partially offset by borrowings of $3,304.0 million.</w:t>
      </w:r>
    </w:p>
    <w:p>
      <w:pPr>
        <w:spacing w:after="0" w:line="169" w:lineRule="exact"/>
        <w:rPr>
          <w:sz w:val="20"/>
          <w:szCs w:val="20"/>
          <w:color w:val="auto"/>
        </w:rPr>
      </w:pPr>
    </w:p>
    <w:p>
      <w:pPr>
        <w:ind w:right="30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2024, we had $ 1,198.0 million in cash and cash equivalents, including $43.4 million of restricted cash. During the year ended December 31, 2024, we used $3,672.1 million in cash from operating activities primarily attributable to funding portfolio investments of $4,763.4 million, net change in unrealized gains on investments of $103.0 million and other net operating activities of $96.4 million, which was offset by repayments and proceeds from investments of $784.8 million and an increase in net assets resulting from operations of $505.9 million. Cash provided by financing activities was $4,861.3 million during the period due to borrowings of $8,611.0 million and proceeds from capital calls of $1,999.7 million, which were partially offset by paydowns on debt of $5,484.7 million and other financing activities of $264.7 million.</w:t>
      </w:r>
    </w:p>
    <w:p>
      <w:pPr>
        <w:spacing w:after="0" w:line="17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As of December 31, 2023, we had $8.8 million in cash and cash equivalents. During the year ended December 31, 2023, we used $2,091.8 million in cash from operating activities primarily attributable to funding portfolio investments of $2,286.0 million and net change in unrealized gains on investments of $61.6 million, which was offset by repayments on investments of $80.1 million and other net operating activities of $175.5 million. Cash provided by financing activities was $1,826.0 million during the period due to borrowings of $2,886.7 million and proceeds from capital calls of $1,150.0 million, which were partially offset by paydowns on debt of $2,181.5 million and other financing activities of $29.2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60" w:firstLine="228"/>
        <w:spacing w:after="0" w:line="289" w:lineRule="auto"/>
        <w:rPr>
          <w:sz w:val="20"/>
          <w:szCs w:val="20"/>
          <w:color w:val="auto"/>
        </w:rPr>
      </w:pPr>
      <w:r>
        <w:rPr>
          <w:rFonts w:ascii="Times New Roman" w:cs="Times New Roman" w:eastAsia="Times New Roman" w:hAnsi="Times New Roman"/>
          <w:sz w:val="14"/>
          <w:szCs w:val="14"/>
          <w:color w:val="auto"/>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December 31, 2025, we had received Capital Commitments totaling $7.4 billion ($3.7 billion remaining undrawn). As of December 31, 2024, we had received Capital Commitments totaling $7.4 billion ($3.7 billion remaining undrawn).</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7" w:name="page78"/>
    <w:bookmarkEnd w:id="77"/>
    <w:p>
      <w:pPr>
        <w:spacing w:after="0" w:line="65" w:lineRule="exact"/>
        <w:rPr>
          <w:sz w:val="20"/>
          <w:szCs w:val="20"/>
          <w:color w:val="auto"/>
        </w:rPr>
      </w:pPr>
    </w:p>
    <w:p>
      <w:pPr>
        <w:jc w:val="both"/>
        <w:ind w:right="300" w:firstLine="228"/>
        <w:spacing w:after="0" w:line="247" w:lineRule="auto"/>
        <w:rPr>
          <w:sz w:val="20"/>
          <w:szCs w:val="20"/>
          <w:color w:val="auto"/>
        </w:rPr>
      </w:pPr>
      <w:r>
        <w:rPr>
          <w:rFonts w:ascii="Times New Roman" w:cs="Times New Roman" w:eastAsia="Times New Roman" w:hAnsi="Times New Roman"/>
          <w:sz w:val="16"/>
          <w:szCs w:val="16"/>
          <w:color w:val="auto"/>
        </w:rPr>
        <w:t>We issued no Common Shares and received no proceeds related to our capital drawdowns delivered pursuant to the Subscription Agreements for the year ended December 31, 2025. The following table summarizes the total Common Shares issued and proceeds received related to our capital drawdowns delivered pursuant to subscription agreements (the “Subscription Agreements”) for the year ended December 31, 2024:</w:t>
      </w:r>
    </w:p>
    <w:p>
      <w:pPr>
        <w:spacing w:after="0" w:line="356" w:lineRule="exact"/>
        <w:rPr>
          <w:sz w:val="20"/>
          <w:szCs w:val="20"/>
          <w:color w:val="auto"/>
        </w:rPr>
      </w:pPr>
    </w:p>
    <w:tbl>
      <w:tblPr>
        <w:tblLayout w:type="fixed"/>
        <w:tblInd w:w="70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Proceeds Received</w:t>
            </w: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 Share Issuance Date</w:t>
            </w:r>
          </w:p>
        </w:tc>
        <w:tc>
          <w:tcPr>
            <w:tcW w:w="23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Number of Common Shares Issued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 in millions)</w:t>
            </w: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6, 2024</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12,174,753</w:t>
            </w:r>
          </w:p>
        </w:tc>
        <w:tc>
          <w:tcPr>
            <w:tcW w:w="5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349.7</w:t>
            </w: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26, 2024</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5,174,155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w:t>
            </w: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25, 2024</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10,152,231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24, 2024</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8,280,854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250.0</w:t>
            </w: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17, 2024</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32,345,892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950.0</w:t>
            </w:r>
          </w:p>
        </w:tc>
      </w:tr>
      <w:tr>
        <w:trPr>
          <w:trHeight w:val="180"/>
        </w:trPr>
        <w:tc>
          <w:tcPr>
            <w:tcW w:w="4500" w:type="dxa"/>
            <w:vAlign w:val="bottom"/>
          </w:tcPr>
          <w:p>
            <w:pPr>
              <w:spacing w:after="0"/>
              <w:rPr>
                <w:sz w:val="15"/>
                <w:szCs w:val="15"/>
                <w:color w:val="auto"/>
              </w:rPr>
            </w:pP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68,127,885</w:t>
            </w:r>
          </w:p>
        </w:tc>
        <w:tc>
          <w:tcPr>
            <w:tcW w:w="5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1,999.7</w:t>
            </w:r>
          </w:p>
        </w:tc>
        <w:tc>
          <w:tcPr>
            <w:tcW w:w="10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9"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2025, we issued 6,077,657 shares to investors who have not opted out of our dividend reinvestment plan for proceeds of $177.7 million. During the year ended December 31, 2024, we issued 6,601,368 shares to investors who have not opted out of our dividend reinvestment plan for proceeds of $191.8 million.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 Facility</w:t>
      </w:r>
    </w:p>
    <w:p>
      <w:pPr>
        <w:spacing w:after="0" w:line="94"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September 1, 2022, we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12" w:lineRule="exact"/>
        <w:rPr>
          <w:sz w:val="20"/>
          <w:szCs w:val="20"/>
          <w:color w:val="auto"/>
        </w:rPr>
      </w:pPr>
    </w:p>
    <w:p>
      <w:pPr>
        <w:ind w:firstLine="228"/>
        <w:spacing w:after="0" w:line="277" w:lineRule="auto"/>
        <w:rPr>
          <w:sz w:val="20"/>
          <w:szCs w:val="20"/>
          <w:color w:val="auto"/>
        </w:rPr>
      </w:pPr>
      <w:r>
        <w:rPr>
          <w:rFonts w:ascii="Times New Roman" w:cs="Times New Roman" w:eastAsia="Times New Roman" w:hAnsi="Times New Roman"/>
          <w:sz w:val="14"/>
          <w:szCs w:val="14"/>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we exercised our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spacing w:after="0" w:line="50"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7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December 31, 2025, we had outstanding debt denominated in British pounds (GBP) of 10.3 million, and Euros (EUR) of 7.3 million on our Subscription Facility, included in the Outstanding Principal amount in the table below. As of December 31, 2024, we had outstanding debt denominated in British pounds (GBP) of 10.3 million, and Euro (EUR) of 7.3 million on the Subscription Facility, included in the outstanding principal amount in the table below.</w:t>
      </w:r>
    </w:p>
    <w:p>
      <w:pPr>
        <w:spacing w:after="0" w:line="71"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amount available for borrowing under the Subscription Facility is reduced by any letters of credit issued through the Subscription Facility. As of December 31, 2025 and December 31, 2024, we had no outstanding letters of credit issued through the Subscription Facility.</w:t>
      </w:r>
    </w:p>
    <w:p>
      <w:pPr>
        <w:spacing w:after="0" w:line="59" w:lineRule="exact"/>
        <w:rPr>
          <w:sz w:val="20"/>
          <w:szCs w:val="20"/>
          <w:color w:val="auto"/>
        </w:rPr>
      </w:pPr>
    </w:p>
    <w:p>
      <w:pPr>
        <w:ind w:right="640" w:firstLine="228"/>
        <w:spacing w:after="0" w:line="259" w:lineRule="auto"/>
        <w:rPr>
          <w:sz w:val="20"/>
          <w:szCs w:val="20"/>
          <w:color w:val="auto"/>
        </w:rPr>
      </w:pPr>
      <w:r>
        <w:rPr>
          <w:rFonts w:ascii="Times New Roman" w:cs="Times New Roman" w:eastAsia="Times New Roman" w:hAnsi="Times New Roman"/>
          <w:sz w:val="16"/>
          <w:szCs w:val="16"/>
          <w:color w:val="auto"/>
        </w:rPr>
        <w:t>The Subscription Facility includes customary events of default, as well as customary covenants, including restrictions on certain distributions and financial covenants.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8" w:name="page79"/>
    <w:bookmarkEnd w:id="78"/>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we were in compliance with the terms of the Subscription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jc w:val="both"/>
        <w:ind w:right="400" w:firstLine="228"/>
        <w:spacing w:after="0" w:line="247" w:lineRule="auto"/>
        <w:rPr>
          <w:sz w:val="20"/>
          <w:szCs w:val="20"/>
          <w:color w:val="auto"/>
        </w:rPr>
      </w:pPr>
      <w:r>
        <w:rPr>
          <w:rFonts w:ascii="Times New Roman" w:cs="Times New Roman" w:eastAsia="Times New Roman" w:hAnsi="Times New Roman"/>
          <w:sz w:val="16"/>
          <w:szCs w:val="16"/>
          <w:color w:val="auto"/>
        </w:rPr>
        <w:t>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64" w:lineRule="exact"/>
        <w:rPr>
          <w:sz w:val="20"/>
          <w:szCs w:val="20"/>
          <w:color w:val="auto"/>
        </w:rPr>
      </w:pPr>
    </w:p>
    <w:p>
      <w:pPr>
        <w:ind w:right="20" w:firstLine="228"/>
        <w:spacing w:after="0" w:line="236" w:lineRule="auto"/>
        <w:rPr>
          <w:sz w:val="20"/>
          <w:szCs w:val="20"/>
          <w:color w:val="auto"/>
        </w:rPr>
      </w:pPr>
      <w:r>
        <w:rPr>
          <w:rFonts w:ascii="Times New Roman" w:cs="Times New Roman" w:eastAsia="Times New Roman" w:hAnsi="Times New Roman"/>
          <w:sz w:val="16"/>
          <w:szCs w:val="16"/>
          <w:color w:val="auto"/>
        </w:rPr>
        <w:t>The aggregate commitments under the Revolving Credit Facility were $600 million and included an uncommitted accordion feature that allows us,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 Revolving Credit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an additional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and the stated maturity was extended to March 4, 2030. On August 26, 2025, the aggregate commitments under the Revolving Credit Facility were upsized to $2.425 billion, which included a term loan commitment of an additional $50 million, due at the stated maturity. On September 23, 2025, pursuant to the fourth amendment, the aggregate commitments under the Revolving Credit Facility were upsized to $2.675 billion, due at the stated maturity. The Revolving Credit Facility includes an uncommitted accordion feature that allows us, under certain circumstances, to increase the size of the Revolving Credit Facility to up to $3.42 billion. The Revolving Credit Facility will mature on March 4, 2030.</w:t>
      </w:r>
    </w:p>
    <w:p>
      <w:pPr>
        <w:spacing w:after="0" w:line="179"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spacing w:after="0" w:line="173"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68"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December 31, 2025, we had outstanding debt denominated in British pounds (GBP) of 244.7 million, Canadian dollars (CAD) of 142.0 million, Euros (EUR) 974.5 million and Swedish Krona (SEK) 218.0 million on its Revolving Credit Facility, included in the outstanding principal amount in the table below. As of December 31, 2024, we had outstanding debt denominated in British pounds (GBP) of 299.2 million, Euros (EUR) 640.1 million and Swedish Krona (SEK) 80.2 million on our Revolving Credit Facility, included in the outstanding principal amount in the table below.</w:t>
      </w:r>
    </w:p>
    <w:p>
      <w:pPr>
        <w:spacing w:after="0" w:line="73"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$100 million. As of December 31, 2025, we had $32.0 million in outstanding letters of credit issued through the Revolving Credit Facility. As of December 31, 2024, we had $5.9 million in outstanding letters of credit issued through the Revolving Credit Facility. The amount available for borrowing under the Revolving Credit Facility is reduced by any letters of credit issued through the Revolving Credit Facility.</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Revolving Credit Facility includes customary events of default (with customary care and notice provisions).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we were in compliance with the terms of the Revolving Credit Facility.</w:t>
      </w:r>
    </w:p>
    <w:p>
      <w:pPr>
        <w:spacing w:after="0" w:line="92" w:lineRule="exact"/>
        <w:rPr>
          <w:sz w:val="20"/>
          <w:szCs w:val="20"/>
          <w:color w:val="auto"/>
        </w:rPr>
      </w:pPr>
    </w:p>
    <w:p>
      <w:pPr>
        <w:ind w:left="5200" w:right="1740" w:hanging="4974"/>
        <w:spacing w:after="0" w:line="384" w:lineRule="auto"/>
        <w:rPr>
          <w:sz w:val="20"/>
          <w:szCs w:val="20"/>
          <w:color w:val="auto"/>
        </w:rPr>
      </w:pPr>
      <w:r>
        <w:rPr>
          <w:rFonts w:ascii="Times New Roman" w:cs="Times New Roman" w:eastAsia="Times New Roman" w:hAnsi="Times New Roman"/>
          <w:sz w:val="16"/>
          <w:szCs w:val="16"/>
          <w:color w:val="auto"/>
        </w:rPr>
        <w:t>For further details, see Note 7 "Debt - Revolving Credit Facility" to our consolidated financial statements included in this Annual Report.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73"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w:t>
      </w:r>
    </w:p>
    <w:p>
      <w:pPr>
        <w:spacing w:after="0" w:line="41"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our effective interest rate of the 2029 Notes is SOFR plus 2.45% (on a weighted average basis). The interest expense related to the 2029 Notes is offset by proceeds received from the interest rate swaps designated as a hedge. The swap adjusted interest expense is included as a component of interest expense on our Consolidated Statement of Operations. As of December 31, 2025 and December 31, 2024, the effective hedge interest rate swaps had a fair value of $15.1 million and $(1.1) million, respectively, which is offset within interest expense by an equal, but opposite, fair value change for the hedged risk on the 2029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January 2030 Notes</w:t>
      </w:r>
    </w:p>
    <w:p>
      <w:pPr>
        <w:spacing w:after="0" w:line="94" w:lineRule="exact"/>
        <w:rPr>
          <w:sz w:val="20"/>
          <w:szCs w:val="20"/>
          <w:color w:val="auto"/>
        </w:rPr>
      </w:pPr>
    </w:p>
    <w:p>
      <w:pPr>
        <w:ind w:right="340" w:firstLine="228"/>
        <w:spacing w:after="0" w:line="241" w:lineRule="auto"/>
        <w:rPr>
          <w:sz w:val="20"/>
          <w:szCs w:val="20"/>
          <w:color w:val="auto"/>
        </w:rPr>
      </w:pPr>
      <w:r>
        <w:rPr>
          <w:rFonts w:ascii="Times New Roman" w:cs="Times New Roman" w:eastAsia="Times New Roman" w:hAnsi="Times New Roman"/>
          <w:sz w:val="16"/>
          <w:szCs w:val="16"/>
          <w:color w:val="auto"/>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our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spacing w:after="0" w:line="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our Consolidated Statements of Operations. As of December 31, 2025 and December 31, 2024, the effective hedge interest rate swaps had a fair value of $(5.2) million and $(24.1) million, respectively, which is offset within interest expense by an equal, but opposite, fair value change for the hedged risk on the January 2030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2030 Notes</w:t>
      </w:r>
    </w:p>
    <w:p>
      <w:pPr>
        <w:spacing w:after="0" w:line="9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 annually commencing on July 15, 2025, and may be redeemed in whole or in part at our option at anytime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spacing w:after="0" w:line="73"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our Consolidated Statements of Operations. As of December 31, 2025, the effective hedge interest rate swaps had a fair value of $21.0 million which is offset within interest expense by an equal, but opposite, fair value change for the hedged risk on the July 2030 Notes.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80" w:name="page81"/>
    <w:bookmarkEnd w:id="80"/>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2025 and December 31, 2024:</w:t>
      </w: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2"/>
                <w:szCs w:val="12"/>
                <w:color w:val="auto"/>
              </w:rPr>
            </w:pPr>
          </w:p>
        </w:tc>
        <w:tc>
          <w:tcPr>
            <w:tcW w:w="126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54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40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5"/>
                <w:szCs w:val="15"/>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(3)(4)</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477.6</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FF0FC"/>
          </w:tcPr>
          <w:p>
            <w:pPr>
              <w:spacing w:after="0"/>
              <w:rPr>
                <w:sz w:val="15"/>
                <w:szCs w:val="15"/>
                <w:color w:val="auto"/>
              </w:rPr>
            </w:pP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617.1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2,010.4</w:t>
            </w:r>
          </w:p>
        </w:tc>
        <w:tc>
          <w:tcPr>
            <w:tcW w:w="80" w:type="dxa"/>
            <w:vAlign w:val="bottom"/>
          </w:tcPr>
          <w:p>
            <w:pPr>
              <w:spacing w:after="0"/>
              <w:rPr>
                <w:sz w:val="15"/>
                <w:szCs w:val="15"/>
                <w:color w:val="auto"/>
              </w:rPr>
            </w:pP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754.2</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20" w:type="dxa"/>
            <w:vAlign w:val="bottom"/>
          </w:tcPr>
          <w:p>
            <w:pPr>
              <w:spacing w:after="0"/>
              <w:rPr>
                <w:sz w:val="15"/>
                <w:szCs w:val="15"/>
                <w:color w:val="auto"/>
              </w:rPr>
            </w:pPr>
          </w:p>
        </w:tc>
        <w:tc>
          <w:tcPr>
            <w:tcW w:w="15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588.3</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758.5</w:t>
            </w:r>
          </w:p>
        </w:tc>
      </w:tr>
      <w:tr>
        <w:trPr>
          <w:trHeight w:val="180"/>
        </w:trPr>
        <w:tc>
          <w:tcPr>
            <w:tcW w:w="34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5,275.0</w:t>
            </w:r>
          </w:p>
        </w:tc>
        <w:tc>
          <w:tcPr>
            <w:tcW w:w="22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4,148.3</w:t>
            </w:r>
          </w:p>
        </w:tc>
        <w:tc>
          <w:tcPr>
            <w:tcW w:w="120" w:type="dxa"/>
            <w:vAlign w:val="bottom"/>
          </w:tcPr>
          <w:p>
            <w:pPr>
              <w:spacing w:after="0"/>
              <w:rPr>
                <w:sz w:val="15"/>
                <w:szCs w:val="15"/>
                <w:color w:val="auto"/>
              </w:rPr>
            </w:pPr>
          </w:p>
        </w:tc>
        <w:tc>
          <w:tcPr>
            <w:tcW w:w="4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1,094.7</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4,132.8</w:t>
            </w:r>
          </w:p>
        </w:tc>
        <w:tc>
          <w:tcPr>
            <w:tcW w:w="8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4"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6"/>
          <w:szCs w:val="16"/>
          <w:color w:val="auto"/>
        </w:rPr>
        <w:t>(2)The amount available may be subject to limitations related to the borrowing base under the Subscription Facility, Revolving Credit Facility, outstanding letters of credit issued and asset coverage requirements.</w:t>
      </w:r>
    </w:p>
    <w:p>
      <w:pPr>
        <w:spacing w:after="0" w:line="1"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16"/>
          <w:szCs w:val="16"/>
          <w:color w:val="auto"/>
        </w:rPr>
        <w:t>(3)The carrying values of the Subscription Facility, Revolving Credit Facility, 2029 Notes, January 2030 Notes and July 2030 Notes are presented net of deferred financing costs and original issue discounts totaling $1.0 million, $15.5 million, $11.0 million, $6.6 million and $12.4 million, respectively.</w:t>
      </w:r>
    </w:p>
    <w:p>
      <w:pPr>
        <w:spacing w:after="0" w:line="1" w:lineRule="exact"/>
        <w:rPr>
          <w:sz w:val="20"/>
          <w:szCs w:val="20"/>
          <w:color w:val="auto"/>
        </w:rPr>
      </w:pPr>
    </w:p>
    <w:p>
      <w:pPr>
        <w:jc w:val="both"/>
        <w:ind w:right="300"/>
        <w:spacing w:after="0" w:line="237" w:lineRule="auto"/>
        <w:rPr>
          <w:sz w:val="20"/>
          <w:szCs w:val="20"/>
          <w:color w:val="auto"/>
        </w:rPr>
      </w:pPr>
      <w:r>
        <w:rPr>
          <w:rFonts w:ascii="Times New Roman" w:cs="Times New Roman" w:eastAsia="Times New Roman" w:hAnsi="Times New Roman"/>
          <w:sz w:val="16"/>
          <w:szCs w:val="16"/>
          <w:color w:val="auto"/>
        </w:rPr>
        <w:t>(4)The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each resulting from a hedge accounting relationship.</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2"/>
                <w:szCs w:val="12"/>
                <w:color w:val="auto"/>
              </w:rPr>
            </w:pPr>
          </w:p>
        </w:tc>
        <w:tc>
          <w:tcPr>
            <w:tcW w:w="124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5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9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1,496.7</w:t>
            </w:r>
          </w:p>
        </w:tc>
        <w:tc>
          <w:tcPr>
            <w:tcW w:w="1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January 2030 Notes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600.0</w:t>
            </w:r>
          </w:p>
        </w:tc>
        <w:tc>
          <w:tcPr>
            <w:tcW w:w="20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567.3</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4,400.0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4,348.7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4,288.6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the Revolving Credit Facility and asset coverage requirements.</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and January 2030 Notes are presented net of deferred financing costs and original issue discounts totaling $3.0 million, $9.1 million, $14.2 million and $8.6 million, respectively.</w:t>
      </w:r>
    </w:p>
    <w:p>
      <w:pPr>
        <w:spacing w:after="0" w:line="1" w:lineRule="exact"/>
        <w:rPr>
          <w:sz w:val="20"/>
          <w:szCs w:val="20"/>
          <w:color w:val="auto"/>
        </w:rPr>
      </w:pPr>
    </w:p>
    <w:p>
      <w:pPr>
        <w:ind w:right="440"/>
        <w:spacing w:after="0" w:line="238" w:lineRule="auto"/>
        <w:rPr>
          <w:sz w:val="20"/>
          <w:szCs w:val="20"/>
          <w:color w:val="auto"/>
        </w:rPr>
      </w:pPr>
      <w:r>
        <w:rPr>
          <w:rFonts w:ascii="Times New Roman" w:cs="Times New Roman" w:eastAsia="Times New Roman" w:hAnsi="Times New Roman"/>
          <w:sz w:val="16"/>
          <w:szCs w:val="16"/>
          <w:color w:val="auto"/>
        </w:rPr>
        <w:t>(3)The carrying value of the 2029 Notes and January 2030 Notes are presented inclusive of an incremental $(1.1) million and $(24.1) million, respectively, which represents an adjustment in the carrying value of the 2029 Notes and January 2030 Notes, each resulting from a hedge accounting relationship.</w:t>
      </w:r>
    </w:p>
    <w:p>
      <w:pPr>
        <w:spacing w:after="0" w:line="169"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were in compliance with the terms of our debt arrangements. We intend to continue to utilize our Subscription and Credit Facilities to fund investments and for other general corporate purposes.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81" w:name="page82"/>
    <w:bookmarkEnd w:id="81"/>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192"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2025 and December 31, 2024, we had the following commitments to fund investments in current portfolio companies: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940" w:type="dxa"/>
            <w:vAlign w:val="bottom"/>
          </w:tcPr>
          <w:p>
            <w:pPr>
              <w:spacing w:after="0"/>
              <w:rPr>
                <w:sz w:val="14"/>
                <w:szCs w:val="14"/>
                <w:color w:val="auto"/>
              </w:rPr>
            </w:pPr>
          </w:p>
        </w:tc>
        <w:tc>
          <w:tcPr>
            <w:tcW w:w="168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Pr>
          <w:p>
            <w:pPr>
              <w:spacing w:after="0"/>
              <w:rPr>
                <w:sz w:val="14"/>
                <w:szCs w:val="14"/>
                <w:color w:val="auto"/>
              </w:rPr>
            </w:pPr>
          </w:p>
        </w:tc>
        <w:tc>
          <w:tcPr>
            <w:tcW w:w="172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4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Aledade, Inc. -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116.9</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Artisan Bidco, Inc. - Revolver</w:t>
            </w:r>
          </w:p>
        </w:tc>
        <w:tc>
          <w:tcPr>
            <w:tcW w:w="1940" w:type="dxa"/>
            <w:vAlign w:val="bottom"/>
          </w:tcPr>
          <w:p>
            <w:pPr>
              <w:spacing w:after="0"/>
              <w:rPr>
                <w:sz w:val="17"/>
                <w:szCs w:val="17"/>
                <w:color w:val="auto"/>
              </w:rPr>
            </w:pPr>
          </w:p>
        </w:tc>
        <w:tc>
          <w:tcPr>
            <w:tcW w:w="16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17"/>
                <w:szCs w:val="17"/>
                <w:color w:val="auto"/>
              </w:rPr>
            </w:pPr>
          </w:p>
        </w:tc>
        <w:tc>
          <w:tcPr>
            <w:tcW w:w="1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97"/>
        </w:trPr>
        <w:tc>
          <w:tcPr>
            <w:tcW w:w="48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26.6</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45.7</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940" w:type="dxa"/>
            <w:vAlign w:val="bottom"/>
          </w:tcPr>
          <w:p>
            <w:pPr>
              <w:spacing w:after="0"/>
              <w:rPr>
                <w:sz w:val="15"/>
                <w:szCs w:val="15"/>
                <w:color w:val="auto"/>
              </w:rPr>
            </w:pPr>
          </w:p>
        </w:tc>
        <w:tc>
          <w:tcPr>
            <w:tcW w:w="1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940" w:type="dxa"/>
            <w:vAlign w:val="bottom"/>
          </w:tcPr>
          <w:p>
            <w:pPr>
              <w:spacing w:after="0"/>
              <w:rPr>
                <w:sz w:val="15"/>
                <w:szCs w:val="15"/>
                <w:color w:val="auto"/>
              </w:rPr>
            </w:pPr>
          </w:p>
        </w:tc>
        <w:tc>
          <w:tcPr>
            <w:tcW w:w="1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3"/>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9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7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97"/>
        </w:trPr>
        <w:tc>
          <w:tcPr>
            <w:tcW w:w="4820" w:type="dxa"/>
            <w:vAlign w:val="bottom"/>
            <w:vMerge w:val="continue"/>
            <w:shd w:val="clear" w:color="auto" w:fill="CFF0FC"/>
          </w:tcPr>
          <w:p>
            <w:pPr>
              <w:spacing w:after="0"/>
              <w:rPr>
                <w:sz w:val="8"/>
                <w:szCs w:val="8"/>
                <w:color w:val="auto"/>
              </w:rPr>
            </w:pPr>
          </w:p>
        </w:tc>
        <w:tc>
          <w:tcPr>
            <w:tcW w:w="1940" w:type="dxa"/>
            <w:vAlign w:val="bottom"/>
            <w:shd w:val="clear" w:color="auto" w:fill="CFF0FC"/>
          </w:tcPr>
          <w:p>
            <w:pPr>
              <w:spacing w:after="0"/>
              <w:rPr>
                <w:sz w:val="8"/>
                <w:szCs w:val="8"/>
                <w:color w:val="auto"/>
              </w:rPr>
            </w:pPr>
          </w:p>
        </w:tc>
        <w:tc>
          <w:tcPr>
            <w:tcW w:w="16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7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940" w:type="dxa"/>
            <w:vAlign w:val="bottom"/>
          </w:tcPr>
          <w:p>
            <w:pPr>
              <w:spacing w:after="0"/>
              <w:rPr>
                <w:sz w:val="15"/>
                <w:szCs w:val="15"/>
                <w:color w:val="auto"/>
              </w:rPr>
            </w:pPr>
          </w:p>
        </w:tc>
        <w:tc>
          <w:tcPr>
            <w:tcW w:w="1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940" w:type="dxa"/>
            <w:vAlign w:val="bottom"/>
          </w:tcPr>
          <w:p>
            <w:pPr>
              <w:spacing w:after="0"/>
              <w:rPr>
                <w:sz w:val="15"/>
                <w:szCs w:val="15"/>
                <w:color w:val="auto"/>
              </w:rPr>
            </w:pPr>
          </w:p>
        </w:tc>
        <w:tc>
          <w:tcPr>
            <w:tcW w:w="1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Kaseware Intermediate Holding Company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194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194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6"/>
        </w:trPr>
        <w:tc>
          <w:tcPr>
            <w:tcW w:w="4820" w:type="dxa"/>
            <w:vAlign w:val="bottom"/>
          </w:tcPr>
          <w:p>
            <w:pPr>
              <w:spacing w:after="0"/>
              <w:rPr>
                <w:sz w:val="24"/>
                <w:szCs w:val="24"/>
                <w:color w:val="auto"/>
              </w:rPr>
            </w:pPr>
          </w:p>
        </w:tc>
        <w:tc>
          <w:tcPr>
            <w:tcW w:w="1940" w:type="dxa"/>
            <w:vAlign w:val="bottom"/>
          </w:tcPr>
          <w:p>
            <w:pPr>
              <w:jc w:val="right"/>
              <w:ind w:right="1322"/>
              <w:spacing w:after="0"/>
              <w:rPr>
                <w:sz w:val="20"/>
                <w:szCs w:val="20"/>
                <w:color w:val="auto"/>
              </w:rPr>
            </w:pPr>
            <w:r>
              <w:rPr>
                <w:rFonts w:ascii="Times New Roman" w:cs="Times New Roman" w:eastAsia="Times New Roman" w:hAnsi="Times New Roman"/>
                <w:sz w:val="16"/>
                <w:szCs w:val="16"/>
                <w:color w:val="auto"/>
              </w:rPr>
              <w:t>82</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82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RainFocus, LLC - Delayed Draw</w:t>
            </w:r>
          </w:p>
        </w:tc>
        <w:tc>
          <w:tcPr>
            <w:tcW w:w="7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7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720" w:type="dxa"/>
            <w:vAlign w:val="bottom"/>
          </w:tcPr>
          <w:p>
            <w:pPr>
              <w:spacing w:after="0"/>
              <w:rPr>
                <w:sz w:val="15"/>
                <w:szCs w:val="15"/>
                <w:color w:val="auto"/>
              </w:rPr>
            </w:pP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w:t>
            </w: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7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FF0FC"/>
          </w:tcPr>
          <w:p>
            <w:pPr>
              <w:spacing w:after="0"/>
              <w:rPr>
                <w:sz w:val="15"/>
                <w:szCs w:val="15"/>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7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5"/>
                <w:szCs w:val="15"/>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7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FF0FC"/>
          </w:tcPr>
          <w:p>
            <w:pPr>
              <w:spacing w:after="0"/>
              <w:rPr>
                <w:sz w:val="15"/>
                <w:szCs w:val="15"/>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7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5"/>
                <w:szCs w:val="15"/>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7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720" w:type="dxa"/>
            <w:vAlign w:val="bottom"/>
          </w:tcPr>
          <w:p>
            <w:pPr>
              <w:spacing w:after="0"/>
              <w:rPr>
                <w:sz w:val="15"/>
                <w:szCs w:val="15"/>
                <w:color w:val="auto"/>
              </w:rPr>
            </w:pPr>
          </w:p>
        </w:tc>
        <w:tc>
          <w:tcPr>
            <w:tcW w:w="10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5"/>
                <w:szCs w:val="15"/>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7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720" w:type="dxa"/>
            <w:vAlign w:val="bottom"/>
          </w:tcPr>
          <w:p>
            <w:pPr>
              <w:spacing w:after="0"/>
              <w:rPr>
                <w:sz w:val="15"/>
                <w:szCs w:val="15"/>
                <w:color w:val="auto"/>
              </w:rPr>
            </w:pP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228"/>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Sport Alliance GmbH - Revolver</w:t>
            </w:r>
          </w:p>
        </w:tc>
        <w:tc>
          <w:tcPr>
            <w:tcW w:w="7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720" w:type="dxa"/>
            <w:vAlign w:val="bottom"/>
          </w:tcPr>
          <w:p>
            <w:pPr>
              <w:spacing w:after="0"/>
              <w:rPr>
                <w:sz w:val="15"/>
                <w:szCs w:val="15"/>
                <w:color w:val="auto"/>
              </w:rPr>
            </w:pP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7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35.2</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FF0FC"/>
          </w:tcPr>
          <w:p>
            <w:pPr>
              <w:spacing w:after="0"/>
              <w:rPr>
                <w:sz w:val="15"/>
                <w:szCs w:val="15"/>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7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5"/>
                <w:szCs w:val="15"/>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7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7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7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FF0FC"/>
          </w:tcPr>
          <w:p>
            <w:pPr>
              <w:spacing w:after="0"/>
              <w:rPr>
                <w:sz w:val="15"/>
                <w:szCs w:val="15"/>
                <w:color w:val="auto"/>
              </w:rPr>
            </w:pPr>
          </w:p>
        </w:tc>
      </w:tr>
      <w:tr>
        <w:trPr>
          <w:trHeight w:val="180"/>
        </w:trPr>
        <w:tc>
          <w:tcPr>
            <w:tcW w:w="6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720" w:type="dxa"/>
            <w:vAlign w:val="bottom"/>
          </w:tcPr>
          <w:p>
            <w:pPr>
              <w:jc w:val="right"/>
              <w:ind w:right="5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857.8</w:t>
            </w:r>
          </w:p>
        </w:tc>
        <w:tc>
          <w:tcPr>
            <w:tcW w:w="104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1,050.4</w:t>
            </w:r>
          </w:p>
        </w:tc>
        <w:tc>
          <w:tcPr>
            <w:tcW w:w="10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did not have any unfunded commitments to fund investments to new borrowers that were not current portfolio companies as of such date.</w:t>
      </w:r>
    </w:p>
    <w:p>
      <w:pPr>
        <w:spacing w:after="0" w:line="59"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we may become a party to certain legal proceedings incidental to the normal course of our business. As of December 31, 2025 and December 31, 2024, management was not aware of any material pending or threatened litigation that would require accounting recognition or financial statement disclosure.</w:t>
      </w:r>
    </w:p>
    <w:p>
      <w:pPr>
        <w:spacing w:after="0" w:line="12"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59"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83" w:name="page84"/>
    <w:bookmarkEnd w:id="83"/>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December 31, 2025 is as follows:</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After 5 years</w:t>
            </w:r>
          </w:p>
        </w:tc>
        <w:tc>
          <w:tcPr>
            <w:tcW w:w="0" w:type="dxa"/>
            <w:vAlign w:val="bottom"/>
          </w:tcPr>
          <w:p>
            <w:pPr>
              <w:spacing w:after="0"/>
              <w:rPr>
                <w:sz w:val="1"/>
                <w:szCs w:val="1"/>
                <w:color w:val="auto"/>
              </w:rPr>
            </w:pP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3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4,148.3</w:t>
            </w:r>
          </w:p>
        </w:tc>
        <w:tc>
          <w:tcPr>
            <w:tcW w:w="120" w:type="dxa"/>
            <w:vAlign w:val="bottom"/>
          </w:tcPr>
          <w:p>
            <w:pPr>
              <w:spacing w:after="0"/>
              <w:rPr>
                <w:sz w:val="15"/>
                <w:szCs w:val="15"/>
                <w:color w:val="auto"/>
              </w:rPr>
            </w:pPr>
          </w:p>
        </w:tc>
        <w:tc>
          <w:tcPr>
            <w:tcW w:w="2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3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4,125.9</w:t>
            </w:r>
          </w:p>
        </w:tc>
        <w:tc>
          <w:tcPr>
            <w:tcW w:w="100" w:type="dxa"/>
            <w:vAlign w:val="bottom"/>
          </w:tcPr>
          <w:p>
            <w:pPr>
              <w:spacing w:after="0"/>
              <w:rPr>
                <w:sz w:val="15"/>
                <w:szCs w:val="15"/>
                <w:color w:val="auto"/>
              </w:rPr>
            </w:pPr>
          </w:p>
        </w:tc>
        <w:tc>
          <w:tcPr>
            <w:tcW w:w="48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96"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tax-exempt interest income over certain disallowed deductions) for such taxable year.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shareholders) generally will not be subject to U.S. federal income tax on investment company taxable income and net capital gains that we distribute to our shareholders.</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64"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4" w:name="page85"/>
    <w:bookmarkEnd w:id="84"/>
    <w:p>
      <w:pPr>
        <w:spacing w:after="0" w:line="65"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w:t>
      </w:r>
      <w:r>
        <w:rPr>
          <w:rFonts w:ascii="Times New Roman" w:cs="Times New Roman" w:eastAsia="Times New Roman" w:hAnsi="Times New Roman"/>
          <w:sz w:val="16"/>
          <w:szCs w:val="16"/>
          <w:i w:val="1"/>
          <w:iCs w:val="1"/>
          <w:color w:val="auto"/>
        </w:rPr>
        <w:t>"ITEM 1A. RISK FACTORS."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at Fair Value</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both"/>
        <w:ind w:right="80" w:firstLine="228"/>
        <w:spacing w:after="0" w:line="289" w:lineRule="auto"/>
        <w:rPr>
          <w:sz w:val="20"/>
          <w:szCs w:val="20"/>
          <w:color w:val="auto"/>
        </w:rPr>
      </w:pPr>
      <w:r>
        <w:rPr>
          <w:rFonts w:ascii="Times New Roman" w:cs="Times New Roman" w:eastAsia="Times New Roman" w:hAnsi="Times New Roman"/>
          <w:sz w:val="14"/>
          <w:szCs w:val="14"/>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estimated enterprise value of a portfolio company (that is, the total value of the portfolio company’s net debt and equity);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and realizable value of any collateral;</w:t>
      </w:r>
    </w:p>
    <w:p>
      <w:pPr>
        <w:spacing w:after="0" w:line="92" w:lineRule="exact"/>
        <w:rPr>
          <w:sz w:val="20"/>
          <w:szCs w:val="20"/>
          <w:color w:val="auto"/>
        </w:rPr>
      </w:pPr>
    </w:p>
    <w:p>
      <w:pPr>
        <w:ind w:left="240" w:right="4840"/>
        <w:spacing w:after="0" w:line="360" w:lineRule="auto"/>
        <w:rPr>
          <w:sz w:val="20"/>
          <w:szCs w:val="20"/>
          <w:color w:val="auto"/>
        </w:rPr>
      </w:pPr>
      <w:r>
        <w:rPr>
          <w:rFonts w:ascii="Times New Roman" w:cs="Times New Roman" w:eastAsia="Times New Roman" w:hAnsi="Times New Roman"/>
          <w:sz w:val="16"/>
          <w:szCs w:val="16"/>
          <w:color w:val="auto"/>
        </w:rPr>
        <w:t>•the portfolio company’s ability to make payments based on its earnings and cash flow; •the markets in which the portfolio company does business;</w:t>
      </w:r>
    </w:p>
    <w:p>
      <w:pPr>
        <w:ind w:left="240"/>
        <w:spacing w:after="0"/>
        <w:rPr>
          <w:sz w:val="20"/>
          <w:szCs w:val="20"/>
          <w:color w:val="auto"/>
        </w:rPr>
      </w:pPr>
      <w:r>
        <w:rPr>
          <w:rFonts w:ascii="Times New Roman" w:cs="Times New Roman" w:eastAsia="Times New Roman" w:hAnsi="Times New Roman"/>
          <w:sz w:val="16"/>
          <w:szCs w:val="16"/>
          <w:color w:val="auto"/>
        </w:rPr>
        <w:t>•a comparison of the portfolio company’s securities to any similar publicly traded securities;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•overall changes in the interest rate environment and the credit markets that may affect the price at which similar investments may be made in the future.</w:t>
      </w:r>
    </w:p>
    <w:p>
      <w:pPr>
        <w:spacing w:after="0" w:line="188"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the Board considers whether the pricing indicated by the external event corroborates our valuation.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5" w:name="page86"/>
    <w:bookmarkEnd w:id="85"/>
    <w:p>
      <w:pPr>
        <w:ind w:right="1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Agreed-upon valuation recommendations are presented to the Audit Committee.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conduct this valuation process on a quarterly basis.</w:t>
      </w:r>
    </w:p>
    <w:p>
      <w:pPr>
        <w:spacing w:after="0" w:line="188"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6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 xml:space="preserve">We apply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we have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our position.</w:t>
      </w:r>
    </w:p>
    <w:p>
      <w:pPr>
        <w:spacing w:after="0" w:line="173"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See Note 4 to our consolidated financial statements included in this Form 10-K for more information on the fair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Dividend Income Recognition</w:t>
      </w:r>
    </w:p>
    <w:p>
      <w:pPr>
        <w:spacing w:after="0" w:line="96"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55"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86" w:name="page87"/>
    <w:bookmarkEnd w:id="86"/>
    <w:p>
      <w:pPr>
        <w:spacing w:after="0" w:line="6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Taxes</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BDC under the 1940 Act. We have also elected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financial statements to determine whether the tax positions are “more -likely-than-not” to be sustained by the applicable tax authority. Tax positions not deemed to meet the “more-likely- 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we did not have any uncertain tax positions that met the recognition or measurement criteria, nor did we have any unrecognized tax benefits. Our 2024, 2023 and 2022 tax year returns remain subject to examination by the relevant federal, state, and local tax authorities.</w:t>
      </w:r>
    </w:p>
    <w:p>
      <w:pPr>
        <w:spacing w:after="0" w:line="173"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96.9% of our debt investments based on fair value in our portfolio bore interest at floating rates, with 100% of these subject to interest rate floors. Our Credit Facilities also bear interest at floating rates, and in connection with our 2029 Notes, January 2030 Notes and July 2030 Notes, which bear interest at fixed rates, we entered into fixed-to-floating interest rate swaps in order to align the interest rates of our liabilities with our investment portfolio.</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7" w:name="page88"/>
    <w:bookmarkEnd w:id="87"/>
    <w:p>
      <w:pPr>
        <w:spacing w:after="0" w:line="65" w:lineRule="exact"/>
        <w:rPr>
          <w:sz w:val="20"/>
          <w:szCs w:val="20"/>
          <w:color w:val="auto"/>
        </w:rPr>
      </w:pPr>
    </w:p>
    <w:p>
      <w:pPr>
        <w:ind w:right="52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December 31,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54"/>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1840" w:type="dxa"/>
            <w:vAlign w:val="bottom"/>
          </w:tcPr>
          <w:p>
            <w:pPr>
              <w:spacing w:after="0"/>
              <w:rPr>
                <w:sz w:val="14"/>
                <w:szCs w:val="14"/>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220" w:type="dxa"/>
            <w:vAlign w:val="bottom"/>
          </w:tcPr>
          <w:p>
            <w:pPr>
              <w:spacing w:after="0"/>
              <w:rPr>
                <w:sz w:val="14"/>
                <w:szCs w:val="14"/>
                <w:color w:val="auto"/>
              </w:rPr>
            </w:pPr>
          </w:p>
        </w:tc>
        <w:tc>
          <w:tcPr>
            <w:tcW w:w="126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3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180"/>
        </w:trPr>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300 basis points</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232.7</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124.4</w:t>
            </w:r>
          </w:p>
        </w:tc>
        <w:tc>
          <w:tcPr>
            <w:tcW w:w="54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108.3</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Up 200 basis points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155.1</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83.0</w:t>
            </w:r>
          </w:p>
        </w:tc>
        <w:tc>
          <w:tcPr>
            <w:tcW w:w="540" w:type="dxa"/>
            <w:vAlign w:val="bottom"/>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72.1</w:t>
            </w:r>
          </w:p>
        </w:tc>
      </w:tr>
      <w:tr>
        <w:trPr>
          <w:trHeight w:val="180"/>
        </w:trPr>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100 basis points</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54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36.1</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25 basis points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540" w:type="dxa"/>
            <w:vAlign w:val="bottom"/>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r>
      <w:tr>
        <w:trPr>
          <w:trHeight w:val="180"/>
        </w:trPr>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50 basis points</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(38.8)</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54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75 basis points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(27.0)</w:t>
            </w:r>
          </w:p>
        </w:tc>
      </w:tr>
      <w:tr>
        <w:trPr>
          <w:trHeight w:val="180"/>
        </w:trPr>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100 basis points</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(77.5)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54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r>
    </w:tbl>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0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right="180"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9"/>
        </w:trPr>
        <w:tc>
          <w:tcPr>
            <w:tcW w:w="9340" w:type="dxa"/>
            <w:vAlign w:val="bottom"/>
            <w:gridSpan w:val="8"/>
          </w:tcPr>
          <w:p>
            <w:pPr>
              <w:spacing w:after="0" w:line="169"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Report of Independent Registered Public Accounting Firm</w:t>
              </w:r>
            </w:hyperlink>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F-2</w:t>
            </w:r>
          </w:p>
        </w:tc>
      </w:tr>
      <w:tr>
        <w:trPr>
          <w:trHeight w:val="20"/>
        </w:trPr>
        <w:tc>
          <w:tcPr>
            <w:tcW w:w="2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80"/>
        </w:trPr>
        <w:tc>
          <w:tcPr>
            <w:tcW w:w="490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91">
              <w:r>
                <w:rPr>
                  <w:rFonts w:ascii="Times New Roman" w:cs="Times New Roman" w:eastAsia="Times New Roman" w:hAnsi="Times New Roman"/>
                  <w:sz w:val="16"/>
                  <w:szCs w:val="16"/>
                  <w:color w:val="0000FF"/>
                  <w:w w:val="97"/>
                </w:rPr>
                <w:t>Consolidated Balance Sheet as of December 31, 2025 and December 31, 2024</w:t>
              </w:r>
            </w:hyperlink>
          </w:p>
        </w:tc>
        <w:tc>
          <w:tcPr>
            <w:tcW w:w="444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F-3</w:t>
            </w:r>
          </w:p>
        </w:tc>
      </w:tr>
      <w:tr>
        <w:trPr>
          <w:trHeight w:val="280"/>
        </w:trPr>
        <w:tc>
          <w:tcPr>
            <w:tcW w:w="778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92">
              <w:r>
                <w:rPr>
                  <w:rFonts w:ascii="Times New Roman" w:cs="Times New Roman" w:eastAsia="Times New Roman" w:hAnsi="Times New Roman"/>
                  <w:sz w:val="16"/>
                  <w:szCs w:val="16"/>
                  <w:color w:val="0000FF"/>
                  <w:w w:val="97"/>
                </w:rPr>
                <w:t>Consolidated Statement of Operations for the Years Ended December 31, 2025, December 31, 2024 and December 31, 2023</w:t>
              </w:r>
            </w:hyperlink>
          </w:p>
        </w:tc>
        <w:tc>
          <w:tcPr>
            <w:tcW w:w="15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F-4</w:t>
            </w:r>
          </w:p>
        </w:tc>
      </w:tr>
      <w:tr>
        <w:trPr>
          <w:trHeight w:val="280"/>
        </w:trPr>
        <w:tc>
          <w:tcPr>
            <w:tcW w:w="556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93">
              <w:r>
                <w:rPr>
                  <w:rFonts w:ascii="Times New Roman" w:cs="Times New Roman" w:eastAsia="Times New Roman" w:hAnsi="Times New Roman"/>
                  <w:sz w:val="16"/>
                  <w:szCs w:val="16"/>
                  <w:color w:val="0000FF"/>
                  <w:w w:val="97"/>
                </w:rPr>
                <w:t>Consolidated Schedule of Investments as of December 31, 2025 and December 31, 2024</w:t>
              </w:r>
            </w:hyperlink>
          </w:p>
        </w:tc>
        <w:tc>
          <w:tcPr>
            <w:tcW w:w="378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w:t>
            </w:r>
          </w:p>
        </w:tc>
      </w:tr>
      <w:tr>
        <w:trPr>
          <w:trHeight w:val="280"/>
        </w:trPr>
        <w:tc>
          <w:tcPr>
            <w:tcW w:w="850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104">
              <w:r>
                <w:rPr>
                  <w:rFonts w:ascii="Times New Roman" w:cs="Times New Roman" w:eastAsia="Times New Roman" w:hAnsi="Times New Roman"/>
                  <w:sz w:val="16"/>
                  <w:szCs w:val="16"/>
                  <w:color w:val="0000FF"/>
                  <w:w w:val="97"/>
                </w:rPr>
                <w:t>Consolidated Statement of Changes in Net Assets for the Years Ended December 31, 2025, December 31, 2024 and December 31, 2023</w:t>
              </w:r>
            </w:hyperlink>
          </w:p>
        </w:tc>
        <w:tc>
          <w:tcPr>
            <w:tcW w:w="8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F-16</w:t>
            </w:r>
          </w:p>
        </w:tc>
      </w:tr>
      <w:tr>
        <w:trPr>
          <w:trHeight w:val="280"/>
        </w:trPr>
        <w:tc>
          <w:tcPr>
            <w:tcW w:w="776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05">
              <w:r>
                <w:rPr>
                  <w:rFonts w:ascii="Times New Roman" w:cs="Times New Roman" w:eastAsia="Times New Roman" w:hAnsi="Times New Roman"/>
                  <w:sz w:val="16"/>
                  <w:szCs w:val="16"/>
                  <w:color w:val="0000FF"/>
                  <w:w w:val="97"/>
                </w:rPr>
                <w:t xml:space="preserve">Consolidated Statement of Cash Flows </w:t>
              </w:r>
            </w:hyperlink>
            <w:hyperlink w:anchor="page92">
              <w:r>
                <w:rPr>
                  <w:rFonts w:ascii="Times New Roman" w:cs="Times New Roman" w:eastAsia="Times New Roman" w:hAnsi="Times New Roman"/>
                  <w:sz w:val="16"/>
                  <w:szCs w:val="16"/>
                  <w:color w:val="0000FF"/>
                  <w:w w:val="97"/>
                </w:rPr>
                <w:t>for the Year Ended December 31, 2025, December 31, 2024 and December 31, 2023</w:t>
              </w:r>
            </w:hyperlink>
          </w:p>
        </w:tc>
        <w:tc>
          <w:tcPr>
            <w:tcW w:w="158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F-17</w:t>
            </w:r>
          </w:p>
        </w:tc>
      </w:tr>
      <w:tr>
        <w:trPr>
          <w:trHeight w:val="280"/>
        </w:trPr>
        <w:tc>
          <w:tcPr>
            <w:tcW w:w="9340" w:type="dxa"/>
            <w:vAlign w:val="bottom"/>
            <w:gridSpan w:val="8"/>
          </w:tcPr>
          <w:p>
            <w:pPr>
              <w:spacing w:after="0"/>
              <w:rPr>
                <w:rFonts w:ascii="Times New Roman" w:cs="Times New Roman" w:eastAsia="Times New Roman" w:hAnsi="Times New Roman"/>
                <w:sz w:val="16"/>
                <w:szCs w:val="16"/>
                <w:color w:val="0000FF"/>
              </w:rPr>
            </w:pPr>
            <w:hyperlink w:anchor="page106">
              <w:r>
                <w:rPr>
                  <w:rFonts w:ascii="Times New Roman" w:cs="Times New Roman" w:eastAsia="Times New Roman" w:hAnsi="Times New Roman"/>
                  <w:sz w:val="16"/>
                  <w:szCs w:val="16"/>
                  <w:color w:val="0000FF"/>
                </w:rPr>
                <w:t>Notes to Consolidated Financial Statements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F-18</w:t>
            </w:r>
          </w:p>
        </w:tc>
      </w:tr>
      <w:tr>
        <w:trPr>
          <w:trHeight w:val="374"/>
        </w:trPr>
        <w:tc>
          <w:tcPr>
            <w:tcW w:w="27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4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auto"/>
              </w:rPr>
              <w:t>F-1</w:t>
            </w:r>
          </w:p>
        </w:tc>
        <w:tc>
          <w:tcPr>
            <w:tcW w:w="1220" w:type="dxa"/>
            <w:vAlign w:val="bottom"/>
          </w:tcPr>
          <w:p>
            <w:pPr>
              <w:spacing w:after="0"/>
              <w:rPr>
                <w:sz w:val="24"/>
                <w:szCs w:val="24"/>
                <w:color w:val="auto"/>
              </w:rPr>
            </w:pPr>
          </w:p>
        </w:tc>
      </w:tr>
      <w:tr>
        <w:trPr>
          <w:trHeight w:val="674"/>
        </w:trPr>
        <w:tc>
          <w:tcPr>
            <w:tcW w:w="27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Trustees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Lending Partners: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7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Sixth Street Lending Partners and subsidiaries (the Company), including the consolidated schedules of investments, as of December 31, 2025 and 2024, the related consolidated statements of operations, changes in net assets,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2025 and 2024,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13, 2026</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of $7,892,866 and $7,079,994,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8,108,654</w:t>
            </w:r>
          </w:p>
        </w:tc>
        <w:tc>
          <w:tcPr>
            <w:tcW w:w="1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7,244,282</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of $47,671 and $43,371, respectively)</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75,018</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67,896</w:t>
            </w: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52,948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8,691,301</w:t>
            </w:r>
          </w:p>
        </w:tc>
        <w:tc>
          <w:tcPr>
            <w:tcW w:w="1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8,513,442</w:t>
            </w:r>
          </w:p>
        </w:tc>
        <w:tc>
          <w:tcPr>
            <w:tcW w:w="80" w:type="dxa"/>
            <w:vAlign w:val="bottom"/>
            <w:shd w:val="clear" w:color="auto" w:fill="CFF0FC"/>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68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(net of deferred financing costs of $37,041 and $28,306,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4,132,825</w:t>
            </w:r>
          </w:p>
        </w:tc>
        <w:tc>
          <w:tcPr>
            <w:tcW w:w="1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4,288,601</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6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10,261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19,818</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16,232</w:t>
            </w: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6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14,922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24,549</w:t>
            </w: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payables to affiliate</w:t>
            </w:r>
          </w:p>
        </w:tc>
        <w:tc>
          <w:tcPr>
            <w:tcW w:w="2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Dividends payable</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260,389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93,939</w:t>
            </w: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78,405</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42,605</w:t>
            </w:r>
          </w:p>
        </w:tc>
      </w:tr>
      <w:tr>
        <w:trPr>
          <w:trHeight w:val="156"/>
        </w:trPr>
        <w:tc>
          <w:tcPr>
            <w:tcW w:w="20" w:type="dxa"/>
            <w:vAlign w:val="bottom"/>
          </w:tcPr>
          <w:p>
            <w:pPr>
              <w:spacing w:after="0"/>
              <w:rPr>
                <w:sz w:val="13"/>
                <w:szCs w:val="13"/>
                <w:color w:val="auto"/>
              </w:rPr>
            </w:pPr>
          </w:p>
        </w:tc>
        <w:tc>
          <w:tcPr>
            <w:tcW w:w="6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4,520,813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4,476,972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68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shares, $0.001 par value; unlimited shares authorized (146,285,685 and 140,208,028, shares issued and outstanding,</w:t>
            </w:r>
          </w:p>
        </w:tc>
        <w:tc>
          <w:tcPr>
            <w:tcW w:w="2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FF0FC"/>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4,100,272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3,923,739</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Distributable earnings</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70,070</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112,591</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4,170,488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4,036,470</w:t>
            </w:r>
          </w:p>
        </w:tc>
        <w:tc>
          <w:tcPr>
            <w:tcW w:w="8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8,691,301</w:t>
            </w:r>
          </w:p>
        </w:tc>
        <w:tc>
          <w:tcPr>
            <w:tcW w:w="1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8,513,442</w:t>
            </w:r>
          </w:p>
        </w:tc>
        <w:tc>
          <w:tcPr>
            <w:tcW w:w="80" w:type="dxa"/>
            <w:vAlign w:val="bottom"/>
            <w:shd w:val="clear" w:color="auto" w:fill="CFF0FC"/>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860" w:type="dxa"/>
            <w:vAlign w:val="bottom"/>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28.51</w:t>
            </w:r>
          </w:p>
        </w:tc>
        <w:tc>
          <w:tcPr>
            <w:tcW w:w="100" w:type="dxa"/>
            <w:vAlign w:val="bottom"/>
          </w:tcPr>
          <w:p>
            <w:pPr>
              <w:spacing w:after="0"/>
              <w:rPr>
                <w:sz w:val="11"/>
                <w:szCs w:val="11"/>
                <w:color w:val="auto"/>
              </w:rPr>
            </w:pPr>
          </w:p>
        </w:tc>
        <w:tc>
          <w:tcPr>
            <w:tcW w:w="3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28.79</w:t>
            </w:r>
          </w:p>
        </w:tc>
        <w:tc>
          <w:tcPr>
            <w:tcW w:w="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833,132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592,789</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222,295</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70,670</w:t>
            </w: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34,694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14,426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Dividend income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38,560</w:t>
            </w: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35,987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948,669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668,764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246,073</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233,900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191,989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72,356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67,847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25,225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82,440</w:t>
            </w: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54,664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19,289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(losses)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(9,610)</w:t>
            </w: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17,803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Organizational expense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Offering expense</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7,751</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Trustees’ fees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6,703</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expenses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429,904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345,543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133,036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Management fees waived (Note 3)</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(67,954)</w:t>
            </w: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(43,796)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(16,742)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116,294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586,719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367,017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129,779</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586,692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364,848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128,279</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51,500</w:t>
            </w: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61,554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(132,414)</w:t>
            </w: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31,061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(4,799)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(80,914)</w:t>
            </w: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56,755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Realized gains (losses):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15,147</w:t>
            </w: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(6,682)</w:t>
            </w: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provision</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(1,150)</w:t>
            </w: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(73,599)</w:t>
            </w: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55,710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513,093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505,940</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183,989</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4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Earnings per common share—basic and diluted</w:t>
            </w: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3.58</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5.61</w:t>
            </w:r>
          </w:p>
        </w:tc>
        <w:tc>
          <w:tcPr>
            <w:tcW w:w="2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outstanding—basic and diluted</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143,370,950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90,180,335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34,746,777</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2025</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32"/>
        </w:trPr>
        <w:tc>
          <w:tcPr>
            <w:tcW w:w="1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300" w:type="dxa"/>
            <w:vAlign w:val="bottom"/>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2"/>
        </w:trPr>
        <w:tc>
          <w:tcPr>
            <w:tcW w:w="17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00" w:type="dxa"/>
            <w:vAlign w:val="bottom"/>
          </w:tcPr>
          <w:p>
            <w:pPr>
              <w:jc w:val="center"/>
              <w:ind w:left="306"/>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98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1120" w:type="dxa"/>
            <w:vAlign w:val="bottom"/>
          </w:tcPr>
          <w:p>
            <w:pPr>
              <w:spacing w:after="0"/>
              <w:rPr>
                <w:sz w:val="10"/>
                <w:szCs w:val="10"/>
                <w:color w:val="auto"/>
              </w:rPr>
            </w:pPr>
          </w:p>
        </w:tc>
        <w:tc>
          <w:tcPr>
            <w:tcW w:w="840" w:type="dxa"/>
            <w:vAlign w:val="bottom"/>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277"/>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(1)(9)</w:t>
            </w:r>
          </w:p>
        </w:tc>
        <w:tc>
          <w:tcPr>
            <w:tcW w:w="2120" w:type="dxa"/>
            <w:vAlign w:val="bottom"/>
          </w:tcPr>
          <w:p>
            <w:pPr>
              <w:ind w:left="10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300" w:type="dxa"/>
            <w:vAlign w:val="bottom"/>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89"/>
                <w:vertAlign w:val="subscript"/>
              </w:rPr>
              <w:t>Cost</w:t>
            </w:r>
            <w:r>
              <w:rPr>
                <w:rFonts w:ascii="Times New Roman" w:cs="Times New Roman" w:eastAsia="Times New Roman" w:hAnsi="Times New Roman"/>
                <w:sz w:val="7"/>
                <w:szCs w:val="7"/>
                <w:b w:val="1"/>
                <w:bCs w:val="1"/>
                <w:color w:val="auto"/>
                <w:w w:val="89"/>
              </w:rPr>
              <w:t xml:space="preserve"> (2) (7)</w:t>
            </w:r>
          </w:p>
        </w:tc>
        <w:tc>
          <w:tcPr>
            <w:tcW w:w="112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(6)</w:t>
            </w:r>
          </w:p>
        </w:tc>
        <w:tc>
          <w:tcPr>
            <w:tcW w:w="84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91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Debt Investments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($303,927 par, due 2/2032)</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2/13/2024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+ 4.75%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2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301,240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304,775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($112,992 par, due 11/2029)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111,413</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112,427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51,339 par, due 11/2029)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54,392</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59,993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40"/>
        </w:trPr>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51,082)</w:t>
            </w:r>
          </w:p>
        </w:tc>
        <w:tc>
          <w:tcPr>
            <w:tcW w:w="720" w:type="dxa"/>
            <w:vAlign w:val="bottom"/>
          </w:tcPr>
          <w:p>
            <w:pPr>
              <w:spacing w:after="0"/>
              <w:rPr>
                <w:sz w:val="12"/>
                <w:szCs w:val="12"/>
                <w:color w:val="auto"/>
              </w:rPr>
            </w:pPr>
          </w:p>
        </w:tc>
      </w:tr>
      <w:tr>
        <w:trPr>
          <w:trHeight w:val="100"/>
        </w:trPr>
        <w:tc>
          <w:tcPr>
            <w:tcW w:w="17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($12,664 par, due 11/2029)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10.95%</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12,448</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12,580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Azurite Intermediate Holdings, Inc. </w:t>
            </w:r>
            <w:r>
              <w:rPr>
                <w:rFonts w:ascii="Times New Roman" w:cs="Times New Roman" w:eastAsia="Times New Roman" w:hAnsi="Times New Roman"/>
                <w:sz w:val="14"/>
                <w:szCs w:val="14"/>
                <w:color w:val="auto"/>
                <w:vertAlign w:val="superscript"/>
              </w:rPr>
              <w:t>(3)</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($213,750 par, due 3/2031)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3/19/2024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210,732</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214,938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holdco loan ($218,542 par, due 10/2030)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4/18/2023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2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11.37% PIK</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215,194</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222,366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4"/>
                <w:szCs w:val="14"/>
                <w:color w:val="auto"/>
                <w:vertAlign w:val="superscript"/>
              </w:rPr>
              <w:t>(3)</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($152,696 par, due 11/2030)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w:t>
            </w: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149,453</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153,537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(3)(4)(12)</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($945 par, due 4/2031)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+ 4.35%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933</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869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4"/>
                <w:szCs w:val="14"/>
                <w:color w:val="auto"/>
                <w:vertAlign w:val="superscript"/>
              </w:rPr>
              <w:t>(3)(4)</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($25,620 par, due 4/2031)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4/29/2024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8.97% (incl. 2.25 %</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25,461</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25,876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PIK)</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($20,857 par, due 4/2031)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4/29/2024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20,698</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20,961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(GBP 118,804 par, due 4/2031)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4/29/2024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+ 5.50%</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9.23% (incl. 2.50% PIK)</w:t>
            </w: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148,110</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161,795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(GBP 120,289)</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($148,035 par, due 5/2030)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145,285</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149,515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($15,481 par, due 5/2030)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15,088</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15,716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($42,872 par, due 7/2031)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+ 6.50%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10.17%</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41,889</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43,037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63,686 par, due 7/2031)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71,523</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74,642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63,555)</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10/27/2023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9.08%</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970</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1,087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926)</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12/19/2024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+ 6.25%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926</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1,079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919)</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USA DeBusk,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($124,825 par, due 4/2031)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4/30/2024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123,182</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125,602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($13,511 par, due 4/2030)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4/30/2024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9.06%</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13,316</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13,615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($134,915 par, due 9/2029)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7/7/2023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132,801</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136,465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1,493,814</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1,546,100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4"/>
                <w:szCs w:val="14"/>
                <w:color w:val="auto"/>
                <w:vertAlign w:val="superscript"/>
              </w:rPr>
              <w:t>(3)(4)</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11,549 par, due 9/2028)</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11,664</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13,809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11,758)</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(GBP 19,592 par, due 9/2028)</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10.73%</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23,173</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26,681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60"/>
        </w:trPr>
        <w:tc>
          <w:tcPr>
            <w:tcW w:w="1740" w:type="dxa"/>
            <w:vAlign w:val="bottom"/>
            <w:tcBorders>
              <w:bottom w:val="single" w:sz="8" w:color="CFF0FC"/>
            </w:tcBorders>
            <w:shd w:val="clear" w:color="auto" w:fill="CFF0FC"/>
          </w:tcPr>
          <w:p>
            <w:pPr>
              <w:spacing w:after="0"/>
              <w:rPr>
                <w:sz w:val="13"/>
                <w:szCs w:val="13"/>
                <w:color w:val="auto"/>
              </w:rPr>
            </w:pPr>
          </w:p>
        </w:tc>
        <w:tc>
          <w:tcPr>
            <w:tcW w:w="25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bottom w:val="single" w:sz="8" w:color="CFF0FC"/>
            </w:tcBorders>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(GBP 19,836)</w:t>
            </w:r>
          </w:p>
        </w:tc>
        <w:tc>
          <w:tcPr>
            <w:tcW w:w="720" w:type="dxa"/>
            <w:vAlign w:val="bottom"/>
            <w:tcBorders>
              <w:bottom w:val="single" w:sz="8" w:color="CFF0FC"/>
            </w:tcBorders>
            <w:shd w:val="clear" w:color="auto" w:fill="CFF0FC"/>
          </w:tcPr>
          <w:p>
            <w:pPr>
              <w:spacing w:after="0"/>
              <w:rPr>
                <w:sz w:val="13"/>
                <w:szCs w:val="13"/>
                <w:color w:val="auto"/>
              </w:rPr>
            </w:pPr>
          </w:p>
        </w:tc>
      </w:tr>
      <w:tr>
        <w:trPr>
          <w:trHeight w:val="132"/>
        </w:trPr>
        <w:tc>
          <w:tcPr>
            <w:tcW w:w="1740" w:type="dxa"/>
            <w:vAlign w:val="bottom"/>
          </w:tcPr>
          <w:p>
            <w:pPr>
              <w:spacing w:after="0"/>
              <w:rPr>
                <w:sz w:val="11"/>
                <w:szCs w:val="11"/>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N + 7.00%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712</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745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(NOK 7,520)</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(GBP 592 par, due 9/2028)</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10.73%</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724</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807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(GBP 600)</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FGI Acquisition Corp. </w:t>
            </w:r>
            <w:r>
              <w:rPr>
                <w:rFonts w:ascii="Times New Roman" w:cs="Times New Roman" w:eastAsia="Times New Roman" w:hAnsi="Times New Roman"/>
                <w:sz w:val="14"/>
                <w:szCs w:val="14"/>
                <w:color w:val="auto"/>
                <w:vertAlign w:val="superscript"/>
              </w:rPr>
              <w:t>(3)(4)</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($89,550 par, due 6/2032)</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87,867</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88,878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124,140</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130,920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Aurelia Netherlands B.V.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(EUR 326,566 par, due 5/2031)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5/22/2024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+ 4.75%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354,785</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385,453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328,199)</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X Holdings. Inc. </w:t>
            </w:r>
            <w:r>
              <w:rPr>
                <w:rFonts w:ascii="Times New Roman" w:cs="Times New Roman" w:eastAsia="Times New Roman" w:hAnsi="Times New Roman"/>
                <w:sz w:val="14"/>
                <w:szCs w:val="14"/>
                <w:color w:val="auto"/>
                <w:vertAlign w:val="superscript"/>
              </w:rPr>
              <w:t>(12)</w:t>
            </w:r>
          </w:p>
        </w:tc>
        <w:tc>
          <w:tcPr>
            <w:tcW w:w="2580" w:type="dxa"/>
            <w:vAlign w:val="bottom"/>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($37,351 par, due 10/2029) </w:t>
            </w:r>
            <w:r>
              <w:rPr>
                <w:rFonts w:ascii="Times New Roman" w:cs="Times New Roman" w:eastAsia="Times New Roman" w:hAnsi="Times New Roman"/>
                <w:sz w:val="14"/>
                <w:szCs w:val="14"/>
                <w:color w:val="auto"/>
                <w:vertAlign w:val="superscript"/>
              </w:rPr>
              <w:t>(3)</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36,391</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36,657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32"/>
        </w:trPr>
        <w:tc>
          <w:tcPr>
            <w:tcW w:w="1740" w:type="dxa"/>
            <w:vAlign w:val="bottom"/>
            <w:shd w:val="clear" w:color="auto" w:fill="CFF0FC"/>
          </w:tcPr>
          <w:p>
            <w:pPr>
              <w:spacing w:after="0"/>
              <w:rPr>
                <w:sz w:val="11"/>
                <w:szCs w:val="11"/>
                <w:color w:val="auto"/>
              </w:rPr>
            </w:pP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($29,710 par, due 10/2029)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4/28/2025</w:t>
            </w: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9.50%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29,040</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29,583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420,216</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451,693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($157,500 par, due 11/2030)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154,004</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159,300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($188,983 par, due 10/2031)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10/1/2024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+ 4.75%</w:t>
            </w:r>
          </w:p>
        </w:tc>
        <w:tc>
          <w:tcPr>
            <w:tcW w:w="12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8.47% (incl. 2.25% PIK)</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188,763</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188,381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32"/>
        </w:trPr>
        <w:tc>
          <w:tcPr>
            <w:tcW w:w="1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342,767</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347,681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Electronics</w:t>
            </w: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4"/>
                <w:szCs w:val="14"/>
                <w:color w:val="auto"/>
                <w:vertAlign w:val="superscript"/>
              </w:rPr>
              <w:t>(3)</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($224,695 par, due 9/2031)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9/30/2024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28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222,585</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223,437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5/30/2023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2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763</w:t>
            </w:r>
          </w:p>
        </w:tc>
        <w:tc>
          <w:tcPr>
            <w:tcW w:w="28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860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0"/>
        </w:trPr>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732)</w:t>
            </w:r>
          </w:p>
        </w:tc>
        <w:tc>
          <w:tcPr>
            <w:tcW w:w="720" w:type="dxa"/>
            <w:vAlign w:val="bottom"/>
          </w:tcPr>
          <w:p>
            <w:pPr>
              <w:spacing w:after="0"/>
              <w:rPr>
                <w:sz w:val="12"/>
                <w:szCs w:val="1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 xml:space="preserve">Arlberg Bidco, LLC </w:t>
            </w:r>
            <w:r>
              <w:rPr>
                <w:rFonts w:ascii="Times New Roman" w:cs="Times New Roman" w:eastAsia="Times New Roman" w:hAnsi="Times New Roman"/>
                <w:sz w:val="14"/>
                <w:szCs w:val="14"/>
                <w:color w:val="auto"/>
                <w:vertAlign w:val="superscript"/>
              </w:rPr>
              <w:t>(3)(4)(5)</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($5,000 par, due 2/2031)</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2/14/2025</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9.60%</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4,903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4,963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4"/>
                <w:szCs w:val="14"/>
                <w:color w:val="auto"/>
                <w:vertAlign w:val="superscript"/>
              </w:rPr>
              <w:t>(3)(4)</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5,107 par, due 5/2030)</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7.82%</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5,431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5,917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5,038)</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Volante Technologies, Inc.</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($3,619 par, due 9/2028)</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9/29/2023</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16.50%</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16.50% PIK</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3,613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3,755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14,710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15,495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Aledade, Inc. </w:t>
            </w:r>
            <w:r>
              <w:rPr>
                <w:rFonts w:ascii="Times New Roman" w:cs="Times New Roman" w:eastAsia="Times New Roman" w:hAnsi="Times New Roman"/>
                <w:sz w:val="14"/>
                <w:szCs w:val="14"/>
                <w:color w:val="auto"/>
                <w:vertAlign w:val="superscript"/>
              </w:rPr>
              <w:t>(3)</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($27,935 par, due 11/2028)</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11/21/2025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9.54%</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27,055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27,035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($48,106 par, due 11/2030)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9.17%</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47,455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47,800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1740" w:type="dxa"/>
            <w:vAlign w:val="bottom"/>
          </w:tcPr>
          <w:p>
            <w:pPr>
              <w:spacing w:after="0"/>
              <w:rPr>
                <w:sz w:val="11"/>
                <w:szCs w:val="11"/>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($3,493 par, due 11/2030)</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9.17%</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3,414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3,461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HMP Omnimedia, LLC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($124,914 par, due 7/2032)</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7/31/2025</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8.97%</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122,665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123,734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4"/>
        </w:trPr>
        <w:tc>
          <w:tcPr>
            <w:tcW w:w="1740" w:type="dxa"/>
            <w:vAlign w:val="bottom"/>
          </w:tcPr>
          <w:p>
            <w:pPr>
              <w:spacing w:after="0"/>
              <w:rPr>
                <w:sz w:val="12"/>
                <w:szCs w:val="12"/>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($2,591 par, due 7/2030)</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7/31/2025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P + 4.25%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2"/>
                <w:szCs w:val="12"/>
                <w:color w:val="auto"/>
              </w:rPr>
              <w:t>11.00%</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2,145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2,348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Ingenovis Health Finance, LLC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($10,000 par, due 5/2030)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5/13/2025</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9.82%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9,651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9,850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LIHA Holdco B.V </w:t>
            </w:r>
            <w:r>
              <w:rPr>
                <w:rFonts w:ascii="Times New Roman" w:cs="Times New Roman" w:eastAsia="Times New Roman" w:hAnsi="Times New Roman"/>
                <w:sz w:val="14"/>
                <w:szCs w:val="14"/>
                <w:color w:val="auto"/>
                <w:vertAlign w:val="superscript"/>
              </w:rPr>
              <w:t>(3)(4)(5)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5,903 par, due 2/2029)</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2/24/2023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8.52%</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6,220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6,989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5,951)</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(EUR 318 par, due 2/2029)</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2/24/2023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8.52%</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363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377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321)</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($113,676 par, due 3/2029)</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3/24/2023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9.97%</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111,605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114,529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1740" w:type="dxa"/>
            <w:vAlign w:val="bottom"/>
            <w:shd w:val="clear" w:color="auto" w:fill="CFF0FC"/>
          </w:tcPr>
          <w:p>
            <w:pPr>
              <w:spacing w:after="0"/>
              <w:rPr>
                <w:sz w:val="12"/>
                <w:szCs w:val="12"/>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($518 par, due 3/2029)</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3/24/2023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9.97%</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481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551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17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Symplr Software Inc. </w:t>
            </w:r>
            <w:r>
              <w:rPr>
                <w:rFonts w:ascii="Times New Roman" w:cs="Times New Roman" w:eastAsia="Times New Roman" w:hAnsi="Times New Roman"/>
                <w:sz w:val="16"/>
                <w:szCs w:val="16"/>
                <w:color w:val="auto"/>
                <w:vertAlign w:val="superscript"/>
              </w:rPr>
              <w:t>(3)(12)</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($1,269 par, due 12/2027)</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+ 4.60%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8.44%</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1,102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1,075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17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Velocity Clinical Research, Inc. </w:t>
            </w:r>
            <w:r>
              <w:rPr>
                <w:rFonts w:ascii="Times New Roman" w:cs="Times New Roman" w:eastAsia="Times New Roman" w:hAnsi="Times New Roman"/>
                <w:sz w:val="16"/>
                <w:szCs w:val="16"/>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($266,113 par, due 9/2031)</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9/9/2025</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11.17%</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261,736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264,783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42"/>
        </w:trPr>
        <w:tc>
          <w:tcPr>
            <w:tcW w:w="1740" w:type="dxa"/>
            <w:vAlign w:val="bottom"/>
          </w:tcPr>
          <w:p>
            <w:pPr>
              <w:spacing w:after="0"/>
              <w:rPr>
                <w:sz w:val="12"/>
                <w:szCs w:val="12"/>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($2,236 par, due 9/2031)</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11.17%</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1,981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2,169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4"/>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595,873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604,701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w:t>
            </w:r>
          </w:p>
        </w:tc>
      </w:t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AVSC Holding Corp.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($246,557 par, due 12/2031)</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8.72%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241,780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245,874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Equinox Holdings, Inc.</w:t>
            </w:r>
          </w:p>
        </w:tc>
        <w:tc>
          <w:tcPr>
            <w:tcW w:w="2620" w:type="dxa"/>
            <w:vAlign w:val="bottom"/>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($206,789 par, due 3/2029) </w:t>
            </w:r>
            <w:r>
              <w:rPr>
                <w:rFonts w:ascii="Times New Roman" w:cs="Times New Roman" w:eastAsia="Times New Roman" w:hAnsi="Times New Roman"/>
                <w:sz w:val="14"/>
                <w:szCs w:val="14"/>
                <w:color w:val="auto"/>
                <w:vertAlign w:val="superscript"/>
              </w:rPr>
              <w:t>(3)</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+ 8.25%</w:t>
            </w: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11.92% (incl. 4.13%</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204,506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213,509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PIK)</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Second-lien loan ($10,983 par, due 6/2027)</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3/13/2024</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16.00%</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16.00% PIK</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10,855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12,960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Sport Alliance GmbH </w:t>
            </w:r>
            <w:r>
              <w:rPr>
                <w:rFonts w:ascii="Times New Roman" w:cs="Times New Roman" w:eastAsia="Times New Roman" w:hAnsi="Times New Roman"/>
                <w:sz w:val="14"/>
                <w:szCs w:val="14"/>
                <w:color w:val="auto"/>
                <w:vertAlign w:val="superscript"/>
              </w:rPr>
              <w:t>(3)(4)</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(EUR 37,133 par, due 4/2030)</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4/10/2024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+ 7.75%</w:t>
            </w: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9.77% (incl. 4.13% PIK)</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42,004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43,502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37,041)</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revolving loan (EUR 208 par, due 4/2030)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4/10/2024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9.27%</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212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256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218)</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499,357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516,101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($211,448 par, due 11/2028)</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11/7/2022</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+ 4.75%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8.64%</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208,696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211,977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($108,669 par, due 5/2029)</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5/3/2023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10.59%</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106,908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104,323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32"/>
        </w:trPr>
        <w:tc>
          <w:tcPr>
            <w:tcW w:w="1740" w:type="dxa"/>
            <w:vAlign w:val="bottom"/>
          </w:tcPr>
          <w:p>
            <w:pPr>
              <w:spacing w:after="0"/>
              <w:rPr>
                <w:sz w:val="11"/>
                <w:szCs w:val="11"/>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($14,113 par, due 5/2029)</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10.57%</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13,884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13,548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MadCap Software, Inc. </w:t>
            </w:r>
            <w:r>
              <w:rPr>
                <w:rFonts w:ascii="Times New Roman" w:cs="Times New Roman" w:eastAsia="Times New Roman" w:hAnsi="Times New Roman"/>
                <w:sz w:val="14"/>
                <w:szCs w:val="14"/>
                <w:color w:val="auto"/>
                <w:vertAlign w:val="superscript"/>
              </w:rPr>
              <w:t>(3)(5)</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($2,450 par, due 12/2026)</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12/15/2023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+ 6.10%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9.77%</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2,429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($72,084 par, due 10/2029)</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10/31/2025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8.92%</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71,556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71,543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403,473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403,841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r>
      <w:tr>
        <w:trPr>
          <w:trHeight w:val="132"/>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($134,846 par, due 7/2030)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6/30/2023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8.67%</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132,407</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135,520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Big Wombat Holdings, Inc. </w:t>
            </w:r>
            <w:r>
              <w:rPr>
                <w:rFonts w:ascii="Times New Roman" w:cs="Times New Roman" w:eastAsia="Times New Roman" w:hAnsi="Times New Roman"/>
                <w:sz w:val="14"/>
                <w:szCs w:val="14"/>
                <w:color w:val="auto"/>
                <w:vertAlign w:val="superscript"/>
              </w:rPr>
              <w:t>(3)(5)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($25,962 par, due 4/2031)</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10/20/2025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10.88%</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25,409</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25,637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7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($127,629 par, due 2/2030)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2/27/2023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9.09%</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125,533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128,740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($17,830 par, due 7/2028)</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8/6/2025</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10.84%</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17,648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17,830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Flight Intermediate HoldCo, Inc.</w:t>
            </w: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($46,500 par, due 4/2030)</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10/3/2024</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11.50%</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45,517</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46,849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17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(SEK 214,115 par, due 2/2031)</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STIBOR + 6.75%</w:t>
            </w: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8.60% (incl. 3.63% PIK)</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21,310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23,226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(SEK 214,115)</w:t>
            </w:r>
          </w:p>
        </w:tc>
        <w:tc>
          <w:tcPr>
            <w:tcW w:w="720" w:type="dxa"/>
            <w:vAlign w:val="bottom"/>
          </w:tcPr>
          <w:p>
            <w:pPr>
              <w:spacing w:after="0"/>
              <w:rPr>
                <w:sz w:val="11"/>
                <w:szCs w:val="11"/>
                <w:color w:val="auto"/>
              </w:rPr>
            </w:pP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(EUR 2,571 par, due 2/2031)</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2/20/2024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+ 6.75%</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8.77% (incl. 3.63% PIK)</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2,756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3,019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2,571)</w:t>
            </w:r>
          </w:p>
        </w:tc>
        <w:tc>
          <w:tcPr>
            <w:tcW w:w="720" w:type="dxa"/>
            <w:vAlign w:val="bottom"/>
            <w:shd w:val="clear" w:color="auto" w:fill="CFF0FC"/>
          </w:tcPr>
          <w:p>
            <w:pPr>
              <w:spacing w:after="0"/>
              <w:rPr>
                <w:sz w:val="11"/>
                <w:szCs w:val="11"/>
                <w:color w:val="auto"/>
              </w:rPr>
            </w:pPr>
          </w:p>
        </w:tc>
      </w:tr>
      <w:tr>
        <w:trPr>
          <w:trHeight w:val="132"/>
        </w:trPr>
        <w:tc>
          <w:tcPr>
            <w:tcW w:w="1740" w:type="dxa"/>
            <w:vAlign w:val="bottom"/>
          </w:tcPr>
          <w:p>
            <w:pPr>
              <w:spacing w:after="0"/>
              <w:rPr>
                <w:sz w:val="11"/>
                <w:szCs w:val="11"/>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revolving loan (SEK 3,906 par, due 2/2031)</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STIBOR + 6.25%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8.00%</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384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424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(SEK 3,906)</w:t>
            </w:r>
          </w:p>
        </w:tc>
        <w:tc>
          <w:tcPr>
            <w:tcW w:w="720" w:type="dxa"/>
            <w:vAlign w:val="bottom"/>
          </w:tcPr>
          <w:p>
            <w:pPr>
              <w:spacing w:after="0"/>
              <w:rPr>
                <w:sz w:val="11"/>
                <w:szCs w:val="11"/>
                <w:color w:val="auto"/>
              </w:rPr>
            </w:pPr>
          </w:p>
        </w:tc>
      </w:tr>
      <w:tr>
        <w:trPr>
          <w:trHeight w:val="120"/>
        </w:trPr>
        <w:tc>
          <w:tcPr>
            <w:tcW w:w="174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Kaseware Intermediate Holding</w:t>
            </w:r>
          </w:p>
        </w:tc>
        <w:tc>
          <w:tcPr>
            <w:tcW w:w="262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First-lien loan ($30,276 par, due 10/2031)</w:t>
            </w:r>
          </w:p>
        </w:tc>
        <w:tc>
          <w:tcPr>
            <w:tcW w:w="760" w:type="dxa"/>
            <w:vAlign w:val="bottom"/>
            <w:shd w:val="clear" w:color="auto" w:fill="CFF0FC"/>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10/20/2025</w:t>
            </w:r>
          </w:p>
        </w:tc>
        <w:tc>
          <w:tcPr>
            <w:tcW w:w="980" w:type="dxa"/>
            <w:vAlign w:val="bottom"/>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SOFR + 5.50%</w:t>
            </w:r>
          </w:p>
        </w:tc>
        <w:tc>
          <w:tcPr>
            <w:tcW w:w="1520" w:type="dxa"/>
            <w:vAlign w:val="bottom"/>
            <w:shd w:val="clear" w:color="auto" w:fill="CFF0FC"/>
          </w:tcPr>
          <w:p>
            <w:pPr>
              <w:jc w:val="right"/>
              <w:ind w:right="226"/>
              <w:spacing w:after="0" w:line="120" w:lineRule="exact"/>
              <w:rPr>
                <w:sz w:val="20"/>
                <w:szCs w:val="20"/>
                <w:color w:val="auto"/>
              </w:rPr>
            </w:pPr>
            <w:r>
              <w:rPr>
                <w:rFonts w:ascii="Times New Roman" w:cs="Times New Roman" w:eastAsia="Times New Roman" w:hAnsi="Times New Roman"/>
                <w:sz w:val="11"/>
                <w:szCs w:val="11"/>
                <w:color w:val="auto"/>
              </w:rPr>
              <w:t>9.23%</w:t>
            </w:r>
          </w:p>
        </w:tc>
        <w:tc>
          <w:tcPr>
            <w:tcW w:w="880" w:type="dxa"/>
            <w:vAlign w:val="bottom"/>
            <w:shd w:val="clear" w:color="auto" w:fill="CFF0FC"/>
          </w:tcPr>
          <w:p>
            <w:pPr>
              <w:jc w:val="right"/>
              <w:ind w:right="206"/>
              <w:spacing w:after="0" w:line="120" w:lineRule="exact"/>
              <w:rPr>
                <w:sz w:val="20"/>
                <w:szCs w:val="20"/>
                <w:color w:val="auto"/>
              </w:rPr>
            </w:pPr>
            <w:r>
              <w:rPr>
                <w:rFonts w:ascii="Times New Roman" w:cs="Times New Roman" w:eastAsia="Times New Roman" w:hAnsi="Times New Roman"/>
                <w:sz w:val="11"/>
                <w:szCs w:val="11"/>
                <w:color w:val="auto"/>
              </w:rPr>
              <w:t>29,638</w:t>
            </w:r>
          </w:p>
        </w:tc>
        <w:tc>
          <w:tcPr>
            <w:tcW w:w="1340" w:type="dxa"/>
            <w:vAlign w:val="bottom"/>
            <w:shd w:val="clear" w:color="auto" w:fill="CFF0FC"/>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rPr>
              <w:t>29,751</w:t>
            </w:r>
          </w:p>
        </w:tc>
        <w:tc>
          <w:tcPr>
            <w:tcW w:w="7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0.7%</w:t>
            </w:r>
          </w:p>
        </w:tc>
      </w:tr>
      <w:tr>
        <w:trPr>
          <w:trHeight w:val="144"/>
        </w:trPr>
        <w:tc>
          <w:tcPr>
            <w:tcW w:w="17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4"/>
                <w:szCs w:val="14"/>
                <w:color w:val="auto"/>
                <w:vertAlign w:val="superscript"/>
              </w:rPr>
              <w:t>(3)(5)</w:t>
            </w:r>
          </w:p>
        </w:tc>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4"/>
                <w:szCs w:val="14"/>
                <w:color w:val="auto"/>
                <w:vertAlign w:val="superscript"/>
              </w:rPr>
              <w:t>(3)</w:t>
            </w:r>
          </w:p>
        </w:tc>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($139,587 par, due 12/2031)</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9.70% (incl. 3.25% PIK)</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136,982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140,744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1" w:right="68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32,304 par, due 12/2031)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12/18/2024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+ 6.00%</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8.06% (incl. 3.25% PIK)</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33,371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38,224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32,546)</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Rainfocus, LLC </w:t>
            </w:r>
            <w:r>
              <w:rPr>
                <w:rFonts w:ascii="Times New Roman" w:cs="Times New Roman" w:eastAsia="Times New Roman" w:hAnsi="Times New Roman"/>
                <w:sz w:val="14"/>
                <w:szCs w:val="14"/>
                <w:color w:val="auto"/>
                <w:vertAlign w:val="superscript"/>
              </w:rPr>
              <w:t>(3)(5)</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($10,709 par, due 4/2031)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4/25/2025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+ 6.38%</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10.24%</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10,621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10,682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w w:val="96"/>
              </w:rPr>
              <w:t xml:space="preserve">SMA Technologies Holdings, LLC </w:t>
            </w:r>
            <w:r>
              <w:rPr>
                <w:rFonts w:ascii="Times New Roman" w:cs="Times New Roman" w:eastAsia="Times New Roman" w:hAnsi="Times New Roman"/>
                <w:sz w:val="14"/>
                <w:szCs w:val="14"/>
                <w:color w:val="auto"/>
                <w:w w:val="96"/>
                <w:vertAlign w:val="superscript"/>
              </w:rPr>
              <w:t>(3)(5)</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($31,921 par, due 10/2028)</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10/31/2022</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10.32%</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31,423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32,640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612,999</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633,286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Arcwood Environmental, Inc. </w:t>
            </w:r>
            <w:r>
              <w:rPr>
                <w:rFonts w:ascii="Times New Roman" w:cs="Times New Roman" w:eastAsia="Times New Roman" w:hAnsi="Times New Roman"/>
                <w:sz w:val="14"/>
                <w:szCs w:val="14"/>
                <w:color w:val="auto"/>
                <w:vertAlign w:val="superscript"/>
              </w:rPr>
              <w:t>(3)</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($130,358 par, due 1/2031)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9.09%</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129,788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131,107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($43,450 par, due 1/2031)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9/27/2024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8.71%</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43,235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43,450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(12)</w:t>
            </w:r>
          </w:p>
        </w:tc>
        <w:tc>
          <w:tcPr>
            <w:tcW w:w="2540" w:type="dxa"/>
            <w:vAlign w:val="bottom"/>
          </w:tcPr>
          <w:p>
            <w:pPr>
              <w:ind w:left="6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($3,619 par, due 9/2029) </w:t>
            </w:r>
            <w:r>
              <w:rPr>
                <w:rFonts w:ascii="Times New Roman" w:cs="Times New Roman" w:eastAsia="Times New Roman" w:hAnsi="Times New Roman"/>
                <w:sz w:val="14"/>
                <w:szCs w:val="14"/>
                <w:color w:val="auto"/>
                <w:vertAlign w:val="superscript"/>
              </w:rPr>
              <w:t>(3)</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9/30/2024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+ 7.75%</w:t>
            </w: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11.75% (incl. 4.75%</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3,558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2,877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PIK)</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1"/>
                <w:szCs w:val="11"/>
                <w:color w:val="auto"/>
              </w:rPr>
              <w:t xml:space="preserve">Second-lien note ($2,024 par, due 9/2029) </w:t>
            </w:r>
            <w:r>
              <w:rPr>
                <w:rFonts w:ascii="Times New Roman" w:cs="Times New Roman" w:eastAsia="Times New Roman" w:hAnsi="Times New Roman"/>
                <w:sz w:val="14"/>
                <w:szCs w:val="14"/>
                <w:color w:val="auto"/>
                <w:vertAlign w:val="superscript"/>
              </w:rPr>
              <w:t>(13)</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8/31/2023</w:t>
            </w:r>
          </w:p>
        </w:tc>
        <w:tc>
          <w:tcPr>
            <w:tcW w:w="9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7.10% (incl. 1.25% PIK)</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1,559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4"/>
                <w:szCs w:val="14"/>
                <w:color w:val="auto"/>
                <w:vertAlign w:val="superscript"/>
              </w:rPr>
              <w:t>(3)(4)</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12,696 par, due 7/2031)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7/11/2024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7.57%</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13,699</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15,097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12,855)</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4,392 par, due 7/2031)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7/11/2024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+ 4.75%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6.82%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4,684</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5,158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4,392)</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196,523</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197,912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($97,561 par, due 2/2027)</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+ 7.10%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10.82%</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97,007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98,537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4"/>
                <w:szCs w:val="14"/>
                <w:color w:val="auto"/>
                <w:vertAlign w:val="superscript"/>
              </w:rPr>
              <w:t>(3)(4)</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note (EUR 130,813 par, due 3/2032)</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3/24/2025</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9.27% (incl. 5.75% PIK)</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139,015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152,482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129,832)</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Cast &amp; Crew, LLC </w:t>
            </w:r>
            <w:r>
              <w:rPr>
                <w:rFonts w:ascii="Times New Roman" w:cs="Times New Roman" w:eastAsia="Times New Roman" w:hAnsi="Times New Roman"/>
                <w:sz w:val="14"/>
                <w:szCs w:val="14"/>
                <w:color w:val="auto"/>
                <w:vertAlign w:val="superscript"/>
              </w:rPr>
              <w:t>(3)</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(CAD 142,016 par, due 1/2029)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2/27/2025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C + 5.50%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7.77%</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96,076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60,867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(CAD 83,434)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($70,875 par, due 12/2030)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12/19/2025</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8.70%</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70,484</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70,470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4"/>
                <w:szCs w:val="14"/>
                <w:color w:val="auto"/>
                <w:vertAlign w:val="superscript"/>
              </w:rPr>
              <w:t>(3)(4)</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75,326 par, due 4/2031)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7.77%</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80,467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88,995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75,776)</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Sediver S.p.A. </w:t>
            </w:r>
            <w:r>
              <w:rPr>
                <w:rFonts w:ascii="Times New Roman" w:cs="Times New Roman" w:eastAsia="Times New Roman" w:hAnsi="Times New Roman"/>
                <w:sz w:val="14"/>
                <w:szCs w:val="14"/>
                <w:color w:val="auto"/>
                <w:vertAlign w:val="superscript"/>
              </w:rPr>
              <w:t>(3)(4)</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note (EUR 57,989 par, due 10/2031)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7.02%</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61,770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68,001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57,900)</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note ($160,437 par, due 10/2031)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8.68%</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157,662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159,757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605,474</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600,572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4"/>
                <w:szCs w:val="14"/>
                <w:color w:val="auto"/>
                <w:vertAlign w:val="superscript"/>
              </w:rPr>
              <w:t>(3)(4)</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($157,895 par, due 5/2030)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5/13/2024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9.42%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157,895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158,289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Arrowhead Pharmaceuticals, Inc. </w:t>
            </w:r>
            <w:r>
              <w:rPr>
                <w:rFonts w:ascii="Times New Roman" w:cs="Times New Roman" w:eastAsia="Times New Roman" w:hAnsi="Times New Roman"/>
                <w:sz w:val="14"/>
                <w:szCs w:val="14"/>
                <w:color w:val="auto"/>
                <w:vertAlign w:val="superscript"/>
              </w:rPr>
              <w:t>(4)</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($113,694 par, due 8/2031)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8/7/2024</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15.00%</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112,901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127,337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(3)(4)</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139,148 par, due 12/2030)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9.27%</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142,838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161,788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137,756)</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77,006 par, due 12/2030)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+ 7.25%</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10.98%</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95,988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102,800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(GBP 76,429)</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509,622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550,214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4"/>
                <w:szCs w:val="14"/>
                <w:color w:val="auto"/>
                <w:vertAlign w:val="superscript"/>
              </w:rPr>
              <w:t>(3)(4)(5)</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(GBP 698 par, due 8/2030)</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8/9/2024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+ 5.25%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8.98%</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871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939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(GBP 698)</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Acosta</w:t>
            </w:r>
            <w:r>
              <w:rPr>
                <w:rFonts w:ascii="Times New Roman" w:cs="Times New Roman" w:eastAsia="Times New Roman" w:hAnsi="Times New Roman"/>
                <w:sz w:val="6"/>
                <w:szCs w:val="6"/>
                <w:color w:val="auto"/>
              </w:rPr>
              <w:t xml:space="preserve"> (3)(12)</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($194,460 par, due 8/2031)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8/20/2024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+ 5.60%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9.22%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190,978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189,923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(3)(11)</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ABL FILO term loan ($10,746 par, due 8/2027)</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9/2/2022</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+ 9.90%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13.62%</w:t>
            </w: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10,645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8,651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Roll Up DIP term loan ($45,919 par)</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5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11.62% PIK</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45,919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36,965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Super-Priority DIP term loan ($6,500 par)</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11.62%</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6,500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5,232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Belk, Inc. </w:t>
            </w:r>
            <w:r>
              <w:rPr>
                <w:rFonts w:ascii="Times New Roman" w:cs="Times New Roman" w:eastAsia="Times New Roman" w:hAnsi="Times New Roman"/>
                <w:sz w:val="14"/>
                <w:szCs w:val="14"/>
                <w:color w:val="auto"/>
                <w:vertAlign w:val="superscript"/>
              </w:rPr>
              <w:t>(3)</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($182,813 par, due 7/2029)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7/22/2024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10.82%</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180,382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183,270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Blazing Star Parent, LLC </w:t>
            </w:r>
            <w:r>
              <w:rPr>
                <w:rFonts w:ascii="Times New Roman" w:cs="Times New Roman" w:eastAsia="Times New Roman" w:hAnsi="Times New Roman"/>
                <w:sz w:val="14"/>
                <w:szCs w:val="14"/>
                <w:color w:val="auto"/>
                <w:vertAlign w:val="superscript"/>
              </w:rPr>
              <w:t>(3)</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($198,750 par, due 8/2030)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8/28/2025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10.82%</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195,927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196,266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($4,326 par, due 7/2028)</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6/12/2025</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+ 8.65%</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12.53%</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3,955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4,755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($163,683 par, due 2/2031)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9.34%</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161,838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164,093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($9,705 par, due 2/2031)</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9.34%</w:t>
            </w: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9,561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9,738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6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Rapid Data GmbH</w:t>
            </w:r>
          </w:p>
        </w:tc>
        <w:tc>
          <w:tcPr>
            <w:tcW w:w="254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First-lien loan (EUR 7,546 par, due 7/2029)</w:t>
            </w:r>
          </w:p>
        </w:tc>
        <w:tc>
          <w:tcPr>
            <w:tcW w:w="86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7/11/2023</w:t>
            </w:r>
          </w:p>
        </w:tc>
        <w:tc>
          <w:tcPr>
            <w:tcW w:w="92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E + 6.50%</w:t>
            </w:r>
          </w:p>
        </w:tc>
        <w:tc>
          <w:tcPr>
            <w:tcW w:w="1520" w:type="dxa"/>
            <w:vAlign w:val="bottom"/>
          </w:tcPr>
          <w:p>
            <w:pPr>
              <w:jc w:val="right"/>
              <w:ind w:right="226"/>
              <w:spacing w:after="0" w:line="120" w:lineRule="exact"/>
              <w:rPr>
                <w:sz w:val="20"/>
                <w:szCs w:val="20"/>
                <w:color w:val="auto"/>
              </w:rPr>
            </w:pPr>
            <w:r>
              <w:rPr>
                <w:rFonts w:ascii="Times New Roman" w:cs="Times New Roman" w:eastAsia="Times New Roman" w:hAnsi="Times New Roman"/>
                <w:sz w:val="11"/>
                <w:szCs w:val="11"/>
                <w:color w:val="auto"/>
              </w:rPr>
              <w:t>8.51%</w:t>
            </w:r>
          </w:p>
        </w:tc>
        <w:tc>
          <w:tcPr>
            <w:tcW w:w="880" w:type="dxa"/>
            <w:vAlign w:val="bottom"/>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rPr>
              <w:t>8,126</w:t>
            </w:r>
          </w:p>
        </w:tc>
        <w:tc>
          <w:tcPr>
            <w:tcW w:w="1340" w:type="dxa"/>
            <w:vAlign w:val="bottom"/>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rPr>
              <w:t>8,862</w:t>
            </w:r>
          </w:p>
        </w:tc>
        <w:tc>
          <w:tcPr>
            <w:tcW w:w="7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4"/>
                <w:szCs w:val="14"/>
                <w:color w:val="auto"/>
                <w:vertAlign w:val="superscript"/>
              </w:rPr>
              <w:t>(3)(4)</w:t>
            </w:r>
          </w:p>
        </w:tc>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7,546)</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(EUR 328 par, due 6/2029)</w:t>
            </w:r>
          </w:p>
        </w:tc>
        <w:tc>
          <w:tcPr>
            <w:tcW w:w="8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7/11/2023</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5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8.43%</w:t>
            </w:r>
          </w:p>
        </w:tc>
        <w:tc>
          <w:tcPr>
            <w:tcW w:w="88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374</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385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328)</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Tango Management Consulting, LLC </w:t>
            </w:r>
            <w:r>
              <w:rPr>
                <w:rFonts w:ascii="Times New Roman" w:cs="Times New Roman" w:eastAsia="Times New Roman" w:hAnsi="Times New Roman"/>
                <w:sz w:val="12"/>
                <w:szCs w:val="12"/>
                <w:color w:val="auto"/>
                <w:vertAlign w:val="superscript"/>
              </w:rPr>
              <w:t>(3)</w:t>
            </w:r>
          </w:p>
        </w:tc>
        <w:tc>
          <w:tcPr>
            <w:tcW w:w="254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($12,825 par, due 6/2031)</w:t>
            </w:r>
          </w:p>
        </w:tc>
        <w:tc>
          <w:tcPr>
            <w:tcW w:w="86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6/25/2025</w:t>
            </w:r>
          </w:p>
        </w:tc>
        <w:tc>
          <w:tcPr>
            <w:tcW w:w="92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SOFR + 6.50%</w:t>
            </w:r>
          </w:p>
        </w:tc>
        <w:tc>
          <w:tcPr>
            <w:tcW w:w="1520" w:type="dxa"/>
            <w:vAlign w:val="bottom"/>
          </w:tcPr>
          <w:p>
            <w:pPr>
              <w:jc w:val="right"/>
              <w:ind w:right="226"/>
              <w:spacing w:after="0" w:line="108" w:lineRule="exact"/>
              <w:rPr>
                <w:sz w:val="20"/>
                <w:szCs w:val="20"/>
                <w:color w:val="auto"/>
              </w:rPr>
            </w:pPr>
            <w:r>
              <w:rPr>
                <w:rFonts w:ascii="Times New Roman" w:cs="Times New Roman" w:eastAsia="Times New Roman" w:hAnsi="Times New Roman"/>
                <w:sz w:val="11"/>
                <w:szCs w:val="11"/>
                <w:color w:val="auto"/>
              </w:rPr>
              <w:t>10.50%</w:t>
            </w:r>
          </w:p>
        </w:tc>
        <w:tc>
          <w:tcPr>
            <w:tcW w:w="880" w:type="dxa"/>
            <w:vAlign w:val="bottom"/>
          </w:tcPr>
          <w:p>
            <w:pPr>
              <w:jc w:val="right"/>
              <w:ind w:right="206"/>
              <w:spacing w:after="0" w:line="108" w:lineRule="exact"/>
              <w:rPr>
                <w:sz w:val="20"/>
                <w:szCs w:val="20"/>
                <w:color w:val="auto"/>
              </w:rPr>
            </w:pPr>
            <w:r>
              <w:rPr>
                <w:rFonts w:ascii="Times New Roman" w:cs="Times New Roman" w:eastAsia="Times New Roman" w:hAnsi="Times New Roman"/>
                <w:sz w:val="11"/>
                <w:szCs w:val="11"/>
                <w:color w:val="auto"/>
              </w:rPr>
              <w:t>12,551</w:t>
            </w:r>
          </w:p>
        </w:tc>
        <w:tc>
          <w:tcPr>
            <w:tcW w:w="1340" w:type="dxa"/>
            <w:vAlign w:val="bottom"/>
          </w:tcPr>
          <w:p>
            <w:pPr>
              <w:jc w:val="right"/>
              <w:ind w:right="386"/>
              <w:spacing w:after="0" w:line="108" w:lineRule="exact"/>
              <w:rPr>
                <w:sz w:val="20"/>
                <w:szCs w:val="20"/>
                <w:color w:val="auto"/>
              </w:rPr>
            </w:pPr>
            <w:r>
              <w:rPr>
                <w:rFonts w:ascii="Times New Roman" w:cs="Times New Roman" w:eastAsia="Times New Roman" w:hAnsi="Times New Roman"/>
                <w:sz w:val="11"/>
                <w:szCs w:val="11"/>
                <w:color w:val="auto"/>
              </w:rPr>
              <w:t>12,601</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94"/>
        </w:trPr>
        <w:tc>
          <w:tcPr>
            <w:tcW w:w="17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(5)</w:t>
            </w: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826,756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820,741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34"/>
        </w:trPr>
        <w:tc>
          <w:tcPr>
            <w:tcW w:w="1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($100,000 par, due 3/2028)</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3/26/2024</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SOFR + 5.50%</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99,233</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100,750</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Rail Acquisitions LLC</w:t>
            </w:r>
          </w:p>
        </w:tc>
        <w:tc>
          <w:tcPr>
            <w:tcW w:w="2540" w:type="dxa"/>
            <w:vAlign w:val="bottom"/>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($31,521 par, due 1/2030) </w:t>
            </w:r>
            <w:r>
              <w:rPr>
                <w:rFonts w:ascii="Times New Roman" w:cs="Times New Roman" w:eastAsia="Times New Roman" w:hAnsi="Times New Roman"/>
                <w:sz w:val="14"/>
                <w:szCs w:val="14"/>
                <w:color w:val="auto"/>
                <w:vertAlign w:val="superscript"/>
              </w:rPr>
              <w:t>(3)</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1/27/2025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SOFR + 6.00%</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9.86%</w:t>
            </w: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30,927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31,182</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Second-lien note ($26,779 par, due 1/2031)</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1/27/2025</w:t>
            </w:r>
          </w:p>
        </w:tc>
        <w:tc>
          <w:tcPr>
            <w:tcW w:w="12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13.75%</w:t>
            </w:r>
          </w:p>
        </w:tc>
        <w:tc>
          <w:tcPr>
            <w:tcW w:w="12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13.75% PIK</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22,865</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24,200</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Ranger Intermediate II, LLC </w:t>
            </w:r>
            <w:r>
              <w:rPr>
                <w:rFonts w:ascii="Times New Roman" w:cs="Times New Roman" w:eastAsia="Times New Roman" w:hAnsi="Times New Roman"/>
                <w:sz w:val="14"/>
                <w:szCs w:val="14"/>
                <w:color w:val="auto"/>
                <w:vertAlign w:val="superscript"/>
              </w:rPr>
              <w:t>(3)</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($300,564 par, due 10/2031)</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10/28/2025</w:t>
            </w: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SOFR + 5.50%</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9.36%</w:t>
            </w: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296,142</w:t>
            </w:r>
          </w:p>
        </w:tc>
        <w:tc>
          <w:tcPr>
            <w:tcW w:w="2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297,558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4"/>
                <w:szCs w:val="14"/>
                <w:color w:val="auto"/>
                <w:vertAlign w:val="superscript"/>
              </w:rPr>
              <w:t>(3)(4)(5)</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(EUR 16,150 par, due 9/2030)</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9/30/2024</w:t>
            </w:r>
          </w:p>
        </w:tc>
        <w:tc>
          <w:tcPr>
            <w:tcW w:w="120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E + 6.00%</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8.03%</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17,763</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19,026</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(EUR 16,200)</w:t>
            </w: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466,930</w:t>
            </w:r>
          </w:p>
        </w:tc>
        <w:tc>
          <w:tcPr>
            <w:tcW w:w="2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472,716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7,734,357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7,919,661</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189.9%</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Artisan Topco LP </w:t>
            </w:r>
            <w:r>
              <w:rPr>
                <w:rFonts w:ascii="Times New Roman" w:cs="Times New Roman" w:eastAsia="Times New Roman" w:hAnsi="Times New Roman"/>
                <w:sz w:val="14"/>
                <w:szCs w:val="14"/>
                <w:color w:val="auto"/>
                <w:vertAlign w:val="superscript"/>
              </w:rPr>
              <w:t>(8)</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Preferred Units (7,882,736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7,883</w:t>
            </w:r>
          </w:p>
        </w:tc>
        <w:tc>
          <w:tcPr>
            <w:tcW w:w="2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6,700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4"/>
                <w:szCs w:val="14"/>
                <w:color w:val="auto"/>
                <w:vertAlign w:val="superscript"/>
              </w:rPr>
              <w:t>(8)</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Partnership Interest (2,170,139 units)</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3/19/2024</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21,701</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25,228</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Partnership (8,555,356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11/8/2023</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8,572</w:t>
            </w:r>
          </w:p>
        </w:tc>
        <w:tc>
          <w:tcPr>
            <w:tcW w:w="2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8,122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4"/>
                <w:szCs w:val="14"/>
                <w:color w:val="auto"/>
                <w:vertAlign w:val="superscript"/>
              </w:rPr>
              <w:t>(8)</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Units (9,576,271 units)</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7/7/2023</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9,576</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14,939</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54,989</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AF Eagle Parent, L.P. </w:t>
            </w:r>
            <w:r>
              <w:rPr>
                <w:rFonts w:ascii="Times New Roman" w:cs="Times New Roman" w:eastAsia="Times New Roman" w:hAnsi="Times New Roman"/>
                <w:sz w:val="14"/>
                <w:szCs w:val="14"/>
                <w:color w:val="auto"/>
                <w:vertAlign w:val="superscript"/>
              </w:rPr>
              <w:t>(8)</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Partnership Units (337,024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11/27/2023</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15,881</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(8)</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Ordinary Shares (83,408 shares)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3/24/2023</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14,904</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bswift, LLC</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A-1 Units (7,606,491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11/7/2022</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7,606</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15,023</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Bigtincan Holdings L.P. </w:t>
            </w:r>
            <w:r>
              <w:rPr>
                <w:rFonts w:ascii="Times New Roman" w:cs="Times New Roman" w:eastAsia="Times New Roman" w:hAnsi="Times New Roman"/>
                <w:sz w:val="14"/>
                <w:szCs w:val="14"/>
                <w:color w:val="auto"/>
                <w:vertAlign w:val="superscript"/>
              </w:rPr>
              <w:t>(8)(10)</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Units (1,597,110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4/16/2025</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1,630</w:t>
            </w:r>
          </w:p>
        </w:tc>
        <w:tc>
          <w:tcPr>
            <w:tcW w:w="2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1,630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SMA Technologies Holdings, LLC </w:t>
            </w:r>
            <w:r>
              <w:rPr>
                <w:rFonts w:ascii="Times New Roman" w:cs="Times New Roman" w:eastAsia="Times New Roman" w:hAnsi="Times New Roman"/>
                <w:sz w:val="14"/>
                <w:szCs w:val="14"/>
                <w:color w:val="auto"/>
                <w:vertAlign w:val="superscript"/>
              </w:rPr>
              <w:t>(8)</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Units (244 units)</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11/21/2022</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 Units (173,048 units)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11/21/2022</w:t>
            </w: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1,884</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2,071</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(4)(8)</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Convertible Preference Shares (38,503,125 units)</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49,063</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58,651</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(GBP 43,605)</w:t>
            </w: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Railtrac Holdings Inc. </w:t>
            </w:r>
            <w:r>
              <w:rPr>
                <w:rFonts w:ascii="Times New Roman" w:cs="Times New Roman" w:eastAsia="Times New Roman" w:hAnsi="Times New Roman"/>
                <w:sz w:val="14"/>
                <w:szCs w:val="14"/>
                <w:color w:val="auto"/>
                <w:vertAlign w:val="superscript"/>
              </w:rPr>
              <w:t>(8)(10)</w:t>
            </w:r>
          </w:p>
        </w:tc>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Warrants (3,824 warrants)</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1/27/2025</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3,396</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3,396</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Ranger Parent I, Inc. </w:t>
            </w:r>
            <w:r>
              <w:rPr>
                <w:rFonts w:ascii="Times New Roman" w:cs="Times New Roman" w:eastAsia="Times New Roman" w:hAnsi="Times New Roman"/>
                <w:sz w:val="14"/>
                <w:szCs w:val="14"/>
                <w:color w:val="auto"/>
                <w:vertAlign w:val="superscript"/>
              </w:rPr>
              <w:t>(10)</w:t>
            </w:r>
          </w:p>
        </w:tc>
        <w:tc>
          <w:tcPr>
            <w:tcW w:w="2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A-1 Preferred Shares (24,436 shares)</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10/28/2025</w:t>
            </w:r>
          </w:p>
        </w:tc>
        <w:tc>
          <w:tcPr>
            <w:tcW w:w="12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14.50%</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14.50% PIK</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22,725</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Warrants (16,643 warrants) </w:t>
            </w:r>
            <w:r>
              <w:rPr>
                <w:rFonts w:ascii="Times New Roman" w:cs="Times New Roman" w:eastAsia="Times New Roman" w:hAnsi="Times New Roman"/>
                <w:sz w:val="14"/>
                <w:szCs w:val="14"/>
                <w:color w:val="auto"/>
                <w:vertAlign w:val="superscript"/>
              </w:rPr>
              <w:t>(8)</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10/28/2025</w:t>
            </w: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1,353</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1,353</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27,474</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158,509</w:t>
            </w:r>
          </w:p>
        </w:tc>
        <w:tc>
          <w:tcPr>
            <w:tcW w:w="2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188,993</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7,892,866</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8,108,654</w:t>
            </w: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20" w:type="dxa"/>
            <w:vAlign w:val="bottom"/>
            <w:gridSpan w:val="7"/>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r>
      <w:tr>
        <w:trPr>
          <w:trHeight w:val="156"/>
        </w:trPr>
        <w:tc>
          <w:tcPr>
            <w:tcW w:w="2040" w:type="dxa"/>
            <w:vAlign w:val="bottom"/>
          </w:tcPr>
          <w:p>
            <w:pPr>
              <w:spacing w:after="0"/>
              <w:rPr>
                <w:sz w:val="13"/>
                <w:szCs w:val="13"/>
                <w:color w:val="auto"/>
              </w:rPr>
            </w:pP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040" w:type="dxa"/>
            <w:vAlign w:val="bottom"/>
          </w:tcPr>
          <w:p>
            <w:pPr>
              <w:spacing w:after="0"/>
              <w:rPr>
                <w:sz w:val="14"/>
                <w:szCs w:val="14"/>
                <w:color w:val="auto"/>
              </w:rPr>
            </w:pPr>
          </w:p>
        </w:tc>
        <w:tc>
          <w:tcPr>
            <w:tcW w:w="112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Pays</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2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6.50%</w:t>
            </w:r>
          </w:p>
        </w:tc>
        <w:tc>
          <w:tcPr>
            <w:tcW w:w="1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SOFR + 2.51%</w:t>
            </w:r>
          </w:p>
        </w:tc>
        <w:tc>
          <w:tcPr>
            <w:tcW w:w="12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3/11/2029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11,054</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13,262</w:t>
            </w:r>
          </w:p>
        </w:tc>
      </w:tr>
      <w:tr>
        <w:trPr>
          <w:trHeight w:val="156"/>
        </w:trPr>
        <w:tc>
          <w:tcPr>
            <w:tcW w:w="2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6.50%</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SOFR + 2.22%</w:t>
            </w:r>
          </w:p>
        </w:tc>
        <w:tc>
          <w:tcPr>
            <w:tcW w:w="10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3/11/2029</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2,958</w:t>
            </w:r>
          </w:p>
        </w:tc>
        <w:tc>
          <w:tcPr>
            <w:tcW w:w="80" w:type="dxa"/>
            <w:vAlign w:val="bottom"/>
          </w:tcPr>
          <w:p>
            <w:pPr>
              <w:spacing w:after="0"/>
              <w:rPr>
                <w:sz w:val="13"/>
                <w:szCs w:val="13"/>
                <w:color w:val="auto"/>
              </w:rPr>
            </w:pPr>
          </w:p>
        </w:tc>
      </w:tr>
      <w:tr>
        <w:trPr>
          <w:trHeight w:val="156"/>
        </w:trPr>
        <w:tc>
          <w:tcPr>
            <w:tcW w:w="2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5.75%</w:t>
            </w:r>
          </w:p>
        </w:tc>
        <w:tc>
          <w:tcPr>
            <w:tcW w:w="1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SOFR + 2.55%</w:t>
            </w:r>
          </w:p>
        </w:tc>
        <w:tc>
          <w:tcPr>
            <w:tcW w:w="10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1/15/2030</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(5,161)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18,974</w:t>
            </w:r>
          </w:p>
        </w:tc>
      </w:tr>
      <w:tr>
        <w:trPr>
          <w:trHeight w:val="156"/>
        </w:trPr>
        <w:tc>
          <w:tcPr>
            <w:tcW w:w="2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6.13%</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SOFR + 2.01%</w:t>
            </w:r>
          </w:p>
        </w:tc>
        <w:tc>
          <w:tcPr>
            <w:tcW w:w="10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7/15/2030</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20,952</w:t>
            </w:r>
          </w:p>
        </w:tc>
      </w:tr>
      <w:tr>
        <w:trPr>
          <w:trHeight w:val="15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30,932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56,146</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derivatives</w:t>
            </w: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78,603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56,146</w:t>
            </w: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97" w:name="page98"/>
    <w:bookmarkEnd w:id="97"/>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18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69"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(1)Unless otherwise indicated, the Company’s portfolio companies are domiciled in the United States. Under the Investment Company Act of 1940, as amended (the “1940 Act”), the Company would “control” a portfolio company if the Company owned</w:t>
      </w:r>
    </w:p>
    <w:p>
      <w:pPr>
        <w:spacing w:after="0" w:line="236" w:lineRule="auto"/>
        <w:rPr>
          <w:sz w:val="20"/>
          <w:szCs w:val="20"/>
          <w:color w:val="auto"/>
        </w:rPr>
      </w:pPr>
      <w:r>
        <w:rPr>
          <w:rFonts w:ascii="Times New Roman" w:cs="Times New Roman" w:eastAsia="Times New Roman" w:hAnsi="Times New Roman"/>
          <w:sz w:val="16"/>
          <w:szCs w:val="16"/>
          <w:color w:val="auto"/>
        </w:rPr>
        <w:t>more than 25% of its outstanding voting securities and/or had the power to exercise control over the management or policies of</w:t>
      </w:r>
    </w:p>
    <w:p>
      <w:pPr>
        <w:ind w:right="200"/>
        <w:spacing w:after="0" w:line="234" w:lineRule="auto"/>
        <w:rPr>
          <w:sz w:val="20"/>
          <w:szCs w:val="20"/>
          <w:color w:val="auto"/>
        </w:rPr>
      </w:pPr>
      <w:r>
        <w:rPr>
          <w:rFonts w:ascii="Times New Roman" w:cs="Times New Roman" w:eastAsia="Times New Roman" w:hAnsi="Times New Roman"/>
          <w:sz w:val="16"/>
          <w:szCs w:val="16"/>
          <w:color w:val="auto"/>
        </w:rPr>
        <w:t>such portfolio company. As of December 31, 2025, the Company does not “control” any of the portfolio companies. Also under the 1940 Act, the Company would be deemed to be an “Affiliated Person” of a portfolio company if the Company owns more than 5% of the portfolio company’s outstanding voting securities. As of December 31, 2025, the Company does not identify any of its portfolio companies as affiliates.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236"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w:t>
      </w:r>
    </w:p>
    <w:p>
      <w:pPr>
        <w:ind w:right="20"/>
        <w:spacing w:after="0" w:line="234" w:lineRule="auto"/>
        <w:rPr>
          <w:sz w:val="20"/>
          <w:szCs w:val="20"/>
          <w:color w:val="auto"/>
        </w:rPr>
      </w:pPr>
      <w:r>
        <w:rPr>
          <w:rFonts w:ascii="Times New Roman" w:cs="Times New Roman" w:eastAsia="Times New Roman" w:hAnsi="Times New Roman"/>
          <w:sz w:val="16"/>
          <w:szCs w:val="16"/>
          <w:color w:val="auto"/>
        </w:rP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spacing w:after="0" w:line="4"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1940 Act. Under the 1940 Act, the Company may not acquire any non -qualifying asset unless, at the time such acquisition is made, qualifying assets represent at least 70% of total assets. Non-qualifying assets represented 26.7% of total assets as of December 31, 2025.</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3080"/>
        <w:spacing w:after="0" w:line="234" w:lineRule="auto"/>
        <w:rPr>
          <w:sz w:val="20"/>
          <w:szCs w:val="20"/>
          <w:color w:val="auto"/>
        </w:rPr>
      </w:pPr>
      <w:r>
        <w:rPr>
          <w:rFonts w:ascii="Times New Roman" w:cs="Times New Roman" w:eastAsia="Times New Roman" w:hAnsi="Times New Roman"/>
          <w:sz w:val="16"/>
          <w:szCs w:val="16"/>
          <w:color w:val="auto"/>
        </w:rPr>
        <w:t>(6)In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3"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6"/>
          <w:szCs w:val="16"/>
          <w:color w:val="auto"/>
        </w:rPr>
        <w:t>(7)As of December 31, 2025, the estimated cost basis of investments for U.S. federal tax purposes was $7,918,126 resulting in estimated gross unrealized gains and losses of $290,520 and $207,578, respectfully.</w:t>
      </w:r>
    </w:p>
    <w:p>
      <w:pPr>
        <w:spacing w:after="0" w:line="236" w:lineRule="auto"/>
        <w:rPr>
          <w:sz w:val="20"/>
          <w:szCs w:val="20"/>
          <w:color w:val="auto"/>
        </w:rPr>
      </w:pPr>
      <w:r>
        <w:rPr>
          <w:rFonts w:ascii="Times New Roman" w:cs="Times New Roman" w:eastAsia="Times New Roman" w:hAnsi="Times New Roman"/>
          <w:sz w:val="16"/>
          <w:szCs w:val="16"/>
          <w:color w:val="auto"/>
        </w:rPr>
        <w:t>(8)This investment is non-income producing.</w:t>
      </w:r>
    </w:p>
    <w:p>
      <w:pPr>
        <w:spacing w:after="0" w:line="235" w:lineRule="auto"/>
        <w:rPr>
          <w:sz w:val="20"/>
          <w:szCs w:val="20"/>
          <w:color w:val="auto"/>
        </w:rPr>
      </w:pPr>
      <w:r>
        <w:rPr>
          <w:rFonts w:ascii="Times New Roman" w:cs="Times New Roman" w:eastAsia="Times New Roman" w:hAnsi="Times New Roman"/>
          <w:sz w:val="16"/>
          <w:szCs w:val="16"/>
          <w:color w:val="auto"/>
        </w:rPr>
        <w:t>(9)Certain portfolio company investments are subject to contractual restrictions on sales.</w:t>
      </w:r>
    </w:p>
    <w:p>
      <w:pPr>
        <w:ind w:right="40"/>
        <w:spacing w:after="0" w:line="234" w:lineRule="auto"/>
        <w:rPr>
          <w:sz w:val="20"/>
          <w:szCs w:val="20"/>
          <w:color w:val="auto"/>
        </w:rPr>
      </w:pPr>
      <w:r>
        <w:rPr>
          <w:rFonts w:ascii="Times New Roman" w:cs="Times New Roman" w:eastAsia="Times New Roman" w:hAnsi="Times New Roman"/>
          <w:sz w:val="16"/>
          <w:szCs w:val="16"/>
          <w:color w:val="auto"/>
        </w:rPr>
        <w:t>(10)All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$29,105, or 0.7% of the Company’s net assets.</w:t>
      </w:r>
    </w:p>
    <w:p>
      <w:pPr>
        <w:spacing w:after="0" w:line="2"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6"/>
          <w:szCs w:val="16"/>
          <w:color w:val="auto"/>
        </w:rPr>
        <w:t>(11)In addition to the principal amount outstanding and accrued interest owed on this investment, the Company is entitled to a separate Make-Whole Amount (the “Make-Whole”) of $28.8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ind w:right="2500"/>
        <w:spacing w:after="0" w:line="234" w:lineRule="auto"/>
        <w:rPr>
          <w:sz w:val="20"/>
          <w:szCs w:val="20"/>
          <w:color w:val="auto"/>
        </w:rPr>
      </w:pPr>
      <w:r>
        <w:rPr>
          <w:rFonts w:ascii="Times New Roman" w:cs="Times New Roman" w:eastAsia="Times New Roman" w:hAnsi="Times New Roman"/>
          <w:sz w:val="16"/>
          <w:szCs w:val="16"/>
          <w:color w:val="auto"/>
        </w:rPr>
        <w:t>(12)This investment is valued using observable inputs and is considered a Level 2 investment. See Note 6 for further information related to investments at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(13)Investment is on non-accrual status as of December 31, 2025.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2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2"/>
        </w:trPr>
        <w:tc>
          <w:tcPr>
            <w:tcW w:w="20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020" w:type="dxa"/>
            <w:vAlign w:val="bottom"/>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34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44"/>
        </w:trPr>
        <w:tc>
          <w:tcPr>
            <w:tcW w:w="2060" w:type="dxa"/>
            <w:vAlign w:val="bottom"/>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(1)(9)</w:t>
            </w:r>
          </w:p>
        </w:tc>
        <w:tc>
          <w:tcPr>
            <w:tcW w:w="2720" w:type="dxa"/>
            <w:vAlign w:val="bottom"/>
          </w:tcPr>
          <w:p>
            <w:pPr>
              <w:ind w:left="13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2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20" w:type="dxa"/>
            <w:vAlign w:val="bottom"/>
          </w:tcPr>
          <w:p>
            <w:pPr>
              <w:jc w:val="right"/>
              <w:ind w:right="66"/>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 (7)</w:t>
            </w:r>
          </w:p>
        </w:tc>
        <w:tc>
          <w:tcPr>
            <w:tcW w:w="140" w:type="dxa"/>
            <w:vAlign w:val="bottom"/>
          </w:tcPr>
          <w:p>
            <w:pPr>
              <w:spacing w:after="0"/>
              <w:rPr>
                <w:sz w:val="12"/>
                <w:szCs w:val="12"/>
                <w:color w:val="auto"/>
              </w:rPr>
            </w:pPr>
          </w:p>
        </w:tc>
        <w:tc>
          <w:tcPr>
            <w:tcW w:w="800" w:type="dxa"/>
            <w:vAlign w:val="bottom"/>
          </w:tcPr>
          <w:p>
            <w:pPr>
              <w:jc w:val="right"/>
              <w:ind w:right="146"/>
              <w:spacing w:after="0" w:line="144" w:lineRule="exact"/>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(6)</w:t>
            </w: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44"/>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7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($280,937 par, due 2/2031)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2/13/2024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   277,851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281,792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($114,848 par, due 11/2029)</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+ 7.00%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11.39%</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112,663</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114,848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51,863 par, due 11/2029)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+ 7.00%</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54,775</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53,704</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51,863)</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Azurite Intermediate Holdings, Inc.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($213,750 par, due 3/2031)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3/19/2024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+ 6.50%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10.86%</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210,194</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212,562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holdco loan ($120,769 par, due 10/2030)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4/18/2023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+ 8.50%</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13.13% PIK</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118,441</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123,184</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($154,281 par, due 11/2030)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11/8/2023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+ 6.75%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150,499</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155,553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(3)(4)(12)</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($955 par, due 4/2031)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4/4/2024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+ 4.10%</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941</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964</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($45,917 par, due 4/2031)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4/29/2024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+ 4.97%</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9.33% (incl. 1.97% PIK)</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45,546</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45,917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(GBP 115,946 par, due 4/2031)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4/29/2024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 + 5.25%</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9.95% (incl. 2.25% PIK)</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144,105</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145,210</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8"/>
              </w:rPr>
              <w:t>(GBP 115,946)</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($149,549 par, due 5/2030)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146,131</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149,549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revolving loan ($10,769 par, due 5/2030)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10,259</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10,769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($39,996 par, due 7/2031)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7/5/2024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+ 7.11%</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11.75% (incl. 5.61% PIK)</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38,963</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39,182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16,816 par, due 7/2031)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+ 7.11%</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10.38% (incl. 5.61% PIK)</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17,822</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17,196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16,606)</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 + 7.00%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966</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(EUR 915)</w:t>
            </w: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12/19/2024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+ 6.25%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921</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887)</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USA DeBusk, LLC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($103,491 par, due 4/2031)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4/30/2024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101,829</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103,491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revolving loan ($4,122 par, due 4/2030)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4/30/2024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3,940</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4,122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($123,938 par, due 9/2029)</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+ 6.00%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10.38%</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121,342</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125,501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1,279,337</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1,303,618</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r>
      <w:tr>
        <w:trPr>
          <w:trHeight w:val="132"/>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4"/>
                <w:szCs w:val="14"/>
                <w:color w:val="auto"/>
                <w:vertAlign w:val="superscript"/>
              </w:rPr>
              <w:t>(3)(4)</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+ 7.00%</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6,961</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7,650</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7,388)</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(GBP 19,592 par, due 9/2028)</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 + 7.00%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11.70%</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23,039</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24,904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(GBP 19,885)</w:t>
            </w: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9/6/2022</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N + 7.00%</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711</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664</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(NOK 7,538)</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30,711</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33,218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Aurelia Netherlands MidCo 2 B.V.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(EUR 201,909 par, due 5/2031)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5/22/2024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214,655</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209,599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97"/>
              </w:rPr>
              <w:t>(EUR 202,414)</w:t>
            </w: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Babylon Finco Limited </w:t>
            </w:r>
            <w:r>
              <w:rPr>
                <w:rFonts w:ascii="Times New Roman" w:cs="Times New Roman" w:eastAsia="Times New Roman" w:hAnsi="Times New Roman"/>
                <w:sz w:val="14"/>
                <w:szCs w:val="14"/>
                <w:color w:val="auto"/>
                <w:vertAlign w:val="superscript"/>
              </w:rPr>
              <w:t>(3)(4)</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($89,521 par, due 1/2031)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86,906</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89,521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Banyan Software Holdings, LLC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($78,771 par, due 10/2026)</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+ 7.35%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11.71%</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77,563</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80,347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($80,227 par, due 10/2026)</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+ 6.25%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78,839</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82,969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457,963</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462,436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($157,500 par, due 11/2030)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153,281</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158,400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4"/>
                <w:szCs w:val="14"/>
                <w:color w:val="auto"/>
                <w:vertAlign w:val="superscript"/>
              </w:rPr>
              <w:t>(3)</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($216,386 par, due 10/2031)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+ 5.00%</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9.36% (incl. 2.25% PIK)</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216,124</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216,386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369,405</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374,786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w:t>
            </w: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Electronics</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($224,683 par, due 9/2031)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9/30/2024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9.75% (incl. 3.0% PIK)</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222,271</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223,424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32"/>
        </w:trPr>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5/30/2023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759</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765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6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(EUR 739)</w:t>
            </w: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(3)(5)</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($7,656 par, due 7/2029)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7/20/2023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+ 6.25%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7,435</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7,733</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BTRS Holdings, Inc.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($146,948 par, due 12/2028)</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12/16/2022</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11.61%</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144,062</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148,418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revolving loan ($5,422 par, due 12/2028)</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12/16/2022</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+ 7.25%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5,136</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5,566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CLGF HoldCo 2, LLC </w:t>
            </w:r>
            <w:r>
              <w:rPr>
                <w:rFonts w:ascii="Times New Roman" w:cs="Times New Roman" w:eastAsia="Times New Roman" w:hAnsi="Times New Roman"/>
                <w:sz w:val="14"/>
                <w:szCs w:val="14"/>
                <w:color w:val="auto"/>
                <w:vertAlign w:val="superscript"/>
              </w:rPr>
              <w:t>(3)(4)</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($97,902 par, due 11/2027)</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+ 8.50%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12.83%</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96,512</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98,147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060" w:type="dxa"/>
            <w:vAlign w:val="bottom"/>
          </w:tcPr>
          <w:p>
            <w:pPr>
              <w:spacing w:after="0"/>
              <w:rPr>
                <w:sz w:val="11"/>
                <w:szCs w:val="11"/>
                <w:color w:val="auto"/>
              </w:rPr>
            </w:pP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Second-lien loan ($83,916 par, due 11/2028)</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+ 12.00%</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78,758</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83,916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Fullsteam Operations LLC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($97,412 par, due 11/2029)</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+ 8.38%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94,446</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98,367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4"/>
                <w:szCs w:val="14"/>
                <w:color w:val="auto"/>
                <w:vertAlign w:val="superscript"/>
              </w:rPr>
              <w:t>(3)(4)</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5,107 par, due 5/2030)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5/28/2024</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5,413</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5,246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5,066)</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Volante Technologies, Inc.</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($3,072 par, due 9/2028)</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9/29/2023</w:t>
            </w:r>
          </w:p>
        </w:tc>
        <w:tc>
          <w:tcPr>
            <w:tcW w:w="10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16.50%</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16.50% PIK</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3,063</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3,141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435,584</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451,299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32"/>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7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7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First-lien loan (EUR 5,947 par, due 2/2029)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2/24/2023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+ 6.75%</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6,219</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6,284</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(EUR 6,068)</w:t>
            </w:r>
          </w:p>
        </w:tc>
        <w:tc>
          <w:tcPr>
            <w:tcW w:w="920" w:type="dxa"/>
            <w:vAlign w:val="bottom"/>
          </w:tcPr>
          <w:p>
            <w:pPr>
              <w:spacing w:after="0"/>
              <w:rPr>
                <w:sz w:val="11"/>
                <w:szCs w:val="1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4"/>
                <w:szCs w:val="14"/>
                <w:color w:val="auto"/>
                <w:vertAlign w:val="superscript"/>
              </w:rPr>
              <w:t>(3)</w:t>
            </w:r>
          </w:p>
        </w:tc>
        <w:tc>
          <w:tcPr>
            <w:tcW w:w="2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First-lien loan ($48,470 par, due 11/2030)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11/1/2024</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47,668</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47,854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revolving loan ($873 par, due 11/2030)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+ 5.50%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10.03%</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778</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808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($114,842 par, due 3/2029)</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3/24/2023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+ 6.25%</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10.61%</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112,062</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116,332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14"/>
                <w:szCs w:val="14"/>
                <w:color w:val="auto"/>
                <w:vertAlign w:val="superscript"/>
              </w:rPr>
              <w:t>(3)(5)</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($3,742 par, due 7/2029)</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12.34%</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3,613</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3,719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170,340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174,997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AVSC Holding Corp.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($316,171 par, due 12/2031)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12/5/2024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+ 5.00%</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9.36%</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309,228</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310,046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w:t>
            </w: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Equinox Holdings, Inc.</w:t>
            </w:r>
          </w:p>
        </w:tc>
        <w:tc>
          <w:tcPr>
            <w:tcW w:w="2700" w:type="dxa"/>
            <w:vAlign w:val="bottom"/>
          </w:tcPr>
          <w:p>
            <w:pPr>
              <w:ind w:left="28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($198,362 par, due 3/2029) </w:t>
            </w:r>
            <w:r>
              <w:rPr>
                <w:rFonts w:ascii="Times New Roman" w:cs="Times New Roman" w:eastAsia="Times New Roman" w:hAnsi="Times New Roman"/>
                <w:sz w:val="14"/>
                <w:szCs w:val="14"/>
                <w:color w:val="auto"/>
                <w:vertAlign w:val="superscript"/>
              </w:rPr>
              <w:t>(3)</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+ 8.25%</w:t>
            </w:r>
          </w:p>
        </w:tc>
        <w:tc>
          <w:tcPr>
            <w:tcW w:w="14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12.58% (incl. 4.13% PIK)</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195,737</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198,858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Second-lien loan ($9,388 par, due 6/2027)</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3/13/2024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16.00%</w:t>
            </w:r>
          </w:p>
        </w:tc>
        <w:tc>
          <w:tcPr>
            <w:tcW w:w="14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16.00% PIK</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9,191</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9,553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QSR Acquisition Co. </w:t>
            </w:r>
            <w:r>
              <w:rPr>
                <w:rFonts w:ascii="Times New Roman" w:cs="Times New Roman" w:eastAsia="Times New Roman" w:hAnsi="Times New Roman"/>
                <w:sz w:val="14"/>
                <w:szCs w:val="14"/>
                <w:color w:val="auto"/>
                <w:vertAlign w:val="superscript"/>
              </w:rPr>
              <w:t>(3)(5)</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($10,000 par, due 10/2030)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10/31/2024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9.84%</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9,820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Sport Alliance GmbH </w:t>
            </w:r>
            <w:r>
              <w:rPr>
                <w:rFonts w:ascii="Times New Roman" w:cs="Times New Roman" w:eastAsia="Times New Roman" w:hAnsi="Times New Roman"/>
                <w:sz w:val="14"/>
                <w:szCs w:val="14"/>
                <w:color w:val="auto"/>
                <w:vertAlign w:val="superscript"/>
              </w:rPr>
              <w:t>(3)(4)</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(EUR 4,494 par, due 4/2030)</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4/10/2024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 + 7.25%</w:t>
            </w:r>
          </w:p>
        </w:tc>
        <w:tc>
          <w:tcPr>
            <w:tcW w:w="14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10.15% (incl. 3.88% PIK)</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4,712</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4,601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(EUR 4,443)</w:t>
            </w: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528,688</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532,908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3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($139,546 par, due 11/2028)</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11/7/2022</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+ 6.38%</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136,424</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141,639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($109,778 par, due 5/2029)</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5/3/2023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+ 6.75%</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11.34%</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107,466</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111,150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revolving loan ($8,972 par, due 5/2029)</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11.30%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8,675</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9,148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MadCap Software, Inc. </w:t>
            </w:r>
            <w:r>
              <w:rPr>
                <w:rFonts w:ascii="Times New Roman" w:cs="Times New Roman" w:eastAsia="Times New Roman" w:hAnsi="Times New Roman"/>
                <w:sz w:val="14"/>
                <w:szCs w:val="14"/>
                <w:color w:val="auto"/>
                <w:vertAlign w:val="superscript"/>
              </w:rPr>
              <w:t>(3)(5)</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($2,475 par, due 12/2026)</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12/15/2023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+ 6.10%</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10.35%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2,435</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2,475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255,000</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264,412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Disco Parent, Inc.</w:t>
            </w:r>
            <w:r>
              <w:rPr>
                <w:rFonts w:ascii="Times New Roman" w:cs="Times New Roman" w:eastAsia="Times New Roman" w:hAnsi="Times New Roman"/>
                <w:sz w:val="14"/>
                <w:szCs w:val="14"/>
                <w:color w:val="auto"/>
                <w:vertAlign w:val="superscript"/>
              </w:rPr>
              <w:t>(3)</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($67,583 par, due 3/2029)</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3/30/2023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+ 7.50%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12.01%</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66,272</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68,317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3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($128,565 par, due 7/2030)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6/30/2023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10.08%</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125,651</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130,424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($128,925 par, due 2/2030)</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2/27/2023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9.84%</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126,291</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131,165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Flight Intermediate HoldCo, Inc.</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($46,500 par, due 4/2030)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10/3/2024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11.50%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45,164</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45,221</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(SEK 80,225 par, due 2/2031)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2/20/2024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STIBOR + 6.50%</w:t>
            </w:r>
          </w:p>
        </w:tc>
        <w:tc>
          <w:tcPr>
            <w:tcW w:w="14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9.16% (incl. 3.50% PIK)</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7,557</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7,238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(SEK 79,977)</w:t>
            </w: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(EUR 2,472 par, due 2/2031)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2/20/2024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+ 6.50%</w:t>
            </w:r>
          </w:p>
        </w:tc>
        <w:tc>
          <w:tcPr>
            <w:tcW w:w="14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9.87% (incl. 3.50% PIK)</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2,636</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2,554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2,466)</w:t>
            </w: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($134,959 par, due 12/2031)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12/18/2024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10.10%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131,979</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132,340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(EUR 31,233 par, due 12/2031)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12/18/2024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8.61%</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32,055</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31,775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30,686)</w:t>
            </w: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Merit Software Finance Holdings, LLC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($11,786 par, due 6/2029)</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6/20/2024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+ 7.50%</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11,438</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11,561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SMA Technologies Holdings, LLC </w:t>
            </w:r>
            <w:r>
              <w:rPr>
                <w:rFonts w:ascii="Times New Roman" w:cs="Times New Roman" w:eastAsia="Times New Roman" w:hAnsi="Times New Roman"/>
                <w:sz w:val="14"/>
                <w:szCs w:val="14"/>
                <w:color w:val="auto"/>
                <w:vertAlign w:val="superscript"/>
              </w:rPr>
              <w:t>(3)(5)</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($31,009 par, due 10/2028)</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10/31/2022</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+ 6.50%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11.01%</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30,371</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31,447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513,142</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523,725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Aptean, Inc.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($123,688 par, due 1/2031)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1/30/2024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+ 5.00%</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9.58%</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122,468</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124,037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(12)</w:t>
            </w:r>
          </w:p>
        </w:tc>
        <w:tc>
          <w:tcPr>
            <w:tcW w:w="2700" w:type="dxa"/>
            <w:vAlign w:val="bottom"/>
          </w:tcPr>
          <w:p>
            <w:pPr>
              <w:ind w:left="28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($3,449 par, due 9/2029) </w:t>
            </w:r>
            <w:r>
              <w:rPr>
                <w:rFonts w:ascii="Times New Roman" w:cs="Times New Roman" w:eastAsia="Times New Roman" w:hAnsi="Times New Roman"/>
                <w:sz w:val="14"/>
                <w:szCs w:val="14"/>
                <w:color w:val="auto"/>
                <w:vertAlign w:val="superscript"/>
              </w:rPr>
              <w:t>(3)</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9/30/2024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+ 7.75%</w:t>
            </w:r>
          </w:p>
        </w:tc>
        <w:tc>
          <w:tcPr>
            <w:tcW w:w="14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12.08% (incl. 4.75% PIK)</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3,376</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3,484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Second-lien note ($1,999 par, due 9/2029)</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8/31/2023</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7.10%</w:t>
            </w:r>
          </w:p>
        </w:tc>
        <w:tc>
          <w:tcPr>
            <w:tcW w:w="14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7.10% (incl. 1.25% PIK)</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1,513</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1,309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($136,364 par, due 10/2028)</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10/19/2022</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+ 6.25%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10.58%</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133,991</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137,489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Heritage Environmental Services, Inc.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($131,681 par, due 1/2031)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1/31/2024</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9.84%</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130,976</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133,195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($16,608 par, due 1/2031)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+ 5.00%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9.33%</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16,529</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16,608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($56,651 par, due 9/2030)</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+ 5.66%</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9.99%</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55,303</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57,217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32"/>
        </w:trPr>
        <w:tc>
          <w:tcPr>
            <w:tcW w:w="2120" w:type="dxa"/>
            <w:vAlign w:val="bottom"/>
          </w:tcPr>
          <w:p>
            <w:pPr>
              <w:spacing w:after="0"/>
              <w:rPr>
                <w:sz w:val="11"/>
                <w:szCs w:val="11"/>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(GBP 57,691 par, due 9/2030)</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 + 5.66%</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10.36%</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69,740</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73,215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(GBP 58,460)</w:t>
            </w: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(EUR 16,819 par, due 9/2030)</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 + 5.66%</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8.35%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17,580</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17,590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(EUR 16,987)</w:t>
            </w:r>
          </w:p>
        </w:tc>
        <w:tc>
          <w:tcPr>
            <w:tcW w:w="660" w:type="dxa"/>
            <w:vAlign w:val="bottom"/>
            <w:shd w:val="clear" w:color="auto" w:fill="CFF0FC"/>
          </w:tcPr>
          <w:p>
            <w:pPr>
              <w:spacing w:after="0"/>
              <w:rPr>
                <w:sz w:val="11"/>
                <w:szCs w:val="11"/>
                <w:color w:val="auto"/>
              </w:rPr>
            </w:pP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4"/>
                <w:szCs w:val="14"/>
                <w:color w:val="auto"/>
                <w:vertAlign w:val="superscript"/>
              </w:rPr>
              <w:t>(3)(4)</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(EUR 12,696 par, due 7/2031)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7/11/2024</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9.42%</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13,681</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13,105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12,656)</w:t>
            </w: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565,157</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577,249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2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First-lien loan ($97,561 par, due 2/2027)</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2/21/2023</w:t>
            </w:r>
          </w:p>
        </w:tc>
        <w:tc>
          <w:tcPr>
            <w:tcW w:w="10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+ 7.10%</w:t>
            </w:r>
          </w:p>
        </w:tc>
        <w:tc>
          <w:tcPr>
            <w:tcW w:w="14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11.46%</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96,519</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98,537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Mach Natural Resources LP </w:t>
            </w:r>
            <w:r>
              <w:rPr>
                <w:rFonts w:ascii="Times New Roman" w:cs="Times New Roman" w:eastAsia="Times New Roman" w:hAnsi="Times New Roman"/>
                <w:sz w:val="14"/>
                <w:szCs w:val="14"/>
                <w:color w:val="auto"/>
                <w:vertAlign w:val="superscript"/>
              </w:rPr>
              <w:t>(3)(4)</w:t>
            </w:r>
          </w:p>
        </w:tc>
        <w:tc>
          <w:tcPr>
            <w:tcW w:w="27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First-lien loan ($115,625 par, due 12/2026)</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12/28/2023</w:t>
            </w:r>
          </w:p>
        </w:tc>
        <w:tc>
          <w:tcPr>
            <w:tcW w:w="10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+ 6.65%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10.98%</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114,031</w:t>
            </w: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116,492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2"/>
        </w:trPr>
        <w:tc>
          <w:tcPr>
            <w:tcW w:w="212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210,550</w:t>
            </w:r>
          </w:p>
        </w:tc>
        <w:tc>
          <w:tcPr>
            <w:tcW w:w="11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215,029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w:t>
            </w:r>
          </w:p>
        </w:tc>
      </w:tr>
    </w:tbl>
    <w:p>
      <w:pPr>
        <w:spacing w:after="0" w:line="1" w:lineRule="exact"/>
        <w:rPr>
          <w:sz w:val="20"/>
          <w:szCs w:val="20"/>
          <w:color w:val="auto"/>
        </w:rPr>
      </w:pPr>
    </w:p>
    <w:p>
      <w:pPr>
        <w:sectPr>
          <w:pgSz w:w="11900" w:h="16840" w:orient="portrait"/>
          <w:cols w:equalWidth="0" w:num="1">
            <w:col w:w="10560"/>
          </w:cols>
          <w:pgMar w:left="660" w:top="1350" w:right="680" w:bottom="1440" w:gutter="0" w:footer="0" w:header="0"/>
        </w:sectPr>
      </w:pPr>
    </w:p>
    <w:p>
      <w:pPr>
        <w:spacing w:after="0"/>
        <w:rPr>
          <w:sz w:val="20"/>
          <w:szCs w:val="20"/>
          <w:color w:val="auto"/>
        </w:rPr>
      </w:pPr>
      <w:r>
        <w:rPr>
          <w:rFonts w:ascii="Times New Roman" w:cs="Times New Roman" w:eastAsia="Times New Roman" w:hAnsi="Times New Roman"/>
          <w:sz w:val="11"/>
          <w:szCs w:val="11"/>
          <w:b w:val="1"/>
          <w:bCs w:val="1"/>
          <w:color w:val="auto"/>
        </w:rPr>
        <w:t>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4"/>
          <w:szCs w:val="14"/>
          <w:color w:val="auto"/>
          <w:vertAlign w:val="superscript"/>
        </w:rPr>
        <w:t>(3)(4)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4"/>
          <w:szCs w:val="14"/>
          <w:color w:val="auto"/>
          <w:vertAlign w:val="superscript"/>
        </w:rPr>
        <w:t>(3)(4)</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Pharmaceuticals</w:t>
      </w:r>
    </w:p>
    <w:p>
      <w:pPr>
        <w:spacing w:after="0" w:line="202" w:lineRule="auto"/>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4"/>
          <w:szCs w:val="14"/>
          <w:color w:val="auto"/>
          <w:vertAlign w:val="superscript"/>
        </w:rPr>
        <w:t>(3)(4)</w:t>
      </w:r>
    </w:p>
    <w:p>
      <w:pPr>
        <w:spacing w:after="0" w:line="212" w:lineRule="auto"/>
        <w:rPr>
          <w:sz w:val="20"/>
          <w:szCs w:val="20"/>
          <w:color w:val="auto"/>
        </w:rPr>
      </w:pPr>
      <w:r>
        <w:rPr>
          <w:rFonts w:ascii="Times New Roman" w:cs="Times New Roman" w:eastAsia="Times New Roman" w:hAnsi="Times New Roman"/>
          <w:sz w:val="10"/>
          <w:szCs w:val="10"/>
          <w:color w:val="auto"/>
        </w:rPr>
        <w:t xml:space="preserve">Arrowhead Pharmaceuticals, Inc. </w:t>
      </w:r>
      <w:r>
        <w:rPr>
          <w:rFonts w:ascii="Times New Roman" w:cs="Times New Roman" w:eastAsia="Times New Roman" w:hAnsi="Times New Roman"/>
          <w:sz w:val="13"/>
          <w:szCs w:val="13"/>
          <w:color w:val="auto"/>
          <w:vertAlign w:val="superscript"/>
        </w:rPr>
        <w:t>(4)</w:t>
      </w:r>
    </w:p>
    <w:p>
      <w:pPr>
        <w:spacing w:after="0"/>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(3)(4)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Real Estate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4"/>
          <w:szCs w:val="14"/>
          <w:color w:val="auto"/>
          <w:vertAlign w:val="superscript"/>
        </w:rPr>
        <w:t>(3)(4)(5)</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75,326 par, due 4/2031)</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4/4/2024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8.43%</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80,131</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77,534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32"/>
        </w:trPr>
        <w:tc>
          <w:tcPr>
            <w:tcW w:w="2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74,876)</w:t>
            </w:r>
          </w:p>
        </w:tc>
        <w:tc>
          <w:tcPr>
            <w:tcW w:w="660" w:type="dxa"/>
            <w:vAlign w:val="bottom"/>
          </w:tcPr>
          <w:p>
            <w:pPr>
              <w:spacing w:after="0"/>
              <w:rPr>
                <w:sz w:val="11"/>
                <w:szCs w:val="11"/>
                <w:color w:val="auto"/>
              </w:rPr>
            </w:pPr>
          </w:p>
        </w:tc>
      </w:t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note (EUR 52,053 par, due 10/2031)</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10/29/2024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8.20%</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54,529</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52,439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50,641)</w:t>
            </w:r>
          </w:p>
        </w:tc>
        <w:tc>
          <w:tcPr>
            <w:tcW w:w="660" w:type="dxa"/>
            <w:vAlign w:val="bottom"/>
          </w:tcPr>
          <w:p>
            <w:pPr>
              <w:spacing w:after="0"/>
              <w:rPr>
                <w:sz w:val="11"/>
                <w:szCs w:val="11"/>
                <w:color w:val="auto"/>
              </w:rPr>
            </w:pPr>
          </w:p>
        </w:tc>
      </w:t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note ($115,131 par, due 10/2031)</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10/29/2024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+ 5.25%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10.51%</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112,884</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113,116</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40"/>
        </w:trPr>
        <w:tc>
          <w:tcPr>
            <w:tcW w:w="2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247,544</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243,089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($157,895 par, due 5/2030)</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5/13/2024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+ 5.75%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10.08%</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157,895</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159,395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($139,864 par, due 8/2031)</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8/7/2024</w:t>
            </w: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15.00%</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15.00%</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138,589</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186,719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139,148 par, due 12/2030)</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12/11/2024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 + 7.25%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10.07%</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142,331</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140,846</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32"/>
        </w:trPr>
        <w:tc>
          <w:tcPr>
            <w:tcW w:w="2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(EUR 136,017)</w:t>
            </w:r>
          </w:p>
        </w:tc>
        <w:tc>
          <w:tcPr>
            <w:tcW w:w="660" w:type="dxa"/>
            <w:vAlign w:val="bottom"/>
          </w:tcPr>
          <w:p>
            <w:pPr>
              <w:spacing w:after="0"/>
              <w:rPr>
                <w:sz w:val="11"/>
                <w:szCs w:val="11"/>
                <w:color w:val="auto"/>
              </w:rPr>
            </w:pPr>
          </w:p>
        </w:tc>
      </w:tr>
      <w:tr>
        <w:trPr>
          <w:trHeight w:val="13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(GBP 77,006 par, due 12/2030)</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12/11/2024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 + 7.25%</w:t>
            </w:r>
          </w:p>
        </w:tc>
        <w:tc>
          <w:tcPr>
            <w:tcW w:w="14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11.95%</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95,685</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93,839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32"/>
        </w:trPr>
        <w:tc>
          <w:tcPr>
            <w:tcW w:w="2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(GBP 74,927)</w:t>
            </w:r>
          </w:p>
        </w:tc>
        <w:tc>
          <w:tcPr>
            <w:tcW w:w="660" w:type="dxa"/>
            <w:vAlign w:val="bottom"/>
          </w:tcPr>
          <w:p>
            <w:pPr>
              <w:spacing w:after="0"/>
              <w:rPr>
                <w:sz w:val="11"/>
                <w:szCs w:val="11"/>
                <w:color w:val="auto"/>
              </w:rPr>
            </w:pPr>
          </w:p>
        </w:tc>
      </w:tr>
      <w:tr>
        <w:trPr>
          <w:trHeight w:val="140"/>
        </w:trPr>
        <w:tc>
          <w:tcPr>
            <w:tcW w:w="2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534,500</w:t>
            </w: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580,799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(GBP 675 par, due 8/2030)</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8/9/2024</w:t>
            </w: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 + 6.25%</w:t>
            </w:r>
          </w:p>
        </w:tc>
        <w:tc>
          <w:tcPr>
            <w:tcW w:w="14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10.95% (incl. 3.00% PIK)</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836</w:t>
            </w:r>
          </w:p>
        </w:tc>
        <w:tc>
          <w:tcPr>
            <w:tcW w:w="11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836</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0"/>
        </w:trPr>
        <w:tc>
          <w:tcPr>
            <w:tcW w:w="2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(GBP 667)</w:t>
            </w: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-1430020</wp:posOffset>
            </wp:positionV>
            <wp:extent cx="6707505" cy="167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-1094105</wp:posOffset>
            </wp:positionV>
            <wp:extent cx="6707505" cy="83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-926465</wp:posOffset>
            </wp:positionV>
            <wp:extent cx="6707505" cy="838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-758825</wp:posOffset>
            </wp:positionV>
            <wp:extent cx="6707505" cy="838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-507365</wp:posOffset>
            </wp:positionV>
            <wp:extent cx="6707505" cy="167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-255905</wp:posOffset>
            </wp:positionV>
            <wp:extent cx="6707505" cy="838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-4445</wp:posOffset>
            </wp:positionV>
            <wp:extent cx="6707505" cy="838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8382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1680" w:space="720"/>
            <w:col w:w="8160"/>
          </w:cols>
          <w:pgMar w:left="660" w:top="1350"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77"/>
        </w:trPr>
        <w:tc>
          <w:tcPr>
            <w:tcW w:w="2220" w:type="dxa"/>
            <w:vAlign w:val="bottom"/>
            <w:gridSpan w:val="2"/>
          </w:tcPr>
          <w:p>
            <w:pPr>
              <w:spacing w:after="0"/>
              <w:rPr>
                <w:sz w:val="20"/>
                <w:szCs w:val="20"/>
                <w:color w:val="auto"/>
              </w:rPr>
            </w:pPr>
            <w:r>
              <w:rPr>
                <w:rFonts w:ascii="Times New Roman" w:cs="Times New Roman" w:eastAsia="Times New Roman" w:hAnsi="Times New Roman"/>
                <w:sz w:val="21"/>
                <w:szCs w:val="21"/>
                <w:color w:val="auto"/>
                <w:vertAlign w:val="subscript"/>
              </w:rPr>
              <w:t>Acosta</w:t>
            </w:r>
            <w:r>
              <w:rPr>
                <w:rFonts w:ascii="Times New Roman" w:cs="Times New Roman" w:eastAsia="Times New Roman" w:hAnsi="Times New Roman"/>
                <w:sz w:val="7"/>
                <w:szCs w:val="7"/>
                <w:color w:val="auto"/>
              </w:rPr>
              <w:t xml:space="preserve"> (3)(12)</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First-lien loan ($140,000 par, due 8/2031)</w:t>
            </w: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8/20/2024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SOFR + 5.60%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13"/>
              <w:spacing w:after="0"/>
              <w:rPr>
                <w:sz w:val="20"/>
                <w:szCs w:val="20"/>
                <w:color w:val="auto"/>
              </w:rPr>
            </w:pPr>
            <w:r>
              <w:rPr>
                <w:rFonts w:ascii="Times New Roman" w:cs="Times New Roman" w:eastAsia="Times New Roman" w:hAnsi="Times New Roman"/>
                <w:sz w:val="11"/>
                <w:szCs w:val="11"/>
                <w:color w:val="auto"/>
              </w:rPr>
              <w:t>10.12%</w:t>
            </w:r>
          </w:p>
        </w:tc>
        <w:tc>
          <w:tcPr>
            <w:tcW w:w="8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137,318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138,950</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(3)(11)</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ABL FILO term loan ($16,352 par, due 8/2027)</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SOFR + 9.90%</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4"/>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14.26%</w:t>
            </w: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16,104</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14,962</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Roll Up DIP term loan ($45,317 par)</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SOFR + 7.90%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12.26% PIK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41,465</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Super-Priority DIP term loan ($7,251 par)</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SOFR + 7.90%</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4"/>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12.26%</w:t>
            </w: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7,251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6,635</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Belk, Inc. </w:t>
            </w:r>
            <w:r>
              <w:rPr>
                <w:rFonts w:ascii="Times New Roman" w:cs="Times New Roman" w:eastAsia="Times New Roman" w:hAnsi="Times New Roman"/>
                <w:sz w:val="14"/>
                <w:szCs w:val="14"/>
                <w:color w:val="auto"/>
                <w:vertAlign w:val="superscript"/>
              </w:rPr>
              <w:t>(3)</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First-lien loan ($192,563 par, due 7/2029)</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SOFR + 7.00%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ind w:right="13"/>
              <w:spacing w:after="0"/>
              <w:rPr>
                <w:sz w:val="20"/>
                <w:szCs w:val="20"/>
                <w:color w:val="auto"/>
              </w:rPr>
            </w:pPr>
            <w:r>
              <w:rPr>
                <w:rFonts w:ascii="Times New Roman" w:cs="Times New Roman" w:eastAsia="Times New Roman" w:hAnsi="Times New Roman"/>
                <w:sz w:val="11"/>
                <w:szCs w:val="11"/>
                <w:color w:val="auto"/>
              </w:rPr>
              <w:t>11.51%</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189,683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191,118</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Commercehub, Inc. </w:t>
            </w:r>
            <w:r>
              <w:rPr>
                <w:rFonts w:ascii="Times New Roman" w:cs="Times New Roman" w:eastAsia="Times New Roman" w:hAnsi="Times New Roman"/>
                <w:sz w:val="14"/>
                <w:szCs w:val="14"/>
                <w:color w:val="auto"/>
                <w:vertAlign w:val="superscript"/>
              </w:rPr>
              <w:t>(3)</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First-lien loan ($147,000 par, due 12/2027)</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11/15/2022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SOFR + 6.25%</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4"/>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10.90%</w:t>
            </w: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140,246</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143,325</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First-lien loan ($146,333 par, due 2/2031)</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ind w:right="13"/>
              <w:spacing w:after="0"/>
              <w:rPr>
                <w:sz w:val="20"/>
                <w:szCs w:val="20"/>
                <w:color w:val="auto"/>
              </w:rPr>
            </w:pPr>
            <w:r>
              <w:rPr>
                <w:rFonts w:ascii="Times New Roman" w:cs="Times New Roman" w:eastAsia="Times New Roman" w:hAnsi="Times New Roman"/>
                <w:sz w:val="11"/>
                <w:szCs w:val="11"/>
                <w:color w:val="auto"/>
              </w:rPr>
              <w:t>10.09%</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144,076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147,197</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Rapid Data GmbH Unternehmensberatung </w:t>
            </w:r>
            <w:r>
              <w:rPr>
                <w:rFonts w:ascii="Times New Roman" w:cs="Times New Roman" w:eastAsia="Times New Roman" w:hAnsi="Times New Roman"/>
                <w:sz w:val="14"/>
                <w:szCs w:val="14"/>
                <w:color w:val="auto"/>
                <w:vertAlign w:val="superscript"/>
              </w:rPr>
              <w:t>(3)(4)</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First-lien loan (EUR 7,378 par, due 7/2029)</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7/11/2023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 + 6.25%</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9.47% (incl. 3.00% PIK)</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7,885</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7,685</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(EUR 7,422)</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687,880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691,337</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First-lien loan ($72,693 par, due 3/2028)</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SOFR + 5.25%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ind w:right="13"/>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72,193</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4"/>
                <w:szCs w:val="14"/>
                <w:color w:val="auto"/>
                <w:vertAlign w:val="superscript"/>
              </w:rPr>
              <w:t>(3)(4)(5)</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First-lien loan (EUR 14,167 par, due 9/2030)</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9/30/2024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 + 6.00%</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4"/>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8.68%</w:t>
            </w: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15,337</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14,307</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3"/>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6"/>
              </w:rPr>
              <w:t>(EUR 13,817)</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86,500</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6,939,967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7,089,771</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175.7%</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Clarience Technologies, LLC </w:t>
            </w:r>
            <w:r>
              <w:rPr>
                <w:rFonts w:ascii="Times New Roman" w:cs="Times New Roman" w:eastAsia="Times New Roman" w:hAnsi="Times New Roman"/>
                <w:sz w:val="14"/>
                <w:szCs w:val="14"/>
                <w:color w:val="auto"/>
                <w:vertAlign w:val="superscript"/>
              </w:rPr>
              <w:t>(8)(10)</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Class A Units (2,666 units)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2/12/2024</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6,557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6,557</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Artisan Topco LP </w:t>
            </w:r>
            <w:r>
              <w:rPr>
                <w:rFonts w:ascii="Times New Roman" w:cs="Times New Roman" w:eastAsia="Times New Roman" w:hAnsi="Times New Roman"/>
                <w:sz w:val="14"/>
                <w:szCs w:val="14"/>
                <w:color w:val="auto"/>
                <w:vertAlign w:val="superscript"/>
              </w:rPr>
              <w:t>(8)</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Class A Preferred Units (7,882,736 units)</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11/7/2023</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7,883</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6,602</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4"/>
                <w:szCs w:val="14"/>
                <w:color w:val="auto"/>
                <w:vertAlign w:val="superscript"/>
              </w:rPr>
              <w:t>(8)(10)</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Partnership Interest (2,170,139 units)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3/19/2024</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21,702</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Partnership (8,555,356 units)</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11/8/2023</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8,572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7,629</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Warrior TopCo LP</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Class A Units (9,576,271 units)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7/7/2023</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13,646</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49,579</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AF Eagle Parent, L.P. </w:t>
            </w:r>
            <w:r>
              <w:rPr>
                <w:rFonts w:ascii="Times New Roman" w:cs="Times New Roman" w:eastAsia="Times New Roman" w:hAnsi="Times New Roman"/>
                <w:sz w:val="14"/>
                <w:szCs w:val="14"/>
                <w:color w:val="auto"/>
                <w:vertAlign w:val="superscript"/>
              </w:rPr>
              <w:t>(8)</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Partnership Units (337,024 units)</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11/27/2023</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11,364</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13,011</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CLGF Holdings, L.P. </w:t>
            </w:r>
            <w:r>
              <w:rPr>
                <w:rFonts w:ascii="Times New Roman" w:cs="Times New Roman" w:eastAsia="Times New Roman" w:hAnsi="Times New Roman"/>
                <w:sz w:val="14"/>
                <w:szCs w:val="14"/>
                <w:color w:val="auto"/>
                <w:vertAlign w:val="superscript"/>
              </w:rPr>
              <w:t>(4)(8)</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Warrants (8,358,075 warrants)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11/7/2023</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4,575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8,257</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15,939</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21,268</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Raptor US Buyer II Corp.</w:t>
            </w:r>
            <w:r>
              <w:rPr>
                <w:rFonts w:ascii="Times New Roman" w:cs="Times New Roman" w:eastAsia="Times New Roman" w:hAnsi="Times New Roman"/>
                <w:sz w:val="14"/>
                <w:szCs w:val="14"/>
                <w:color w:val="auto"/>
                <w:vertAlign w:val="superscript"/>
              </w:rPr>
              <w:t>(8)</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Ordinary Shares (83,408 shares)</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3/24/2023</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12,876</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11,588</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(8)</w:t>
            </w: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Class A-1 Units (7,606,491 units)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11/7/2022</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7,606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16,088</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SMA Technologies Holdings, LLC </w:t>
            </w:r>
            <w:r>
              <w:rPr>
                <w:rFonts w:ascii="Times New Roman" w:cs="Times New Roman" w:eastAsia="Times New Roman" w:hAnsi="Times New Roman"/>
                <w:sz w:val="14"/>
                <w:szCs w:val="14"/>
                <w:color w:val="auto"/>
                <w:vertAlign w:val="superscript"/>
              </w:rPr>
              <w:t>(8)(10)</w:t>
            </w:r>
          </w:p>
        </w:tc>
        <w:tc>
          <w:tcPr>
            <w:tcW w:w="2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Class A Units (244 units)</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11/21/2022</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Class B Units (173,048 units)</w:t>
            </w:r>
          </w:p>
        </w:tc>
        <w:tc>
          <w:tcPr>
            <w:tcW w:w="2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11/21/2022</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(4)(8)(10)</w:t>
            </w:r>
          </w:p>
        </w:tc>
        <w:tc>
          <w:tcPr>
            <w:tcW w:w="24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Convertible Preference Shares (38,503,125 units)</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12/11/2024</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49,063</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49,063</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3"/>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97"/>
              </w:rPr>
              <w:t>(GBP 39,175)</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140,027</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154,511</w:t>
            </w:r>
          </w:p>
        </w:tc>
        <w:tc>
          <w:tcPr>
            <w:tcW w:w="10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9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7,079,994</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7,244,282</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Interest Rate Swaps as of December 31,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rPr>
              <w:t>Upfront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3"/>
            <w:vMerge w:val="restart"/>
          </w:tcPr>
          <w:p>
            <w:pPr>
              <w:jc w:val="center"/>
              <w:ind w:right="415"/>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3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5"/>
              </w:rPr>
              <w:t>Market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(Payments) /</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jc w:val="center"/>
              <w:ind w:right="435"/>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0" w:type="dxa"/>
            <w:vAlign w:val="bottom"/>
          </w:tcPr>
          <w:p>
            <w:pPr>
              <w:spacing w:after="0"/>
              <w:rPr>
                <w:sz w:val="1"/>
                <w:szCs w:val="1"/>
                <w:color w:val="auto"/>
              </w:rPr>
            </w:pPr>
          </w:p>
        </w:tc>
      </w:tr>
      <w:tr>
        <w:trPr>
          <w:trHeight w:val="134"/>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Interest rate swap </w:t>
            </w:r>
            <w:r>
              <w:rPr>
                <w:rFonts w:ascii="Times New Roman" w:cs="Times New Roman" w:eastAsia="Times New Roman" w:hAnsi="Times New Roman"/>
                <w:sz w:val="14"/>
                <w:szCs w:val="14"/>
                <w:color w:val="auto"/>
                <w:vertAlign w:val="superscript"/>
              </w:rPr>
              <w:t>(a)(b)</w:t>
            </w:r>
          </w:p>
        </w:tc>
        <w:tc>
          <w:tcPr>
            <w:tcW w:w="9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Receives</w:t>
            </w:r>
          </w:p>
        </w:tc>
        <w:tc>
          <w:tcPr>
            <w:tcW w:w="13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0"/>
              </w:rPr>
              <w:t>Pays</w:t>
            </w:r>
          </w:p>
        </w:tc>
        <w:tc>
          <w:tcPr>
            <w:tcW w:w="1160" w:type="dxa"/>
            <w:vAlign w:val="bottom"/>
            <w:gridSpan w:val="3"/>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5"/>
              </w:rPr>
              <w:t>Receipts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7"/>
              </w:rPr>
              <w:t>Gains / (Losses)</w:t>
            </w:r>
          </w:p>
        </w:tc>
        <w:tc>
          <w:tcPr>
            <w:tcW w:w="0" w:type="dxa"/>
            <w:vAlign w:val="bottom"/>
          </w:tcPr>
          <w:p>
            <w:pPr>
              <w:spacing w:after="0"/>
              <w:rPr>
                <w:sz w:val="1"/>
                <w:szCs w:val="1"/>
                <w:color w:val="auto"/>
              </w:rPr>
            </w:pPr>
          </w:p>
        </w:tc>
      </w:tr>
      <w:tr>
        <w:trPr>
          <w:trHeight w:val="132"/>
        </w:trPr>
        <w:tc>
          <w:tcPr>
            <w:tcW w:w="2220" w:type="dxa"/>
            <w:vAlign w:val="bottom"/>
            <w:gridSpan w:val="2"/>
            <w:vMerge w:val="continue"/>
          </w:tcPr>
          <w:p>
            <w:pPr>
              <w:spacing w:after="0"/>
              <w:rPr>
                <w:sz w:val="11"/>
                <w:szCs w:val="11"/>
                <w:color w:val="auto"/>
              </w:rPr>
            </w:pP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6.50%</w:t>
            </w:r>
          </w:p>
        </w:tc>
        <w:tc>
          <w:tcPr>
            <w:tcW w:w="13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+ 2.51%</w:t>
            </w:r>
          </w:p>
        </w:tc>
        <w:tc>
          <w:tcPr>
            <w:tcW w:w="22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3/11/2029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600,000</w:t>
            </w: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(2,208)</w:t>
            </w:r>
          </w:p>
        </w:tc>
        <w:tc>
          <w:tcPr>
            <w:tcW w:w="10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5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color w:val="auto"/>
              </w:rPr>
              <w:t>(2,208)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Interest rate swap </w:t>
            </w:r>
            <w:r>
              <w:rPr>
                <w:rFonts w:ascii="Times New Roman" w:cs="Times New Roman" w:eastAsia="Times New Roman" w:hAnsi="Times New Roman"/>
                <w:sz w:val="14"/>
                <w:szCs w:val="14"/>
                <w:color w:val="auto"/>
                <w:vertAlign w:val="superscript"/>
              </w:rPr>
              <w:t>(a)(b)</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6.50%</w:t>
            </w:r>
          </w:p>
        </w:tc>
        <w:tc>
          <w:tcPr>
            <w:tcW w:w="13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+ 2.22%</w:t>
            </w: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3/11/2029</w:t>
            </w:r>
          </w:p>
        </w:tc>
        <w:tc>
          <w:tcPr>
            <w:tcW w:w="2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150,000</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1,129</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2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1"/>
                <w:szCs w:val="11"/>
                <w:color w:val="auto"/>
              </w:rPr>
              <w:t>1,129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Interest rate swap </w:t>
            </w:r>
            <w:r>
              <w:rPr>
                <w:rFonts w:ascii="Times New Roman" w:cs="Times New Roman" w:eastAsia="Times New Roman" w:hAnsi="Times New Roman"/>
                <w:sz w:val="14"/>
                <w:szCs w:val="14"/>
                <w:color w:val="auto"/>
                <w:vertAlign w:val="superscript"/>
              </w:rPr>
              <w:t>(a)(b)</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5.75%</w:t>
            </w:r>
          </w:p>
        </w:tc>
        <w:tc>
          <w:tcPr>
            <w:tcW w:w="13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+ 2.55%</w:t>
            </w:r>
          </w:p>
        </w:tc>
        <w:tc>
          <w:tcPr>
            <w:tcW w:w="22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1/15/2030</w:t>
            </w:r>
          </w:p>
        </w:tc>
        <w:tc>
          <w:tcPr>
            <w:tcW w:w="26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600,000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(24,135)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color w:val="auto"/>
              </w:rPr>
              <w:t>(24,135)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Hedge Accounting Swaps</w:t>
            </w:r>
          </w:p>
        </w:tc>
        <w:tc>
          <w:tcPr>
            <w:tcW w:w="9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1,350,000</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(25,214)</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102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rPr>
              <w:t>(25,214)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Cash collateral</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68,585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Borders>
              <w:bottom w:val="single" w:sz="8" w:color="CFF0FC"/>
            </w:tcBorders>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derivatives</w:t>
            </w:r>
          </w:p>
        </w:tc>
        <w:tc>
          <w:tcPr>
            <w:tcW w:w="94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1,350,000</w:t>
            </w:r>
          </w:p>
        </w:tc>
        <w:tc>
          <w:tcPr>
            <w:tcW w:w="2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43,371</w:t>
            </w:r>
          </w:p>
        </w:tc>
        <w:tc>
          <w:tcPr>
            <w:tcW w:w="2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ind w:left="40"/>
              <w:spacing w:after="0" w:line="112" w:lineRule="exact"/>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right w:val="single" w:sz="8" w:color="CFF0FC"/>
            </w:tcBorders>
            <w:shd w:val="clear" w:color="auto" w:fill="CFF0FC"/>
          </w:tcPr>
          <w:p>
            <w:pPr>
              <w:jc w:val="right"/>
              <w:ind w:right="22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right w:val="single" w:sz="8" w:color="CFF0FC"/>
            </w:tcBorders>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(25,214</w:t>
            </w:r>
          </w:p>
        </w:tc>
        <w:tc>
          <w:tcPr>
            <w:tcW w:w="80" w:type="dxa"/>
            <w:vAlign w:val="bottom"/>
            <w:tcBorders>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18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5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sz w:val="20"/>
          <w:szCs w:val="20"/>
          <w:color w:val="auto"/>
        </w:rPr>
      </w:pPr>
    </w:p>
    <w:p>
      <w:pPr>
        <w:jc w:val="both"/>
        <w:ind w:right="2580"/>
        <w:spacing w:after="0" w:line="286" w:lineRule="auto"/>
        <w:rPr>
          <w:sz w:val="20"/>
          <w:szCs w:val="20"/>
          <w:color w:val="auto"/>
        </w:rPr>
      </w:pPr>
      <w:r>
        <w:rPr>
          <w:rFonts w:ascii="Times New Roman" w:cs="Times New Roman" w:eastAsia="Times New Roman" w:hAnsi="Times New Roman"/>
          <w:sz w:val="14"/>
          <w:szCs w:val="14"/>
          <w:color w:val="auto"/>
        </w:rPr>
        <w:t>more than 25% of its outstanding voting securities and/or had the power to exercise control over the management or policies of such portfolio company. As of December 31, 2024, the Company does not “control” any of the portfolio companies. Also under the 1940 Act, the Company would be deemed to be an “Affiliated Person” of a portfolio company if the Company owns more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05" w:right="680" w:bottom="1440" w:gutter="0" w:footer="0" w:header="0"/>
        </w:sectPr>
      </w:pPr>
    </w:p>
    <w:bookmarkStart w:id="102" w:name="page103"/>
    <w:bookmarkEnd w:id="102"/>
    <w:p>
      <w:pPr>
        <w:spacing w:after="0" w:line="242" w:lineRule="auto"/>
        <w:rPr>
          <w:sz w:val="20"/>
          <w:szCs w:val="20"/>
          <w:color w:val="auto"/>
        </w:rPr>
      </w:pPr>
      <w:r>
        <w:rPr>
          <w:rFonts w:ascii="Times New Roman" w:cs="Times New Roman" w:eastAsia="Times New Roman" w:hAnsi="Times New Roman"/>
          <w:sz w:val="16"/>
          <w:szCs w:val="16"/>
          <w:color w:val="auto"/>
        </w:rPr>
        <w:t>than 5% of the portfolio company's outstanding voting securities. As of December 31, 2024, the Company does not identify any of its portfolio companies as affiliates. (2)The amortized cost represents the original cost adjusted for the amortization of discounts and premiums, as applicable, on debt investments using the effective interest method.</w:t>
      </w:r>
    </w:p>
    <w:p>
      <w:pPr>
        <w:spacing w:after="0" w:line="2" w:lineRule="exact"/>
        <w:rPr>
          <w:sz w:val="20"/>
          <w:szCs w:val="20"/>
          <w:color w:val="auto"/>
        </w:rPr>
      </w:pPr>
    </w:p>
    <w:p>
      <w:pPr>
        <w:ind w:right="2360"/>
        <w:spacing w:after="0" w:line="268" w:lineRule="auto"/>
        <w:rPr>
          <w:sz w:val="20"/>
          <w:szCs w:val="20"/>
          <w:color w:val="auto"/>
        </w:rPr>
      </w:pPr>
      <w:r>
        <w:rPr>
          <w:rFonts w:ascii="Times New Roman" w:cs="Times New Roman" w:eastAsia="Times New Roman" w:hAnsi="Times New Roman"/>
          <w:sz w:val="14"/>
          <w:szCs w:val="14"/>
          <w:color w:val="auto"/>
        </w:rPr>
        <w:t>(3)Investment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3"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27.8% of total assets as of December 31, 2024.</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3080"/>
        <w:spacing w:after="0" w:line="234" w:lineRule="auto"/>
        <w:rPr>
          <w:sz w:val="20"/>
          <w:szCs w:val="20"/>
          <w:color w:val="auto"/>
        </w:rPr>
      </w:pPr>
      <w:r>
        <w:rPr>
          <w:rFonts w:ascii="Times New Roman" w:cs="Times New Roman" w:eastAsia="Times New Roman" w:hAnsi="Times New Roman"/>
          <w:sz w:val="16"/>
          <w:szCs w:val="16"/>
          <w:color w:val="auto"/>
        </w:rPr>
        <w:t>(6)In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4 for further information related to investments at fair value.</w:t>
      </w:r>
    </w:p>
    <w:p>
      <w:pPr>
        <w:spacing w:after="0" w:line="3"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6"/>
          <w:szCs w:val="16"/>
          <w:color w:val="auto"/>
        </w:rPr>
        <w:t>(7)As of December 31, 2024, the estimated cost basis of investments for U.S. federal tax purposes was $7,102,780 resulting in estimated gross unrealized gains and losses of $222,515 and $56,184, respectfully.</w:t>
      </w:r>
    </w:p>
    <w:p>
      <w:pPr>
        <w:spacing w:after="0" w:line="236" w:lineRule="auto"/>
        <w:rPr>
          <w:sz w:val="20"/>
          <w:szCs w:val="20"/>
          <w:color w:val="auto"/>
        </w:rPr>
      </w:pPr>
      <w:r>
        <w:rPr>
          <w:rFonts w:ascii="Times New Roman" w:cs="Times New Roman" w:eastAsia="Times New Roman" w:hAnsi="Times New Roman"/>
          <w:sz w:val="16"/>
          <w:szCs w:val="16"/>
          <w:color w:val="auto"/>
        </w:rPr>
        <w:t>(8)This investment is non-income producing.</w:t>
      </w:r>
    </w:p>
    <w:p>
      <w:pPr>
        <w:spacing w:after="0" w:line="235" w:lineRule="auto"/>
        <w:rPr>
          <w:sz w:val="20"/>
          <w:szCs w:val="20"/>
          <w:color w:val="auto"/>
        </w:rPr>
      </w:pPr>
      <w:r>
        <w:rPr>
          <w:rFonts w:ascii="Times New Roman" w:cs="Times New Roman" w:eastAsia="Times New Roman" w:hAnsi="Times New Roman"/>
          <w:sz w:val="16"/>
          <w:szCs w:val="16"/>
          <w:color w:val="auto"/>
        </w:rPr>
        <w:t>(9)Certain portfolio company investments are subject to contractual restrictions on sales.</w:t>
      </w:r>
    </w:p>
    <w:p>
      <w:pPr>
        <w:spacing w:after="0" w:line="235" w:lineRule="auto"/>
        <w:rPr>
          <w:sz w:val="20"/>
          <w:szCs w:val="20"/>
          <w:color w:val="auto"/>
        </w:rPr>
      </w:pPr>
      <w:r>
        <w:rPr>
          <w:rFonts w:ascii="Times New Roman" w:cs="Times New Roman" w:eastAsia="Times New Roman" w:hAnsi="Times New Roman"/>
          <w:sz w:val="16"/>
          <w:szCs w:val="16"/>
          <w:color w:val="auto"/>
        </w:rPr>
        <w:t>(10)All or a portion of this security was acquired in a transaction exempt from registration under the Securities Act of 1933, as</w:t>
      </w:r>
    </w:p>
    <w:p>
      <w:pPr>
        <w:ind w:right="260"/>
        <w:spacing w:after="0" w:line="234" w:lineRule="auto"/>
        <w:rPr>
          <w:sz w:val="20"/>
          <w:szCs w:val="20"/>
          <w:color w:val="auto"/>
        </w:rPr>
      </w:pPr>
      <w:r>
        <w:rPr>
          <w:rFonts w:ascii="Times New Roman" w:cs="Times New Roman" w:eastAsia="Times New Roman" w:hAnsi="Times New Roman"/>
          <w:sz w:val="16"/>
          <w:szCs w:val="16"/>
          <w:color w:val="auto"/>
        </w:rPr>
        <w:t>amended (the “Securities Act”), and may be deemed to be "restricted securities" under the Securities Act. As of December 31, 2024, the aggregate fair value of these securities is $77,388, or 1.9% of the Company's net assets.</w:t>
      </w:r>
    </w:p>
    <w:p>
      <w:pPr>
        <w:spacing w:after="0" w:line="1"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6"/>
          <w:szCs w:val="16"/>
          <w:color w:val="auto"/>
        </w:rPr>
        <w:t>(11)In addition to the principal amount outstanding and accrued interest owed on this investment, the Company is entitled to a separate Make-Whole Amount (the “Make-Whole”) of $25.0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(12)This investment is valued using observable inputs and is considered a Level 2 investment. See Note 4 for further information related to investments at fair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03" w:name="page104"/>
    <w:bookmarkEnd w:id="103"/>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Net Assets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Paid in Capital in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Total Net</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Excess of Par</w:t>
            </w:r>
          </w:p>
        </w:tc>
        <w:tc>
          <w:tcPr>
            <w:tcW w:w="80" w:type="dxa"/>
            <w:vAlign w:val="bottom"/>
          </w:tcPr>
          <w:p>
            <w:pPr>
              <w:spacing w:after="0"/>
              <w:rPr>
                <w:sz w:val="11"/>
                <w:szCs w:val="1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Distributable Earnings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21,882,028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542,596</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4,093</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546,711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128,279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56,755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56,755</w:t>
            </w:r>
          </w:p>
        </w:tc>
        <w:tc>
          <w:tcPr>
            <w:tcW w:w="0" w:type="dxa"/>
            <w:vAlign w:val="bottom"/>
          </w:tcPr>
          <w:p>
            <w:pPr>
              <w:spacing w:after="0"/>
              <w:rPr>
                <w:sz w:val="1"/>
                <w:szCs w:val="1"/>
                <w:color w:val="auto"/>
              </w:rPr>
            </w:pPr>
          </w:p>
        </w:tc>
      </w:tr>
      <w:tr>
        <w:trPr>
          <w:trHeight w:val="144"/>
        </w:trPr>
        <w:tc>
          <w:tcPr>
            <w:tcW w:w="430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(1,045)</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56"/>
        </w:trPr>
        <w:tc>
          <w:tcPr>
            <w:tcW w:w="4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41,957,644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1,149,958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1,639,103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43,370</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43,371</w:t>
            </w: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(107,004)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(107,004)</w:t>
            </w: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Tax reclassification of shareholders' equity in accordance with GAAP</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65,478,775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1,734,426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82,576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1,817,067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0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364,848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134,024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134,024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68,127,885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1,999,668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6,601,368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(478,109)</w:t>
            </w: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(478,109)</w:t>
            </w: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Tax reclassification of shareholders' equity in accordance with GAAP</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(2,184)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140,208,028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3,923,739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112,591</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4,036,470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30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586,692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586,692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(80,914)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(80,914)</w:t>
            </w:r>
          </w:p>
        </w:tc>
        <w:tc>
          <w:tcPr>
            <w:tcW w:w="0" w:type="dxa"/>
            <w:vAlign w:val="bottom"/>
          </w:tcPr>
          <w:p>
            <w:pPr>
              <w:spacing w:after="0"/>
              <w:rPr>
                <w:sz w:val="1"/>
                <w:szCs w:val="1"/>
                <w:color w:val="auto"/>
              </w:rPr>
            </w:pPr>
          </w:p>
        </w:tc>
      </w:tr>
      <w:tr>
        <w:trPr>
          <w:trHeight w:val="144"/>
        </w:trPr>
        <w:tc>
          <w:tcPr>
            <w:tcW w:w="430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6,077,657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177,716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177,722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(556,797)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(556,797)</w:t>
            </w: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Tax reclassification of shareholders' equity in accordance with GAAP</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146,285,685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4,100,272</w:t>
            </w:r>
          </w:p>
        </w:tc>
        <w:tc>
          <w:tcPr>
            <w:tcW w:w="140" w:type="dxa"/>
            <w:vAlign w:val="bottom"/>
          </w:tcPr>
          <w:p>
            <w:pPr>
              <w:spacing w:after="0"/>
              <w:rPr>
                <w:sz w:val="13"/>
                <w:szCs w:val="13"/>
                <w:color w:val="auto"/>
              </w:rPr>
            </w:pPr>
          </w:p>
        </w:tc>
        <w:tc>
          <w:tcPr>
            <w:tcW w:w="440" w:type="dxa"/>
            <w:vAlign w:val="bottom"/>
            <w:gridSpan w:val="2"/>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70,070</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4,170,488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513,093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505,940</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to net cash provided by (used in) operating activities:</w:t>
            </w: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(51,500)</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(102,963)</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(61,554)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132,414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(31,061)</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(15,147)</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(3,734)</w:t>
            </w:r>
          </w:p>
        </w:tc>
        <w:tc>
          <w:tcPr>
            <w:tcW w:w="12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(2,836)</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(2,939)</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(61,734)</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(25,210)</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11,900</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(2,811,517)</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(4,763,492)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(2,285,956)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209,094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469,242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1,947,108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315,555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80,121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Paid-in-kind interest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(69,249)</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(33,672)</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receivable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(5,701)</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(38,936)</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(16,842)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(1,421)</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(1,022)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(18,783)</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(871)</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(9,627)</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17,803</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payables to affiliates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liabilities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61,012</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(844)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13,053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(163,775)</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(3,672,143)</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(2,091,827)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debt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3,304,036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8,610,981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2,886,747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on debt</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(3,650,332)</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(5,484,716)</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(2,181,500)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Deferred financing costs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(20,635)</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(28,454)</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to shareholders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(212,626)</w:t>
            </w:r>
          </w:p>
        </w:tc>
        <w:tc>
          <w:tcPr>
            <w:tcW w:w="1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(236,204)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Capital calls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(579,557)</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4,861,343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1,826,028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(743,332)</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1,189,200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(265,799)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1,198,013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274,612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454,681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1,198,013</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Supplemental Information:</w:t>
            </w: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199,119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158,054</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57,313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556,797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478,109</w:t>
            </w:r>
          </w:p>
        </w:tc>
        <w:tc>
          <w:tcPr>
            <w:tcW w:w="22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177,722</w:t>
            </w:r>
          </w:p>
        </w:tc>
        <w:tc>
          <w:tcPr>
            <w:tcW w:w="24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191,836</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43,371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60" w:type="dxa"/>
            <w:vAlign w:val="bottom"/>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130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vMerge w:val="continue"/>
            <w:shd w:val="clear" w:color="auto" w:fill="CFF0FC"/>
          </w:tcPr>
          <w:p>
            <w:pPr>
              <w:spacing w:after="0"/>
              <w:rPr>
                <w:sz w:val="5"/>
                <w:szCs w:val="5"/>
                <w:color w:val="auto"/>
              </w:rPr>
            </w:pPr>
          </w:p>
        </w:tc>
        <w:tc>
          <w:tcPr>
            <w:tcW w:w="130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vMerge w:val="continue"/>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216" w:lineRule="exact"/>
        <w:rPr>
          <w:sz w:val="20"/>
          <w:szCs w:val="20"/>
          <w:color w:val="auto"/>
        </w:rPr>
      </w:pPr>
    </w:p>
    <w:p>
      <w:pPr>
        <w:ind w:right="784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jc w:val="both"/>
        <w:ind w:right="100" w:firstLine="228"/>
        <w:spacing w:after="0" w:line="243" w:lineRule="auto"/>
        <w:rPr>
          <w:sz w:val="20"/>
          <w:szCs w:val="20"/>
          <w:color w:val="auto"/>
        </w:rPr>
      </w:pPr>
      <w:r>
        <w:rPr>
          <w:rFonts w:ascii="Times New Roman" w:cs="Times New Roman" w:eastAsia="Times New Roman" w:hAnsi="Times New Roman"/>
          <w:sz w:val="16"/>
          <w:szCs w:val="16"/>
          <w:color w:val="auto"/>
        </w:rPr>
        <w:t>Sixth Street Lending Partners (the “Company”) is a Delaware statutory trust formed on April 5, 2022 (“Inception”). The Company was formed primarily to lend to, and selectively invest in, upper middle- 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w:t>
      </w:r>
    </w:p>
    <w:p>
      <w:pPr>
        <w:spacing w:after="0" w:line="71"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On May 12, 2022, the Company formed a wholly-owned subsidiary, Sixth Street LP Holding, LLC, a Delaware limited liability company. On May 12, 2022, the Company formed a wholly-owned subsidiary, SSLP Lending, LLC, a Delaware limited liability company.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December 8, 2022, the Company formed a wholly-owned subsidiary, Sixth Street LP Holding II, LLC, a Delaware limited liability company.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December 21, 2023, the Company formed a wholly-owned subsidiary, Sixth Street Lending Partners Sub, LLC, a Cayman Islands limited liability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LP Holding, LLC has legally dissolved as of December 31, 2023.</w:t>
      </w:r>
    </w:p>
    <w:p>
      <w:pPr>
        <w:spacing w:after="0" w:line="7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77" w:lineRule="exact"/>
        <w:rPr>
          <w:sz w:val="20"/>
          <w:szCs w:val="20"/>
          <w:color w:val="auto"/>
        </w:rPr>
      </w:pPr>
    </w:p>
    <w:p>
      <w:pPr>
        <w:ind w:right="1000" w:firstLine="228"/>
        <w:spacing w:after="0" w:line="259" w:lineRule="auto"/>
        <w:rPr>
          <w:sz w:val="20"/>
          <w:szCs w:val="20"/>
          <w:color w:val="auto"/>
        </w:rPr>
      </w:pPr>
      <w:r>
        <w:rPr>
          <w:rFonts w:ascii="Times New Roman" w:cs="Times New Roman" w:eastAsia="Times New Roman" w:hAnsi="Times New Roman"/>
          <w:sz w:val="16"/>
          <w:szCs w:val="16"/>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59" w:lineRule="exact"/>
        <w:rPr>
          <w:sz w:val="20"/>
          <w:szCs w:val="20"/>
          <w:color w:val="auto"/>
        </w:rPr>
      </w:pPr>
    </w:p>
    <w:p>
      <w:pPr>
        <w:ind w:right="180" w:firstLine="228"/>
        <w:spacing w:after="0" w:line="241" w:lineRule="auto"/>
        <w:rPr>
          <w:sz w:val="20"/>
          <w:szCs w:val="20"/>
          <w:color w:val="auto"/>
        </w:rPr>
      </w:pPr>
      <w:r>
        <w:rPr>
          <w:rFonts w:ascii="Times New Roman" w:cs="Times New Roman" w:eastAsia="Times New Roman" w:hAnsi="Times New Roman"/>
          <w:sz w:val="16"/>
          <w:szCs w:val="16"/>
          <w:color w:val="auto"/>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$100.0 million. Refer to Note 6, Fair Value of Financial Instruments, to these consolidated financial statements for further details.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71"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162" w:lineRule="exact"/>
        <w:rPr>
          <w:sz w:val="20"/>
          <w:szCs w:val="20"/>
          <w:color w:val="auto"/>
        </w:rPr>
      </w:pPr>
    </w:p>
    <w:p>
      <w:pPr>
        <w:ind w:right="838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1" w:right="640" w:bottom="1440" w:gutter="0" w:footer="0" w:header="0"/>
        </w:sectPr>
      </w:pPr>
    </w:p>
    <w:bookmarkStart w:id="106" w:name="page107"/>
    <w:bookmarkEnd w:id="10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the Company's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2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6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80" w:firstLine="228"/>
        <w:spacing w:after="0" w:line="290" w:lineRule="auto"/>
        <w:rPr>
          <w:sz w:val="20"/>
          <w:szCs w:val="20"/>
          <w:color w:val="auto"/>
        </w:rPr>
      </w:pPr>
      <w:r>
        <w:rPr>
          <w:rFonts w:ascii="Times New Roman" w:cs="Times New Roman" w:eastAsia="Times New Roman" w:hAnsi="Times New Roman"/>
          <w:sz w:val="14"/>
          <w:szCs w:val="14"/>
          <w:color w:val="auto"/>
        </w:rPr>
        <w:t xml:space="preserve">The Company applies Financial Accounting Standards Board Accounting Standards Codification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7" w:name="page108"/>
    <w:bookmarkEnd w:id="107"/>
    <w:p>
      <w:pPr>
        <w:spacing w:after="0" w:line="6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190"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190"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8" w:name="page109"/>
    <w:bookmarkEnd w:id="10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Organization and Offering Expenses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6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Costs associated with the offering of Common Shares of the Company will be capitalized as deferred offering expenses on the Consolidated Balance Sheet and amortized over a twelve -month period from incurrence. These expenses consist primarily of legal fees and other costs incurred in connection with the Company’s private offering of its Common Shares.</w:t>
      </w:r>
    </w:p>
    <w:p>
      <w:pPr>
        <w:spacing w:after="0" w:line="6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77" w:lineRule="exact"/>
        <w:rPr>
          <w:sz w:val="20"/>
          <w:szCs w:val="20"/>
          <w:color w:val="auto"/>
        </w:rPr>
      </w:pPr>
    </w:p>
    <w:p>
      <w:pPr>
        <w:ind w:right="4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and December 31, 2024,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9" w:name="page110"/>
    <w:bookmarkEnd w:id="109"/>
    <w:p>
      <w:pPr>
        <w:spacing w:after="0" w:line="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the Company did not have any uncertain tax positions that met the recognition or measurement criteria, nor did the Company have any unrecognized tax benefits. The Company's 2024, 2023 and 2022 tax year returns remain subject to examination by the relevant federal, state, and local tax authorities.</w:t>
      </w:r>
    </w:p>
    <w:p>
      <w:pPr>
        <w:spacing w:after="0" w:line="170"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6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4"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the Company recorded a net expense of less than $0.1 million, $2.2 million and $1.5 million, respectively, for U.S. federal excise tax and other taxes.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the Company recorded no deferred tax benefit or deferred tax liability pertaining to net unrealized gains or losses from its investments. For the calendar year ended December 31, 2025, the Company recognized a tax expense of $1.2 million pertaining to net realized gains. For the calendar years ended December 31, 2024 and December 31, 2023, the Company recognized no tax expenses related to net realized gains.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Shareholders</w:t>
      </w:r>
    </w:p>
    <w:p>
      <w:pPr>
        <w:spacing w:after="0" w:line="94"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380" w:firstLine="228"/>
        <w:spacing w:after="0" w:line="289" w:lineRule="auto"/>
        <w:rPr>
          <w:sz w:val="20"/>
          <w:szCs w:val="20"/>
          <w:color w:val="auto"/>
        </w:rPr>
      </w:pPr>
      <w:r>
        <w:rPr>
          <w:rFonts w:ascii="Times New Roman" w:cs="Times New Roman" w:eastAsia="Times New Roman" w:hAnsi="Times New Roman"/>
          <w:sz w:val="14"/>
          <w:szCs w:val="14"/>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190"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64"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The Company’s chief operating decision maker (the “CODM”) is comprised of the senior executive committee that includes the Chief Executive Officer, Chief Financial Officer, and the Deputy Chief Financial Officer.</w:t>
      </w:r>
    </w:p>
    <w:p>
      <w:pPr>
        <w:spacing w:after="0" w:line="155"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6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190"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adopted ASU 2023-09 effective December 31, 2025 and concluded that the application of this guidance did not have any material impact on its consolidated financial statements.</w:t>
      </w:r>
    </w:p>
    <w:p>
      <w:pPr>
        <w:spacing w:after="0" w:line="167" w:lineRule="exact"/>
        <w:rPr>
          <w:sz w:val="20"/>
          <w:szCs w:val="20"/>
          <w:color w:val="auto"/>
        </w:rPr>
      </w:pPr>
    </w:p>
    <w:p>
      <w:pPr>
        <w:ind w:right="520" w:firstLine="228"/>
        <w:spacing w:after="0" w:line="247" w:lineRule="auto"/>
        <w:rPr>
          <w:sz w:val="20"/>
          <w:szCs w:val="20"/>
          <w:color w:val="auto"/>
        </w:rPr>
      </w:pPr>
      <w:r>
        <w:rPr>
          <w:rFonts w:ascii="Times New Roman" w:cs="Times New Roman" w:eastAsia="Times New Roman" w:hAnsi="Times New Roman"/>
          <w:sz w:val="16"/>
          <w:szCs w:val="16"/>
          <w:color w:val="auto"/>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effective for annual periods beginning after December 15, 2025, including interim periods within those fiscal years, though early adoption is permitted. The Company does not expect this update to have a material effect on our consolidated financial statements.</w:t>
      </w:r>
    </w:p>
    <w:p>
      <w:pPr>
        <w:spacing w:after="0" w:line="155"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spacing w:after="0" w:line="153" w:lineRule="exact"/>
        <w:rPr>
          <w:sz w:val="20"/>
          <w:szCs w:val="20"/>
          <w:color w:val="auto"/>
        </w:rPr>
      </w:pPr>
    </w:p>
    <w:p>
      <w:pPr>
        <w:ind w:right="7400" w:firstLine="6"/>
        <w:spacing w:after="0" w:line="361" w:lineRule="auto"/>
        <w:tabs>
          <w:tab w:leader="none" w:pos="156"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77"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68"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74" w:lineRule="exact"/>
        <w:rPr>
          <w:sz w:val="20"/>
          <w:szCs w:val="20"/>
          <w:color w:val="auto"/>
        </w:rPr>
      </w:pPr>
    </w:p>
    <w:p>
      <w:pPr>
        <w:jc w:val="both"/>
        <w:ind w:right="48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Company incurred expenses of $4.3 million, $ 4.0 million and $2.7 million, respectively, for administrative services payable to the Adviser under the terms of the Administration Agreement, which is included in other general and administrative expenses in the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71"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spacing w:after="0" w:line="68"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Management Fee is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Management Fees (gross of waivers) were $108.0 million, $67.8 million and $25.2 million, respectively.</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12" w:name="page113"/>
    <w:bookmarkEnd w:id="112"/>
    <w:p>
      <w:pPr>
        <w:spacing w:after="0" w:line="65" w:lineRule="exact"/>
        <w:rPr>
          <w:sz w:val="20"/>
          <w:szCs w:val="20"/>
          <w:color w:val="auto"/>
        </w:rPr>
      </w:pPr>
    </w:p>
    <w:p>
      <w:pPr>
        <w:jc w:val="both"/>
        <w:ind w:right="40" w:firstLine="228"/>
        <w:spacing w:after="0" w:line="241" w:lineRule="auto"/>
        <w:rPr>
          <w:sz w:val="20"/>
          <w:szCs w:val="20"/>
          <w:color w:val="auto"/>
        </w:rPr>
      </w:pPr>
      <w:r>
        <w:rPr>
          <w:rFonts w:ascii="Times New Roman" w:cs="Times New Roman" w:eastAsia="Times New Roman" w:hAnsi="Times New Roman"/>
          <w:sz w:val="16"/>
          <w:szCs w:val="16"/>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years ended December 31, 2025, December 31, 2024 and December 31, 2023, Management Fees of $67.9 million, $43.8 million and $16.7 million, respectively, have been waived. Any waived Management Fees are not subject to recoupment by the Adviser.</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260"/>
        <w:spacing w:after="0" w:line="247"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8"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 -Incentive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77" w:lineRule="exact"/>
        <w:rPr>
          <w:sz w:val="20"/>
          <w:szCs w:val="20"/>
          <w:color w:val="auto"/>
        </w:rPr>
      </w:pPr>
    </w:p>
    <w:p>
      <w:pPr>
        <w:ind w:left="240" w:right="20"/>
        <w:spacing w:after="0" w:line="238" w:lineRule="auto"/>
        <w:rPr>
          <w:sz w:val="20"/>
          <w:szCs w:val="20"/>
          <w:color w:val="auto"/>
        </w:rPr>
      </w:pPr>
      <w:r>
        <w:rPr>
          <w:rFonts w:ascii="Times New Roman" w:cs="Times New Roman" w:eastAsia="Times New Roman" w:hAnsi="Times New Roman"/>
          <w:sz w:val="16"/>
          <w:szCs w:val="16"/>
          <w:color w:val="auto"/>
        </w:rPr>
        <w:t>(ii)The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7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59"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59"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6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on net investment income were $82.4 million, $54.7 million and $19.3 million, respectively. For the years ended December 31, 2025, December 31, 2024 and December 31, 2023, the Company had an accrual of $(9.6) million, $17.8 million and $6.7 million, respectively, related to Capital Gains (Losses) Fees.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Expense Support Agreement</w:t>
      </w:r>
    </w:p>
    <w:p>
      <w:pPr>
        <w:spacing w:after="0" w:line="190"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 Such Expense Payment will be made in any combination of cash or other immediately available funds no later than forty- 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3" w:name="page114"/>
    <w:bookmarkEnd w:id="113"/>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73"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the Adviser had not provided any written commitments for Expense Payments. The Company has not made any Reimbursement Payments to the Adviser. The Company may or may not reimburse remaining expense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December 31, 2025 and December 31, 2024:</w:t>
      </w:r>
    </w:p>
    <w:p>
      <w:pPr>
        <w:spacing w:after="0" w:line="296" w:lineRule="exact"/>
        <w:rPr>
          <w:sz w:val="20"/>
          <w:szCs w:val="20"/>
          <w:color w:val="auto"/>
        </w:rPr>
      </w:pPr>
    </w:p>
    <w:tbl>
      <w:tblPr>
        <w:tblLayout w:type="fixed"/>
        <w:tblInd w:w="148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15"/>
                <w:szCs w:val="15"/>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restart"/>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7,483,884</w:t>
            </w:r>
          </w:p>
        </w:tc>
        <w:tc>
          <w:tcPr>
            <w:tcW w:w="280" w:type="dxa"/>
            <w:vAlign w:val="bottom"/>
            <w:tcBorders>
              <w:left w:val="single" w:sz="8" w:color="CFF0FC"/>
            </w:tcBorders>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7,659,912</w:t>
            </w:r>
          </w:p>
        </w:tc>
        <w:tc>
          <w:tcPr>
            <w:tcW w:w="10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176,028</w:t>
            </w:r>
          </w:p>
        </w:tc>
        <w:tc>
          <w:tcPr>
            <w:tcW w:w="0" w:type="dxa"/>
            <w:vAlign w:val="bottom"/>
          </w:tcPr>
          <w:p>
            <w:pPr>
              <w:spacing w:after="0"/>
              <w:rPr>
                <w:sz w:val="1"/>
                <w:szCs w:val="1"/>
                <w:color w:val="auto"/>
              </w:rPr>
            </w:pP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35,279</w:t>
            </w:r>
          </w:p>
        </w:tc>
        <w:tc>
          <w:tcPr>
            <w:tcW w:w="2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5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215,194</w:t>
            </w:r>
          </w:p>
        </w:tc>
        <w:tc>
          <w:tcPr>
            <w:tcW w:w="280" w:type="dxa"/>
            <w:vAlign w:val="bottom"/>
            <w:tcBorders>
              <w:left w:val="single" w:sz="8" w:color="CFF0FC"/>
            </w:tcBorders>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222,366</w:t>
            </w:r>
          </w:p>
        </w:tc>
        <w:tc>
          <w:tcPr>
            <w:tcW w:w="180" w:type="dxa"/>
            <w:vAlign w:val="bottom"/>
            <w:tcBorders>
              <w:left w:val="single" w:sz="8" w:color="CFF0FC"/>
            </w:tcBorders>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7,172</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158,509</w:t>
            </w:r>
          </w:p>
        </w:tc>
        <w:tc>
          <w:tcPr>
            <w:tcW w:w="280" w:type="dxa"/>
            <w:vAlign w:val="bottom"/>
          </w:tcPr>
          <w:p>
            <w:pPr>
              <w:spacing w:after="0"/>
              <w:rPr>
                <w:sz w:val="17"/>
                <w:szCs w:val="17"/>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188,993</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3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7,892,866</w:t>
            </w:r>
          </w:p>
        </w:tc>
        <w:tc>
          <w:tcPr>
            <w:tcW w:w="280" w:type="dxa"/>
            <w:vAlign w:val="bottom"/>
            <w:tcBorders>
              <w:left w:val="single" w:sz="8" w:color="CFF0FC"/>
            </w:tcBorders>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8,108,654</w:t>
            </w:r>
          </w:p>
        </w:tc>
        <w:tc>
          <w:tcPr>
            <w:tcW w:w="10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215,788</w:t>
            </w: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24"/>
                <w:szCs w:val="24"/>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restart"/>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7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CFF0FC"/>
            </w:tcBorders>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6,732,065</w:t>
            </w:r>
          </w:p>
        </w:tc>
        <w:tc>
          <w:tcPr>
            <w:tcW w:w="280" w:type="dxa"/>
            <w:vAlign w:val="bottom"/>
            <w:tcBorders>
              <w:lef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6,871,809</w:t>
            </w:r>
          </w:p>
        </w:tc>
        <w:tc>
          <w:tcPr>
            <w:tcW w:w="10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139,744</w:t>
            </w:r>
          </w:p>
        </w:tc>
        <w:tc>
          <w:tcPr>
            <w:tcW w:w="0" w:type="dxa"/>
            <w:vAlign w:val="bottom"/>
          </w:tcPr>
          <w:p>
            <w:pPr>
              <w:spacing w:after="0"/>
              <w:rPr>
                <w:sz w:val="1"/>
                <w:szCs w:val="1"/>
                <w:color w:val="auto"/>
              </w:rPr>
            </w:pP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89,461</w:t>
            </w:r>
          </w:p>
        </w:tc>
        <w:tc>
          <w:tcPr>
            <w:tcW w:w="280" w:type="dxa"/>
            <w:vAlign w:val="bottom"/>
          </w:tcPr>
          <w:p>
            <w:pPr>
              <w:spacing w:after="0"/>
              <w:rPr>
                <w:sz w:val="15"/>
                <w:szCs w:val="15"/>
                <w:color w:val="auto"/>
              </w:rPr>
            </w:pPr>
          </w:p>
        </w:tc>
        <w:tc>
          <w:tcPr>
            <w:tcW w:w="12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94,778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5,317</w:t>
            </w: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5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tcBorders>
              <w:right w:val="single" w:sz="8" w:color="CFF0FC"/>
            </w:tcBorders>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118,441</w:t>
            </w:r>
          </w:p>
        </w:tc>
        <w:tc>
          <w:tcPr>
            <w:tcW w:w="280" w:type="dxa"/>
            <w:vAlign w:val="bottom"/>
            <w:tcBorders>
              <w:left w:val="single" w:sz="8" w:color="CFF0FC"/>
            </w:tcBorders>
            <w:shd w:val="clear" w:color="auto" w:fill="CFF0FC"/>
          </w:tcPr>
          <w:p>
            <w:pPr>
              <w:spacing w:after="0"/>
              <w:rPr>
                <w:sz w:val="17"/>
                <w:szCs w:val="17"/>
                <w:color w:val="auto"/>
              </w:rPr>
            </w:pPr>
          </w:p>
        </w:tc>
        <w:tc>
          <w:tcPr>
            <w:tcW w:w="12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123,184</w:t>
            </w:r>
          </w:p>
        </w:tc>
        <w:tc>
          <w:tcPr>
            <w:tcW w:w="10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4,743</w:t>
            </w:r>
          </w:p>
        </w:tc>
        <w:tc>
          <w:tcPr>
            <w:tcW w:w="0" w:type="dxa"/>
            <w:vAlign w:val="bottom"/>
          </w:tcPr>
          <w:p>
            <w:pPr>
              <w:spacing w:after="0"/>
              <w:rPr>
                <w:sz w:val="1"/>
                <w:szCs w:val="1"/>
                <w:color w:val="auto"/>
              </w:rPr>
            </w:pPr>
          </w:p>
        </w:tc>
      </w:tr>
      <w:tr>
        <w:trPr>
          <w:trHeight w:val="61"/>
        </w:trPr>
        <w:tc>
          <w:tcPr>
            <w:tcW w:w="2340" w:type="dxa"/>
            <w:vAlign w:val="bottom"/>
            <w:shd w:val="clear" w:color="auto" w:fill="CFF0FC"/>
          </w:tcPr>
          <w:p>
            <w:pPr>
              <w:spacing w:after="0"/>
              <w:rPr>
                <w:sz w:val="5"/>
                <w:szCs w:val="5"/>
                <w:color w:val="auto"/>
              </w:rPr>
            </w:pPr>
          </w:p>
        </w:tc>
        <w:tc>
          <w:tcPr>
            <w:tcW w:w="580" w:type="dxa"/>
            <w:vAlign w:val="bottom"/>
            <w:tcBorders>
              <w:right w:val="single" w:sz="8" w:color="CFF0FC"/>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00" w:type="dxa"/>
            <w:vAlign w:val="bottom"/>
            <w:tcBorders>
              <w:right w:val="single" w:sz="8" w:color="CFF0FC"/>
            </w:tcBorders>
            <w:vMerge w:val="continue"/>
            <w:shd w:val="clear" w:color="auto" w:fill="CFF0FC"/>
          </w:tcPr>
          <w:p>
            <w:pPr>
              <w:spacing w:after="0"/>
              <w:rPr>
                <w:sz w:val="5"/>
                <w:szCs w:val="5"/>
                <w:color w:val="auto"/>
              </w:rPr>
            </w:pPr>
          </w:p>
        </w:tc>
        <w:tc>
          <w:tcPr>
            <w:tcW w:w="280" w:type="dxa"/>
            <w:vAlign w:val="bottom"/>
            <w:tcBorders>
              <w:left w:val="single" w:sz="8" w:color="CFF0FC"/>
            </w:tcBorders>
            <w:shd w:val="clear" w:color="auto" w:fill="CFF0FC"/>
          </w:tcPr>
          <w:p>
            <w:pPr>
              <w:spacing w:after="0"/>
              <w:rPr>
                <w:sz w:val="5"/>
                <w:szCs w:val="5"/>
                <w:color w:val="auto"/>
              </w:rPr>
            </w:pPr>
          </w:p>
        </w:tc>
        <w:tc>
          <w:tcPr>
            <w:tcW w:w="1200" w:type="dxa"/>
            <w:vAlign w:val="bottom"/>
            <w:tcBorders>
              <w:right w:val="single" w:sz="8" w:color="CFF0FC"/>
            </w:tcBorders>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tcBorders>
              <w:left w:val="single" w:sz="8" w:color="CFF0FC"/>
            </w:tcBorders>
            <w:shd w:val="clear" w:color="auto" w:fill="CFF0FC"/>
          </w:tcPr>
          <w:p>
            <w:pPr>
              <w:spacing w:after="0"/>
              <w:rPr>
                <w:sz w:val="5"/>
                <w:szCs w:val="5"/>
                <w:color w:val="auto"/>
              </w:rPr>
            </w:pPr>
          </w:p>
        </w:tc>
        <w:tc>
          <w:tcPr>
            <w:tcW w:w="114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140,027</w:t>
            </w:r>
          </w:p>
        </w:tc>
        <w:tc>
          <w:tcPr>
            <w:tcW w:w="2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7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CFF0FC"/>
            </w:tcBorders>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7,079,994</w:t>
            </w:r>
          </w:p>
        </w:tc>
        <w:tc>
          <w:tcPr>
            <w:tcW w:w="280" w:type="dxa"/>
            <w:vAlign w:val="bottom"/>
            <w:tcBorders>
              <w:lef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7,244,282</w:t>
            </w:r>
          </w:p>
        </w:tc>
        <w:tc>
          <w:tcPr>
            <w:tcW w:w="10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164,288</w:t>
            </w: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4" w:name="page115"/>
    <w:bookmarkEnd w:id="114"/>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2025 and December 31, 2024, is as follows:</w:t>
      </w:r>
    </w:p>
    <w:p>
      <w:pPr>
        <w:spacing w:after="0" w:line="248"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420" w:type="dxa"/>
            <w:vAlign w:val="bottom"/>
            <w:gridSpan w:val="3"/>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4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4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4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4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464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gridSpan w:val="3"/>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3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4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3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2025 and December 31, 2024 is as follows:</w:t>
      </w:r>
    </w:p>
    <w:p>
      <w:pPr>
        <w:spacing w:after="0" w:line="248" w:lineRule="exact"/>
        <w:rPr>
          <w:sz w:val="20"/>
          <w:szCs w:val="20"/>
          <w:color w:val="auto"/>
        </w:rPr>
      </w:pPr>
    </w:p>
    <w:tbl>
      <w:tblPr>
        <w:tblLayout w:type="fixed"/>
        <w:tblInd w:w="164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0"/>
        </w:trPr>
        <w:tc>
          <w:tcPr>
            <w:tcW w:w="44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r>
      <w:tr>
        <w:trPr>
          <w:trHeight w:val="180"/>
        </w:trPr>
        <w:tc>
          <w:tcPr>
            <w:tcW w:w="44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180"/>
        </w:trPr>
        <w:tc>
          <w:tcPr>
            <w:tcW w:w="44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14.2%</w:t>
            </w:r>
          </w:p>
        </w:tc>
      </w:tr>
      <w:tr>
        <w:trPr>
          <w:trHeight w:val="180"/>
        </w:trPr>
        <w:tc>
          <w:tcPr>
            <w:tcW w:w="44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26.8%</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Canada </w:t>
            </w:r>
            <w:r>
              <w:rPr>
                <w:rFonts w:ascii="Times New Roman" w:cs="Times New Roman" w:eastAsia="Times New Roman" w:hAnsi="Times New Roman"/>
                <w:sz w:val="20"/>
                <w:szCs w:val="20"/>
                <w:color w:val="auto"/>
                <w:vertAlign w:val="superscript"/>
              </w:rPr>
              <w:t>(1)</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Italy</w:t>
            </w:r>
          </w:p>
        </w:tc>
        <w:tc>
          <w:tcPr>
            <w:tcW w:w="140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14"/>
                <w:szCs w:val="14"/>
                <w:color w:val="auto"/>
              </w:rPr>
              <w:t>2.8</w:t>
            </w:r>
            <w:r>
              <w:rPr>
                <w:rFonts w:ascii="Times New Roman" w:cs="Times New Roman" w:eastAsia="Times New Roman" w:hAnsi="Times New Roman"/>
                <w:sz w:val="26"/>
                <w:szCs w:val="26"/>
                <w:color w:val="auto"/>
                <w:vertAlign w:val="subscript"/>
              </w:rPr>
              <w:t>%</w:t>
            </w:r>
          </w:p>
        </w:tc>
        <w:tc>
          <w:tcPr>
            <w:tcW w:w="14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14"/>
                <w:szCs w:val="14"/>
                <w:color w:val="auto"/>
              </w:rPr>
              <w:t>2.4</w:t>
            </w:r>
            <w:r>
              <w:rPr>
                <w:rFonts w:ascii="Times New Roman" w:cs="Times New Roman" w:eastAsia="Times New Roman" w:hAnsi="Times New Roman"/>
                <w:sz w:val="26"/>
                <w:szCs w:val="26"/>
                <w:color w:val="auto"/>
                <w:vertAlign w:val="subscript"/>
              </w:rPr>
              <w:t>%</w:t>
            </w: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4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r>
      <w:tr>
        <w:trPr>
          <w:trHeight w:val="200"/>
        </w:trPr>
        <w:tc>
          <w:tcPr>
            <w:tcW w:w="440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4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200" w:lineRule="exact"/>
        <w:rPr>
          <w:sz w:val="20"/>
          <w:szCs w:val="20"/>
          <w:color w:val="auto"/>
        </w:rPr>
      </w:pPr>
    </w:p>
    <w:p>
      <w:pPr>
        <w:spacing w:after="0" w:line="322" w:lineRule="exact"/>
        <w:rPr>
          <w:sz w:val="20"/>
          <w:szCs w:val="20"/>
          <w:color w:val="auto"/>
        </w:rPr>
      </w:pPr>
    </w:p>
    <w:p>
      <w:pPr>
        <w:ind w:right="8880" w:firstLine="6"/>
        <w:spacing w:after="0" w:line="413" w:lineRule="auto"/>
        <w:tabs>
          <w:tab w:leader="none" w:pos="15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14"/>
          <w:szCs w:val="14"/>
          <w:i w:val="1"/>
          <w:iCs w:val="1"/>
          <w:color w:val="auto"/>
        </w:rPr>
        <w:t>Interest Rate Swaps</w:t>
      </w: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Company may enter into interest rate swap transactions from time to time to hedge fixed rate debt obligations and certain fixed rate debt investments. The Company's interest rate swaps are all with one counterparty and are centrally cleared through a registered</w:t>
      </w:r>
    </w:p>
    <w:p>
      <w:pPr>
        <w:spacing w:after="0" w:line="1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660" w:top="1440" w:right="112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color w:val="auto"/>
        </w:rPr>
        <w:t>commodities exchange. Refer to the Consolidated Schedule of Investments for additional disclosure regarding these interest rate swaps.</w:t>
      </w:r>
    </w:p>
    <w:p>
      <w:pPr>
        <w:spacing w:after="0" w:line="92" w:lineRule="exact"/>
        <w:rPr>
          <w:sz w:val="20"/>
          <w:szCs w:val="20"/>
          <w:color w:val="auto"/>
        </w:rPr>
      </w:pPr>
    </w:p>
    <w:p>
      <w:pPr>
        <w:jc w:val="both"/>
        <w:ind w:firstLine="228"/>
        <w:spacing w:after="0" w:line="331" w:lineRule="auto"/>
        <w:rPr>
          <w:sz w:val="20"/>
          <w:szCs w:val="20"/>
          <w:color w:val="auto"/>
        </w:rPr>
      </w:pPr>
      <w:r>
        <w:rPr>
          <w:rFonts w:ascii="Times New Roman" w:cs="Times New Roman" w:eastAsia="Times New Roman" w:hAnsi="Times New Roman"/>
          <w:sz w:val="14"/>
          <w:szCs w:val="14"/>
          <w:color w:val="auto"/>
        </w:rPr>
        <w:t>Cash flows related to the Company's derivatives are included within operating activities on the Consolidated Statements of Cash Flows. The following table presents the amounts paid and received on the Company's interest rate swap transactions, excluding upfront fees, for the years ended December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8"/>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200" w:type="dxa"/>
            <w:vAlign w:val="bottom"/>
          </w:tcPr>
          <w:p>
            <w:pPr>
              <w:spacing w:after="0"/>
              <w:rPr>
                <w:sz w:val="14"/>
                <w:szCs w:val="14"/>
                <w:color w:val="auto"/>
              </w:rPr>
            </w:pPr>
          </w:p>
        </w:tc>
        <w:tc>
          <w:tcPr>
            <w:tcW w:w="2800" w:type="dxa"/>
            <w:vAlign w:val="bottom"/>
            <w:gridSpan w:val="9"/>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r>
      <w:tr>
        <w:trPr>
          <w:trHeight w:val="170"/>
        </w:trPr>
        <w:tc>
          <w:tcPr>
            <w:tcW w:w="1400" w:type="dxa"/>
            <w:vAlign w:val="bottom"/>
          </w:tcPr>
          <w:p>
            <w:pPr>
              <w:spacing w:after="0"/>
              <w:rPr>
                <w:sz w:val="14"/>
                <w:szCs w:val="14"/>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40" w:type="dxa"/>
            <w:vAlign w:val="bottom"/>
          </w:tcPr>
          <w:p>
            <w:pPr>
              <w:spacing w:after="0"/>
              <w:rPr>
                <w:sz w:val="14"/>
                <w:szCs w:val="14"/>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2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68"/>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600" w:type="dxa"/>
            <w:vAlign w:val="bottom"/>
            <w:tcBorders>
              <w:right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3/11/2029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(41,288)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(2,288)</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(37,014)</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(6,247)</w:t>
            </w:r>
          </w:p>
        </w:tc>
      </w:tr>
      <w:tr>
        <w:trPr>
          <w:trHeight w:val="16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3/11/2029</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(9,886)</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(721)</w:t>
            </w:r>
          </w:p>
        </w:tc>
      </w:tr>
      <w:tr>
        <w:trPr>
          <w:trHeight w:val="168"/>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600" w:type="dxa"/>
            <w:vAlign w:val="bottom"/>
            <w:tcBorders>
              <w:right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1/15/2030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(41,498)</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34,500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(6,998)</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(12,276)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(2,789)</w:t>
            </w:r>
          </w:p>
        </w:tc>
      </w:tr>
      <w:tr>
        <w:trPr>
          <w:trHeight w:val="16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7/15/2030</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(45,249)</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(1,608)</w:t>
            </w:r>
          </w:p>
        </w:tc>
        <w:tc>
          <w:tcPr>
            <w:tcW w:w="2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1400" w:type="dxa"/>
            <w:vAlign w:val="bottom"/>
            <w:shd w:val="clear" w:color="auto" w:fill="CFF0FC"/>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2,100,000</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1"/>
                <w:szCs w:val="11"/>
                <w:color w:val="auto"/>
              </w:rPr>
              <w:t>(137,921</w:t>
            </w:r>
            <w:r>
              <w:rPr>
                <w:rFonts w:ascii="Times New Roman" w:cs="Times New Roman" w:eastAsia="Times New Roman" w:hAnsi="Times New Roman"/>
                <w:sz w:val="17"/>
                <w:szCs w:val="17"/>
                <w:color w:val="auto"/>
                <w:vertAlign w:val="subscript"/>
              </w:rPr>
              <w:t>)</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126,891</w:t>
            </w:r>
          </w:p>
        </w:tc>
        <w:tc>
          <w:tcPr>
            <w:tcW w:w="36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1"/>
                <w:szCs w:val="11"/>
                <w:color w:val="auto"/>
              </w:rPr>
              <w:t>(11,030</w:t>
            </w:r>
            <w:r>
              <w:rPr>
                <w:rFonts w:ascii="Times New Roman" w:cs="Times New Roman" w:eastAsia="Times New Roman" w:hAnsi="Times New Roman"/>
                <w:sz w:val="17"/>
                <w:szCs w:val="17"/>
                <w:color w:val="auto"/>
                <w:vertAlign w:val="subscript"/>
              </w:rPr>
              <w:t>)</w:t>
            </w:r>
          </w:p>
        </w:tc>
        <w:tc>
          <w:tcPr>
            <w:tcW w:w="200" w:type="dxa"/>
            <w:vAlign w:val="bottom"/>
            <w:shd w:val="clear" w:color="auto" w:fill="CFF0FC"/>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(55,103</w:t>
            </w:r>
            <w:r>
              <w:rPr>
                <w:rFonts w:ascii="Times New Roman" w:cs="Times New Roman" w:eastAsia="Times New Roman" w:hAnsi="Times New Roman"/>
                <w:sz w:val="17"/>
                <w:szCs w:val="17"/>
                <w:color w:val="auto"/>
                <w:vertAlign w:val="subscript"/>
              </w:rPr>
              <w:t>)</w:t>
            </w:r>
          </w:p>
        </w:tc>
        <w:tc>
          <w:tcPr>
            <w:tcW w:w="2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45,346</w:t>
            </w:r>
          </w:p>
        </w:tc>
        <w:tc>
          <w:tcPr>
            <w:tcW w:w="38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1"/>
                <w:szCs w:val="11"/>
                <w:color w:val="auto"/>
              </w:rPr>
              <w:t>(9,757</w:t>
            </w:r>
            <w:r>
              <w:rPr>
                <w:rFonts w:ascii="Times New Roman" w:cs="Times New Roman" w:eastAsia="Times New Roman" w:hAnsi="Times New Roman"/>
                <w:sz w:val="17"/>
                <w:szCs w:val="17"/>
                <w:color w:val="auto"/>
                <w:vertAlign w:val="subscript"/>
              </w:rPr>
              <w:t>)</w:t>
            </w:r>
          </w:p>
        </w:tc>
      </w:tr>
      <w:tr>
        <w:trPr>
          <w:trHeight w:val="20"/>
        </w:trPr>
        <w:tc>
          <w:tcPr>
            <w:tcW w:w="14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35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For the years ended December 31, 2025 and December 31, 2024, the Company recognized $56.1 million in unrealized losses and $25.2 million in unrealized gains, respectively, on interest rate swaps designated as hedging instruments in the Consolidated Statement of Operations. For the years ended December 31, 2025 and December 31, 2024, this amount is offset by an increase of $16.2 million and a decrease of $1.1 million, respectively, in the carrying value of the 2029 notes. For the years ended December 31, 2025 and December 31, 2024, this amount is offset by an increase of $19.0 million and a decrease of $24.1 million, respectively, in the carrying value of the January 2030 notes. For the year ended December 31, 2025, this amount is offset by an increase of $21.0 million in the carrying value of the July 2030 notes.</w:t>
      </w:r>
    </w:p>
    <w:p>
      <w:pPr>
        <w:spacing w:after="0" w:line="77" w:lineRule="exact"/>
        <w:rPr>
          <w:sz w:val="20"/>
          <w:szCs w:val="20"/>
          <w:color w:val="auto"/>
        </w:rPr>
      </w:pPr>
    </w:p>
    <w:p>
      <w:pPr>
        <w:ind w:right="22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2025, the swap transaction had a fair value of $30.9 million, which is netted against cash collateral of $47.7 million. Cash is pledged as collateral under the Company's derivative agreements and is included in restricted cash as a component of cash and cash equivalents on the Company's Consolidated Balance Sheet. As of December 31, 2025, the derivatives had a fair value of $78.6 million. As of December 31, 2024, the swap transaction had a fair value of $(25.2) million, which is netted against cash collateral of $68.6 million. Cash is pledged as collateral under the Company's derivative agreements and is included in restricted cash as a component of cash and cash equivalents on the Company's Consolidated Balance Sheet. As of December 31, 2024, the derivatives had a fair value of $43.4 million.</w:t>
      </w:r>
    </w:p>
    <w:p>
      <w:pPr>
        <w:spacing w:after="0" w:line="77"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to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of other counterparties in the future.</w:t>
      </w:r>
    </w:p>
    <w:p>
      <w:pPr>
        <w:spacing w:after="0" w:line="174" w:lineRule="exact"/>
        <w:rPr>
          <w:sz w:val="20"/>
          <w:szCs w:val="20"/>
          <w:color w:val="auto"/>
        </w:rPr>
      </w:pPr>
    </w:p>
    <w:p>
      <w:pPr>
        <w:ind w:right="8000" w:firstLine="6"/>
        <w:spacing w:after="0" w:line="361" w:lineRule="auto"/>
        <w:tabs>
          <w:tab w:leader="none" w:pos="156"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December 31, 2025 and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9"/>
              </w:rPr>
              <w:t>Fair Value Hierarchy at December 31, 2025</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1180" w:type="dxa"/>
            <w:vAlign w:val="bottom"/>
          </w:tcPr>
          <w:p>
            <w:pPr>
              <w:spacing w:after="0"/>
              <w:rPr>
                <w:sz w:val="15"/>
                <w:szCs w:val="15"/>
                <w:color w:val="auto"/>
              </w:rPr>
            </w:pPr>
          </w:p>
        </w:tc>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900" w:type="dxa"/>
            <w:vAlign w:val="bottom"/>
            <w:shd w:val="clear" w:color="auto" w:fill="CFF0FC"/>
          </w:tcPr>
          <w:p>
            <w:pPr>
              <w:jc w:val="right"/>
              <w:ind w:right="74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FF0FC"/>
            </w:tcBorders>
            <w:gridSpan w:val="2"/>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260,984</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7,398,928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7,659,912</w:t>
            </w:r>
          </w:p>
        </w:tc>
        <w:tc>
          <w:tcPr>
            <w:tcW w:w="1160" w:type="dxa"/>
            <w:vAlign w:val="bottom"/>
          </w:tcPr>
          <w:p>
            <w:pPr>
              <w:spacing w:after="0"/>
              <w:rPr>
                <w:sz w:val="15"/>
                <w:szCs w:val="15"/>
                <w:color w:val="auto"/>
              </w:rPr>
            </w:pPr>
          </w:p>
        </w:tc>
      </w:tr>
      <w:tr>
        <w:trPr>
          <w:trHeight w:val="180"/>
        </w:trPr>
        <w:tc>
          <w:tcPr>
            <w:tcW w:w="118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900" w:type="dxa"/>
            <w:vAlign w:val="bottom"/>
          </w:tcPr>
          <w:p>
            <w:pPr>
              <w:spacing w:after="0"/>
              <w:rPr>
                <w:sz w:val="15"/>
                <w:szCs w:val="15"/>
                <w:color w:val="auto"/>
              </w:rPr>
            </w:pPr>
          </w:p>
        </w:tc>
        <w:tc>
          <w:tcPr>
            <w:tcW w:w="4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37,160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37,383</w:t>
            </w:r>
          </w:p>
        </w:tc>
        <w:tc>
          <w:tcPr>
            <w:tcW w:w="1160" w:type="dxa"/>
            <w:vAlign w:val="bottom"/>
          </w:tcPr>
          <w:p>
            <w:pPr>
              <w:spacing w:after="0"/>
              <w:rPr>
                <w:sz w:val="15"/>
                <w:szCs w:val="15"/>
                <w:color w:val="auto"/>
              </w:rPr>
            </w:pPr>
          </w:p>
        </w:tc>
      </w:tr>
      <w:tr>
        <w:trPr>
          <w:trHeight w:val="232"/>
        </w:trPr>
        <w:tc>
          <w:tcPr>
            <w:tcW w:w="1180" w:type="dxa"/>
            <w:vAlign w:val="bottom"/>
          </w:tcPr>
          <w:p>
            <w:pPr>
              <w:spacing w:after="0"/>
              <w:rPr>
                <w:sz w:val="20"/>
                <w:szCs w:val="20"/>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9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right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222,366</w:t>
            </w:r>
          </w:p>
        </w:tc>
        <w:tc>
          <w:tcPr>
            <w:tcW w:w="2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222,366</w:t>
            </w:r>
          </w:p>
        </w:tc>
        <w:tc>
          <w:tcPr>
            <w:tcW w:w="1160" w:type="dxa"/>
            <w:vAlign w:val="bottom"/>
          </w:tcPr>
          <w:p>
            <w:pPr>
              <w:spacing w:after="0"/>
              <w:rPr>
                <w:sz w:val="20"/>
                <w:szCs w:val="20"/>
                <w:color w:val="auto"/>
              </w:rPr>
            </w:pPr>
          </w:p>
        </w:tc>
      </w:tr>
      <w:tr>
        <w:trPr>
          <w:trHeight w:val="180"/>
        </w:trPr>
        <w:tc>
          <w:tcPr>
            <w:tcW w:w="118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900" w:type="dxa"/>
            <w:vAlign w:val="bottom"/>
          </w:tcPr>
          <w:p>
            <w:pPr>
              <w:spacing w:after="0"/>
              <w:rPr>
                <w:sz w:val="15"/>
                <w:szCs w:val="15"/>
                <w:color w:val="auto"/>
              </w:rPr>
            </w:pPr>
          </w:p>
        </w:tc>
        <w:tc>
          <w:tcPr>
            <w:tcW w:w="4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188,993</w:t>
            </w: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188,993</w:t>
            </w:r>
          </w:p>
        </w:tc>
        <w:tc>
          <w:tcPr>
            <w:tcW w:w="1160" w:type="dxa"/>
            <w:vAlign w:val="bottom"/>
          </w:tcPr>
          <w:p>
            <w:pPr>
              <w:spacing w:after="0"/>
              <w:rPr>
                <w:sz w:val="15"/>
                <w:szCs w:val="15"/>
                <w:color w:val="auto"/>
              </w:rPr>
            </w:pPr>
          </w:p>
        </w:tc>
      </w:tr>
      <w:tr>
        <w:trPr>
          <w:trHeight w:val="180"/>
        </w:trPr>
        <w:tc>
          <w:tcPr>
            <w:tcW w:w="1180" w:type="dxa"/>
            <w:vAlign w:val="bottom"/>
          </w:tcPr>
          <w:p>
            <w:pPr>
              <w:spacing w:after="0"/>
              <w:rPr>
                <w:sz w:val="15"/>
                <w:szCs w:val="15"/>
                <w:color w:val="auto"/>
              </w:rPr>
            </w:pPr>
          </w:p>
        </w:tc>
        <w:tc>
          <w:tcPr>
            <w:tcW w:w="29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900" w:type="dxa"/>
            <w:vAlign w:val="bottom"/>
            <w:shd w:val="clear" w:color="auto" w:fill="CFF0FC"/>
          </w:tcPr>
          <w:p>
            <w:pPr>
              <w:jc w:val="right"/>
              <w:ind w:right="74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FF0FC"/>
            </w:tcBorders>
            <w:gridSpan w:val="2"/>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261,207</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7,847,447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8,108,654</w:t>
            </w:r>
          </w:p>
        </w:tc>
        <w:tc>
          <w:tcPr>
            <w:tcW w:w="1160" w:type="dxa"/>
            <w:vAlign w:val="bottom"/>
          </w:tcPr>
          <w:p>
            <w:pPr>
              <w:spacing w:after="0"/>
              <w:rPr>
                <w:sz w:val="15"/>
                <w:szCs w:val="15"/>
                <w:color w:val="auto"/>
              </w:rPr>
            </w:pPr>
          </w:p>
        </w:tc>
      </w:tr>
      <w:tr>
        <w:trPr>
          <w:trHeight w:val="180"/>
        </w:trPr>
        <w:tc>
          <w:tcPr>
            <w:tcW w:w="118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900" w:type="dxa"/>
            <w:vAlign w:val="bottom"/>
          </w:tcPr>
          <w:p>
            <w:pPr>
              <w:spacing w:after="0"/>
              <w:rPr>
                <w:sz w:val="15"/>
                <w:szCs w:val="15"/>
                <w:color w:val="auto"/>
              </w:rPr>
            </w:pPr>
          </w:p>
        </w:tc>
        <w:tc>
          <w:tcPr>
            <w:tcW w:w="4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30,932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30,932</w:t>
            </w:r>
          </w:p>
        </w:tc>
        <w:tc>
          <w:tcPr>
            <w:tcW w:w="1160" w:type="dxa"/>
            <w:vAlign w:val="bottom"/>
          </w:tcPr>
          <w:p>
            <w:pPr>
              <w:spacing w:after="0"/>
              <w:rPr>
                <w:sz w:val="15"/>
                <w:szCs w:val="15"/>
                <w:color w:val="auto"/>
              </w:rPr>
            </w:pPr>
          </w:p>
        </w:tc>
      </w:tr>
      <w:tr>
        <w:trPr>
          <w:trHeight w:val="200"/>
        </w:trPr>
        <w:tc>
          <w:tcPr>
            <w:tcW w:w="1180" w:type="dxa"/>
            <w:vAlign w:val="bottom"/>
          </w:tcPr>
          <w:p>
            <w:pPr>
              <w:spacing w:after="0"/>
              <w:rPr>
                <w:sz w:val="17"/>
                <w:szCs w:val="17"/>
                <w:color w:val="auto"/>
              </w:rPr>
            </w:pPr>
          </w:p>
        </w:tc>
        <w:tc>
          <w:tcPr>
            <w:tcW w:w="29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shd w:val="clear" w:color="auto" w:fill="CFF0FC"/>
          </w:tcPr>
          <w:p>
            <w:pPr>
              <w:jc w:val="right"/>
              <w:ind w:right="74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292,139</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7,847,447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8,139,586</w:t>
            </w:r>
          </w:p>
        </w:tc>
        <w:tc>
          <w:tcPr>
            <w:tcW w:w="11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9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18"/>
        </w:trPr>
        <w:tc>
          <w:tcPr>
            <w:tcW w:w="1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F-28</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74"/>
        </w:trPr>
        <w:tc>
          <w:tcPr>
            <w:tcW w:w="1180" w:type="dxa"/>
            <w:vAlign w:val="bottom"/>
            <w:tcBorders>
              <w:bottom w:val="single" w:sz="8" w:color="EEEEEE"/>
            </w:tcBorders>
          </w:tcPr>
          <w:p>
            <w:pPr>
              <w:spacing w:after="0"/>
              <w:rPr>
                <w:sz w:val="24"/>
                <w:szCs w:val="24"/>
                <w:color w:val="auto"/>
              </w:rPr>
            </w:pPr>
          </w:p>
        </w:tc>
        <w:tc>
          <w:tcPr>
            <w:tcW w:w="29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6" w:name="page117"/>
    <w:bookmarkEnd w:id="116"/>
    <w:tbl>
      <w:tblPr>
        <w:tblLayout w:type="fixed"/>
        <w:tblInd w:w="118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20" w:type="dxa"/>
            <w:vAlign w:val="bottom"/>
            <w:gridSpan w:val="7"/>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2024</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296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920" w:type="dxa"/>
            <w:vAlign w:val="bottom"/>
            <w:shd w:val="clear" w:color="auto" w:fill="CFF0FC"/>
          </w:tcPr>
          <w:p>
            <w:pPr>
              <w:jc w:val="right"/>
              <w:ind w:right="7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143,398</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6,728,411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6,871,809</w:t>
            </w:r>
          </w:p>
        </w:tc>
      </w:tr>
      <w:tr>
        <w:trPr>
          <w:trHeight w:val="180"/>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920" w:type="dxa"/>
            <w:vAlign w:val="bottom"/>
          </w:tcPr>
          <w:p>
            <w:pPr>
              <w:spacing w:after="0"/>
              <w:rPr>
                <w:sz w:val="15"/>
                <w:szCs w:val="15"/>
                <w:color w:val="auto"/>
              </w:rPr>
            </w:pPr>
          </w:p>
        </w:tc>
        <w:tc>
          <w:tcPr>
            <w:tcW w:w="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93,469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94,778</w:t>
            </w:r>
          </w:p>
        </w:tc>
      </w:tr>
      <w:tr>
        <w:trPr>
          <w:trHeight w:val="180"/>
        </w:trPr>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22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123,184</w:t>
            </w:r>
          </w:p>
        </w:tc>
      </w:tr>
      <w:tr>
        <w:trPr>
          <w:trHeight w:val="180"/>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920" w:type="dxa"/>
            <w:vAlign w:val="bottom"/>
          </w:tcPr>
          <w:p>
            <w:pPr>
              <w:spacing w:after="0"/>
              <w:rPr>
                <w:sz w:val="15"/>
                <w:szCs w:val="15"/>
                <w:color w:val="auto"/>
              </w:rPr>
            </w:pPr>
          </w:p>
        </w:tc>
        <w:tc>
          <w:tcPr>
            <w:tcW w:w="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154,511</w:t>
            </w:r>
          </w:p>
        </w:tc>
      </w:tr>
      <w:tr>
        <w:trPr>
          <w:trHeight w:val="180"/>
        </w:trPr>
        <w:tc>
          <w:tcPr>
            <w:tcW w:w="29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920" w:type="dxa"/>
            <w:vAlign w:val="bottom"/>
            <w:shd w:val="clear" w:color="auto" w:fill="CFF0FC"/>
          </w:tcPr>
          <w:p>
            <w:pPr>
              <w:jc w:val="right"/>
              <w:ind w:right="7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144,707</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7,244,282</w:t>
            </w:r>
          </w:p>
        </w:tc>
      </w:tr>
      <w:tr>
        <w:trPr>
          <w:trHeight w:val="180"/>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920" w:type="dxa"/>
            <w:vAlign w:val="bottom"/>
          </w:tcPr>
          <w:p>
            <w:pPr>
              <w:spacing w:after="0"/>
              <w:rPr>
                <w:sz w:val="15"/>
                <w:szCs w:val="15"/>
                <w:color w:val="auto"/>
              </w:rPr>
            </w:pPr>
          </w:p>
        </w:tc>
        <w:tc>
          <w:tcPr>
            <w:tcW w:w="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(25,214)</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(25,214)</w:t>
            </w:r>
          </w:p>
        </w:tc>
      </w:tr>
      <w:tr>
        <w:trPr>
          <w:trHeight w:val="200"/>
        </w:trPr>
        <w:tc>
          <w:tcPr>
            <w:tcW w:w="29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shd w:val="clear" w:color="auto" w:fill="CFF0FC"/>
          </w:tcPr>
          <w:p>
            <w:pPr>
              <w:jc w:val="right"/>
              <w:ind w:right="7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119,493</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7,219,068</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the changes in the fair value of investments for which Level 3 inputs were used to determine the fair value as of and for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6,728,411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93,469</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2,538,463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76,440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2,663,075</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(1,861,162)</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(83,916)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(1,945,078)</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(156,254)</w:t>
            </w: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(180,723)</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43,859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4,788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19,773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69,060</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39,065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(2,080)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55,414</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13,337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25,242</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54,641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5,701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60,882</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7,398,928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37,160</w:t>
            </w: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222,366</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188,993</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7,847,447</w:t>
            </w:r>
          </w:p>
        </w:tc>
        <w:tc>
          <w:tcPr>
            <w:tcW w:w="100" w:type="dxa"/>
            <w:vAlign w:val="bottom"/>
            <w:shd w:val="clear" w:color="auto" w:fill="CFF0FC"/>
          </w:tcPr>
          <w:p>
            <w:pPr>
              <w:spacing w:after="0"/>
              <w:rPr>
                <w:sz w:val="17"/>
                <w:szCs w:val="17"/>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the changes in the fair value of investments for which Level 3 inputs were used to determine the fair value as of and for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9"/>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120" w:type="dxa"/>
            <w:vAlign w:val="bottom"/>
          </w:tcPr>
          <w:p>
            <w:pPr>
              <w:spacing w:after="0"/>
              <w:rPr>
                <w:sz w:val="15"/>
                <w:szCs w:val="15"/>
                <w:color w:val="auto"/>
              </w:rPr>
            </w:pPr>
          </w:p>
        </w:tc>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2,848,805</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79,091</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105,918</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62,651</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3,096,465</w:t>
            </w: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1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4,492,641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120" w:type="dxa"/>
            <w:vAlign w:val="bottom"/>
          </w:tcPr>
          <w:p>
            <w:pPr>
              <w:spacing w:after="0"/>
              <w:rPr>
                <w:sz w:val="15"/>
                <w:szCs w:val="15"/>
                <w:color w:val="auto"/>
              </w:rPr>
            </w:pPr>
          </w:p>
        </w:tc>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(313,253)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(313,253)</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(425,921)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(2,161)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(428,082)</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18,092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1,213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14,319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33,624</w:t>
            </w: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2,545</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101,406</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4,501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4,567</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r>
      <w:tr>
        <w:trPr>
          <w:trHeight w:val="220"/>
        </w:trPr>
        <w:tc>
          <w:tcPr>
            <w:tcW w:w="120" w:type="dxa"/>
            <w:vAlign w:val="bottom"/>
          </w:tcPr>
          <w:p>
            <w:pPr>
              <w:spacing w:after="0"/>
              <w:rPr>
                <w:sz w:val="19"/>
                <w:szCs w:val="19"/>
                <w:color w:val="auto"/>
              </w:rPr>
            </w:pPr>
          </w:p>
        </w:tc>
        <w:tc>
          <w:tcPr>
            <w:tcW w:w="46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6,728,411</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93,469</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538"/>
        </w:trPr>
        <w:tc>
          <w:tcPr>
            <w:tcW w:w="120" w:type="dxa"/>
            <w:vAlign w:val="bottom"/>
          </w:tcPr>
          <w:p>
            <w:pPr>
              <w:spacing w:after="0"/>
              <w:rPr>
                <w:sz w:val="24"/>
                <w:szCs w:val="24"/>
                <w:color w:val="auto"/>
              </w:rPr>
            </w:pPr>
          </w:p>
        </w:tc>
        <w:tc>
          <w:tcPr>
            <w:tcW w:w="46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color w:val="auto"/>
                <w:w w:val="99"/>
              </w:rPr>
              <w:t>F-29</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r>
      <w:tr>
        <w:trPr>
          <w:trHeight w:val="674"/>
        </w:trPr>
        <w:tc>
          <w:tcPr>
            <w:tcW w:w="120" w:type="dxa"/>
            <w:vAlign w:val="bottom"/>
            <w:tcBorders>
              <w:bottom w:val="single" w:sz="8" w:color="EEEEEE"/>
            </w:tcBorders>
          </w:tcPr>
          <w:p>
            <w:pPr>
              <w:spacing w:after="0"/>
              <w:rPr>
                <w:sz w:val="24"/>
                <w:szCs w:val="24"/>
                <w:color w:val="auto"/>
              </w:rPr>
            </w:pPr>
          </w:p>
        </w:tc>
        <w:tc>
          <w:tcPr>
            <w:tcW w:w="46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17" w:name="page118"/>
    <w:bookmarkEnd w:id="117"/>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December 31, 2025 and December 31, 2024:</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c>
          <w:tcPr>
            <w:tcW w:w="1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 2025 on</w:t>
            </w: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2024 on</w:t>
            </w: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81,369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87,806</w:t>
            </w:r>
          </w:p>
        </w:tc>
        <w:tc>
          <w:tcPr>
            <w:tcW w:w="80" w:type="dxa"/>
            <w:vAlign w:val="bottom"/>
            <w:shd w:val="clear" w:color="auto" w:fill="CFF0FC"/>
          </w:tcPr>
          <w:p>
            <w:pPr>
              <w:spacing w:after="0"/>
              <w:rPr>
                <w:sz w:val="15"/>
                <w:szCs w:val="15"/>
                <w:color w:val="auto"/>
              </w:rPr>
            </w:pP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8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3,078</w:t>
            </w:r>
          </w:p>
        </w:tc>
        <w:tc>
          <w:tcPr>
            <w:tcW w:w="120" w:type="dxa"/>
            <w:vAlign w:val="bottom"/>
          </w:tcPr>
          <w:p>
            <w:pPr>
              <w:spacing w:after="0"/>
              <w:rPr>
                <w:sz w:val="15"/>
                <w:szCs w:val="15"/>
                <w:color w:val="auto"/>
              </w:rPr>
            </w:pPr>
          </w:p>
        </w:tc>
        <w:tc>
          <w:tcPr>
            <w:tcW w:w="17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4,324</w:t>
            </w:r>
          </w:p>
        </w:tc>
      </w:tr>
      <w:tr>
        <w:trPr>
          <w:trHeight w:val="180"/>
        </w:trPr>
        <w:tc>
          <w:tcPr>
            <w:tcW w:w="4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2,429</w:t>
            </w:r>
          </w:p>
        </w:tc>
        <w:tc>
          <w:tcPr>
            <w:tcW w:w="12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2,545</w:t>
            </w:r>
          </w:p>
        </w:tc>
      </w:tr>
      <w:tr>
        <w:trPr>
          <w:trHeight w:val="180"/>
        </w:trPr>
        <w:tc>
          <w:tcPr>
            <w:tcW w:w="4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19,683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14,484</w:t>
            </w:r>
          </w:p>
        </w:tc>
        <w:tc>
          <w:tcPr>
            <w:tcW w:w="80" w:type="dxa"/>
            <w:vAlign w:val="bottom"/>
          </w:tcPr>
          <w:p>
            <w:pPr>
              <w:spacing w:after="0"/>
              <w:rPr>
                <w:sz w:val="15"/>
                <w:szCs w:val="15"/>
                <w:color w:val="auto"/>
              </w:rPr>
            </w:pPr>
          </w:p>
        </w:tc>
      </w:tr>
      <w:tr>
        <w:trPr>
          <w:trHeight w:val="200"/>
        </w:trPr>
        <w:tc>
          <w:tcPr>
            <w:tcW w:w="45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106,559</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109,159</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30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at fair value and the significant unobservable inputs used in the valuations as of December 31, 2025 and December 31, 2024. The tables are not intended to be all-inclusive, but instead capture the significant unobservable inputs relevant to the Company’s determination of fair values.</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8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98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56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198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480" w:type="dxa"/>
            <w:vAlign w:val="bottom"/>
          </w:tcPr>
          <w:p>
            <w:pPr>
              <w:spacing w:after="0"/>
              <w:rPr>
                <w:sz w:val="14"/>
                <w:szCs w:val="14"/>
                <w:color w:val="auto"/>
              </w:rPr>
            </w:pPr>
          </w:p>
        </w:tc>
        <w:tc>
          <w:tcPr>
            <w:tcW w:w="60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40" w:type="dxa"/>
            <w:vAlign w:val="bottom"/>
          </w:tcPr>
          <w:p>
            <w:pPr>
              <w:spacing w:after="0"/>
              <w:rPr>
                <w:sz w:val="14"/>
                <w:szCs w:val="14"/>
                <w:color w:val="auto"/>
              </w:rPr>
            </w:pPr>
          </w:p>
        </w:tc>
        <w:tc>
          <w:tcPr>
            <w:tcW w:w="156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7,398,928</w:t>
            </w:r>
          </w:p>
        </w:tc>
        <w:tc>
          <w:tcPr>
            <w:tcW w:w="158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1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17.5%</w:t>
            </w: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(9.8%)</w:t>
            </w:r>
          </w:p>
        </w:tc>
        <w:tc>
          <w:tcPr>
            <w:tcW w:w="1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37,160</w:t>
            </w: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14.1%</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(13.6%)</w:t>
            </w: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222,366</w:t>
            </w:r>
          </w:p>
        </w:tc>
        <w:tc>
          <w:tcPr>
            <w:tcW w:w="1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1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10.8%</w:t>
            </w: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(10.8%)</w:t>
            </w:r>
          </w:p>
        </w:tc>
        <w:tc>
          <w:tcPr>
            <w:tcW w:w="1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188,993</w:t>
            </w:r>
          </w:p>
        </w:tc>
        <w:tc>
          <w:tcPr>
            <w:tcW w:w="1580" w:type="dxa"/>
            <w:vAlign w:val="bottom"/>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(2)</w:t>
            </w: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 multiple</w:t>
            </w:r>
          </w:p>
        </w:tc>
        <w:tc>
          <w:tcPr>
            <w:tcW w:w="172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color w:val="auto"/>
              </w:rPr>
              <w:t>2.8x — 25.0x (13.5x)</w:t>
            </w: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2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7,847,447</w:t>
            </w:r>
          </w:p>
        </w:tc>
        <w:tc>
          <w:tcPr>
            <w:tcW w:w="158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(1)Includes $50.8 million of first-lien debt investments valued using an asset waterfall and $60.9 million of first-lien debt investments valued using a comparable market price.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(2)Includes $81.4 million of equity investments valued using a discounted cash flow analysis.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40" w:type="dxa"/>
            <w:vAlign w:val="bottom"/>
          </w:tcPr>
          <w:p>
            <w:pPr>
              <w:spacing w:after="0"/>
              <w:rPr>
                <w:sz w:val="15"/>
                <w:szCs w:val="15"/>
                <w:color w:val="auto"/>
              </w:rPr>
            </w:pPr>
          </w:p>
        </w:tc>
        <w:tc>
          <w:tcPr>
            <w:tcW w:w="164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96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64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8"/>
              </w:rPr>
              <w:t>from an</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196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64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6,728,411</w:t>
            </w:r>
          </w:p>
        </w:tc>
        <w:tc>
          <w:tcPr>
            <w:tcW w:w="1560" w:type="dxa"/>
            <w:vAlign w:val="bottom"/>
            <w:shd w:val="clear" w:color="auto" w:fill="CFF0FC"/>
          </w:tcPr>
          <w:p>
            <w:pPr>
              <w:ind w:left="20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1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7.7% — 17.1% (10.6%)</w:t>
            </w:r>
          </w:p>
        </w:tc>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93,469</w:t>
            </w:r>
          </w:p>
        </w:tc>
        <w:tc>
          <w:tcPr>
            <w:tcW w:w="1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approach</w:t>
            </w:r>
          </w:p>
        </w:tc>
        <w:tc>
          <w:tcPr>
            <w:tcW w:w="1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 — 18.1% (17.8%)</w:t>
            </w: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123,184</w:t>
            </w:r>
          </w:p>
        </w:tc>
        <w:tc>
          <w:tcPr>
            <w:tcW w:w="1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approach</w:t>
            </w:r>
          </w:p>
        </w:tc>
        <w:tc>
          <w:tcPr>
            <w:tcW w:w="1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12.2% — 12.2% (12.2%)</w:t>
            </w:r>
          </w:p>
        </w:tc>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560" w:type="dxa"/>
            <w:vAlign w:val="bottom"/>
          </w:tcPr>
          <w:p>
            <w:pPr>
              <w:ind w:left="20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(2)</w:t>
            </w:r>
          </w:p>
        </w:tc>
        <w:tc>
          <w:tcPr>
            <w:tcW w:w="1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 multiple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4.8x — 20.0x (11.0x)</w:t>
            </w: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1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7,099,575</w:t>
            </w:r>
          </w:p>
        </w:tc>
        <w:tc>
          <w:tcPr>
            <w:tcW w:w="156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$226.4 million of first-lien debt investments valued using an asset waterfall.</w:t>
      </w:r>
    </w:p>
    <w:p>
      <w:pPr>
        <w:spacing w:after="0" w:line="92"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(2)Includes $8.3 million of equity investments valued using a Black-Scholes model and $49.1 million of equity investments valued using a discounted cash flow analysis.</w:t>
      </w:r>
    </w:p>
    <w:p>
      <w:pPr>
        <w:spacing w:after="0" w:line="15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18" w:name="page119"/>
    <w:bookmarkEnd w:id="11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Structured Credit Partners JV, LLC (“SCP”)</w:t>
      </w:r>
    </w:p>
    <w:p>
      <w:pPr>
        <w:spacing w:after="0" w:line="21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On December 23, 2025, affiliates of Sixth Street, including the Company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fee-free basis.</w:t>
      </w:r>
    </w:p>
    <w:p>
      <w:pPr>
        <w:spacing w:after="0" w:line="188"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Sixth Street affiliates own 50.0% of the equity interests in SCP and Carlyle affiliates own 50.0%, with investment decisions requiring approval by representatives of both the Sixth Street affiliates and the Carlyle affiliates. SCP will be initially capitalized with $200.0 million of capital commitments from Sixth Street Specialty Lending, Inc., $100.0 million of capital commitments from Sixth Street Lending Partners, $150.0 million of capital commitments from Carlyle Secured Lending, Inc., and $ 150.0 million of capital commitments from Carlyle Credit Solutions, Inc., with all members of SCP having equal voting control. Equity contributions will be called from each member on a pro-rata basis, based on their equity commitments. Funding of such commitments requires the approval of the board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Therefore, although the Company owns 25.0% of the voting interests of SCP, the Company does not believe that it has control over SCP for accounting purposes and does not consolidate its non-controlling interest in SCP.</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SCP had not commenced operations and no capital had been contributed to SCP.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Credit Facilities, which are categorized as Level 3 within the fair value hierarchy, as of December 31, 2025 and December 31, 2024, approximates its carrying value as the outstanding balance is callable at carrying value.</w:t>
      </w:r>
    </w:p>
    <w:p>
      <w:pPr>
        <w:spacing w:after="0" w:line="59"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fair value of the Company's 2029 Notes, January 2030 Notes and July 2030 Notes as of December 31, 2025 and December 31, 2024:</w:t>
      </w:r>
    </w:p>
    <w:p>
      <w:pPr>
        <w:spacing w:after="0" w:line="286" w:lineRule="exact"/>
        <w:rPr>
          <w:sz w:val="20"/>
          <w:szCs w:val="20"/>
          <w:color w:val="auto"/>
        </w:rPr>
      </w:pPr>
    </w:p>
    <w:tbl>
      <w:tblPr>
        <w:tblLayout w:type="fixed"/>
        <w:tblInd w:w="1380" w:type="dxa"/>
        <w:tblCellMar>
          <w:top w:w="0" w:type="dxa"/>
          <w:left w:w="0" w:type="dxa"/>
          <w:bottom w:w="0" w:type="dxa"/>
          <w:right w:w="0" w:type="dxa"/>
        </w:tblCellMar>
      </w:tblPr>
      <w:tr>
        <w:trPr>
          <w:trHeight w:val="169"/>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Pr>
          <w:p>
            <w:pPr>
              <w:spacing w:after="0"/>
              <w:rPr>
                <w:sz w:val="14"/>
                <w:szCs w:val="14"/>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1"/>
        </w:trPr>
        <w:tc>
          <w:tcPr>
            <w:tcW w:w="200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280" w:type="dxa"/>
            <w:vAlign w:val="bottom"/>
          </w:tcPr>
          <w:p>
            <w:pPr>
              <w:spacing w:after="0"/>
              <w:rPr>
                <w:sz w:val="15"/>
                <w:szCs w:val="15"/>
                <w:color w:val="auto"/>
              </w:rPr>
            </w:pPr>
          </w:p>
        </w:tc>
        <w:tc>
          <w:tcPr>
            <w:tcW w:w="13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(1)</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180" w:type="dxa"/>
            <w:vAlign w:val="bottom"/>
          </w:tcPr>
          <w:p>
            <w:pPr>
              <w:spacing w:after="0"/>
              <w:rPr>
                <w:sz w:val="15"/>
                <w:szCs w:val="15"/>
                <w:color w:val="auto"/>
              </w:rPr>
            </w:pPr>
          </w:p>
        </w:tc>
        <w:tc>
          <w:tcPr>
            <w:tcW w:w="120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(1)</w:t>
            </w:r>
          </w:p>
        </w:tc>
      </w:tr>
      <w:tr>
        <w:trPr>
          <w:trHeight w:val="180"/>
        </w:trPr>
        <w:tc>
          <w:tcPr>
            <w:tcW w:w="2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778,345</w:t>
            </w:r>
          </w:p>
        </w:tc>
        <w:tc>
          <w:tcPr>
            <w:tcW w:w="380" w:type="dxa"/>
            <w:vAlign w:val="bottom"/>
            <w:shd w:val="clear" w:color="auto" w:fill="CFF0FC"/>
          </w:tcPr>
          <w:p>
            <w:pPr>
              <w:jc w:val="right"/>
              <w:ind w:right="2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759,645</w:t>
            </w:r>
          </w:p>
        </w:tc>
      </w:tr>
      <w:tr>
        <w:trPr>
          <w:trHeight w:val="180"/>
        </w:trPr>
        <w:tc>
          <w:tcPr>
            <w:tcW w:w="2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380" w:type="dxa"/>
            <w:vAlign w:val="bottom"/>
          </w:tcPr>
          <w:p>
            <w:pPr>
              <w:spacing w:after="0"/>
              <w:rPr>
                <w:sz w:val="15"/>
                <w:szCs w:val="15"/>
                <w:color w:val="auto"/>
              </w:rPr>
            </w:pP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607,796</w:t>
            </w:r>
          </w:p>
        </w:tc>
        <w:tc>
          <w:tcPr>
            <w:tcW w:w="38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8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588,680</w:t>
            </w:r>
          </w:p>
        </w:tc>
      </w:tr>
      <w:tr>
        <w:trPr>
          <w:trHeight w:val="180"/>
        </w:trPr>
        <w:tc>
          <w:tcPr>
            <w:tcW w:w="2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769,633</w:t>
            </w:r>
          </w:p>
        </w:tc>
        <w:tc>
          <w:tcPr>
            <w:tcW w:w="3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2,155,774</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1,350,000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1,348,325</w:t>
            </w:r>
          </w:p>
        </w:tc>
        <w:tc>
          <w:tcPr>
            <w:tcW w:w="8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Under the fair value hierarchy, cash and cash equivalents are classified as Level 1 while the Company’s other assets and liabilities, other than investments at fair value and Credit Facilities, are classified as Level 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 Facility</w:t>
      </w:r>
    </w:p>
    <w:p>
      <w:pPr>
        <w:spacing w:after="0" w:line="94" w:lineRule="exact"/>
        <w:rPr>
          <w:sz w:val="20"/>
          <w:szCs w:val="20"/>
          <w:color w:val="auto"/>
        </w:rPr>
      </w:pPr>
    </w:p>
    <w:p>
      <w:pPr>
        <w:jc w:val="center"/>
        <w:ind w:right="300"/>
        <w:spacing w:after="0" w:line="331" w:lineRule="auto"/>
        <w:rPr>
          <w:sz w:val="20"/>
          <w:szCs w:val="20"/>
          <w:color w:val="auto"/>
        </w:rPr>
      </w:pPr>
      <w:r>
        <w:rPr>
          <w:rFonts w:ascii="Times New Roman" w:cs="Times New Roman" w:eastAsia="Times New Roman" w:hAnsi="Times New Roman"/>
          <w:sz w:val="14"/>
          <w:szCs w:val="14"/>
          <w:color w:val="auto"/>
        </w:rPr>
        <w:t>On September 1, 2022, the Company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12" w:lineRule="exact"/>
        <w:rPr>
          <w:sz w:val="20"/>
          <w:szCs w:val="20"/>
          <w:color w:val="auto"/>
        </w:rPr>
      </w:pPr>
    </w:p>
    <w:p>
      <w:pPr>
        <w:ind w:right="60" w:firstLine="267"/>
        <w:spacing w:after="0" w:line="243" w:lineRule="auto"/>
        <w:rPr>
          <w:sz w:val="20"/>
          <w:szCs w:val="20"/>
          <w:color w:val="auto"/>
        </w:rPr>
      </w:pPr>
      <w:r>
        <w:rPr>
          <w:rFonts w:ascii="Times New Roman" w:cs="Times New Roman" w:eastAsia="Times New Roman" w:hAnsi="Times New Roman"/>
          <w:sz w:val="16"/>
          <w:szCs w:val="16"/>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ind w:right="40"/>
        <w:spacing w:after="0" w:line="284" w:lineRule="auto"/>
        <w:rPr>
          <w:sz w:val="20"/>
          <w:szCs w:val="20"/>
          <w:color w:val="auto"/>
        </w:rPr>
      </w:pPr>
      <w:r>
        <w:rPr>
          <w:rFonts w:ascii="Times New Roman" w:cs="Times New Roman" w:eastAsia="Times New Roman" w:hAnsi="Times New Roman"/>
          <w:sz w:val="14"/>
          <w:szCs w:val="14"/>
          <w:color w:val="auto"/>
        </w:rPr>
        <w:t>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the Company exercised its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spacing w:after="0" w:line="4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70"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December 31, 2025, the Company had outstanding debt denominated in British pounds (GBP) of 10.3 million, and Euros (EUR) of 7.3 million on its Subscription Facility, included in the outstanding principal amount in the table below. As of December 31, 2024, we had outstanding debt denominated in British pounds (GBP) of 10.3 million, and Euros (EUR) of 7.3 million on the Subscription Facility included in the Outstanding Principal amount in the table below.</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The amount available for borrowing under the Subscription Facility is reduced by any of letters of credit issued through the Subscription Facility. As of December 31, 2025 and December 31, 2024, the Company had no outstanding letters of credit issued through the Subscription Facility.</w:t>
      </w:r>
    </w:p>
    <w:p>
      <w:pPr>
        <w:spacing w:after="0" w:line="155" w:lineRule="exact"/>
        <w:rPr>
          <w:sz w:val="20"/>
          <w:szCs w:val="20"/>
          <w:color w:val="auto"/>
        </w:rPr>
      </w:pPr>
    </w:p>
    <w:p>
      <w:pPr>
        <w:ind w:right="660" w:firstLine="228"/>
        <w:spacing w:after="0" w:line="259" w:lineRule="auto"/>
        <w:rPr>
          <w:sz w:val="20"/>
          <w:szCs w:val="20"/>
          <w:color w:val="auto"/>
        </w:rPr>
      </w:pPr>
      <w:r>
        <w:rPr>
          <w:rFonts w:ascii="Times New Roman" w:cs="Times New Roman" w:eastAsia="Times New Roman" w:hAnsi="Times New Roman"/>
          <w:sz w:val="16"/>
          <w:szCs w:val="16"/>
          <w:color w:val="auto"/>
        </w:rPr>
        <w:t>The Subscription Facility includes customary events of default, as well as customary covenants, including restrictions on certain distributions and financial covenants.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was in compliance with the terms of the Subscription Facility.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190"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64" w:lineRule="exact"/>
        <w:rPr>
          <w:sz w:val="20"/>
          <w:szCs w:val="20"/>
          <w:color w:val="auto"/>
        </w:rPr>
      </w:pPr>
    </w:p>
    <w:p>
      <w:pPr>
        <w:ind w:right="20" w:firstLine="228"/>
        <w:spacing w:after="0" w:line="273" w:lineRule="auto"/>
        <w:rPr>
          <w:sz w:val="20"/>
          <w:szCs w:val="20"/>
          <w:color w:val="auto"/>
        </w:rPr>
      </w:pPr>
      <w:r>
        <w:rPr>
          <w:rFonts w:ascii="Times New Roman" w:cs="Times New Roman" w:eastAsia="Times New Roman" w:hAnsi="Times New Roman"/>
          <w:sz w:val="14"/>
          <w:szCs w:val="14"/>
          <w:color w:val="auto"/>
        </w:rPr>
        <w:t>The aggregate commitments under the Revolving Credit Facility were $600 million and included an uncommitted accordion feature that allows the Company,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 Revolving Credit Facility were upsized to</w:t>
      </w:r>
    </w:p>
    <w:p>
      <w:pPr>
        <w:spacing w:after="0" w:line="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color w:val="auto"/>
        </w:rPr>
        <w:t>$1.2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an additional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and the stated maturity was extended to March 4, 2030. On August 26, 2025, the aggregate commitments under the Revolving Credit Facility were upsized to $2.425 billion, which included a term loan commitment of an additional $50 million, due at the stated maturity. On September 23, 2025, pursuant to the fourth amendment, the aggregate commitments under the Revolving Credit Facility were upsized to $2.675 billion, due at the stated maturity. The Revolving Credit Facility includes an uncommitted accordion feature that allows the Company, under certain circumstances, to increase the size of the Revolving Credit Facility to up to $3.42 billion. The Revolving Credit Facility will mature on March 4, 2030.</w:t>
      </w:r>
    </w:p>
    <w:p>
      <w:pPr>
        <w:spacing w:after="0" w:line="173"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0" w:name="page121"/>
    <w:bookmarkEnd w:id="120"/>
    <w:p>
      <w:pPr>
        <w:spacing w:after="0" w:line="6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spacing w:after="0" w:line="167"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•shareholders’ equity of at least $2.42 billion plus 25% of the net proceeds of the sale of equity interests after March 4, 2025; and</w:t>
      </w:r>
    </w:p>
    <w:p>
      <w:pPr>
        <w:spacing w:after="0" w:line="92" w:lineRule="exact"/>
        <w:rPr>
          <w:sz w:val="20"/>
          <w:szCs w:val="20"/>
          <w:color w:val="auto"/>
        </w:rPr>
      </w:pPr>
    </w:p>
    <w:p>
      <w:pPr>
        <w:ind w:left="480" w:right="40"/>
        <w:spacing w:after="0" w:line="247" w:lineRule="auto"/>
        <w:rPr>
          <w:sz w:val="20"/>
          <w:szCs w:val="20"/>
          <w:color w:val="auto"/>
        </w:rPr>
      </w:pPr>
      <w:r>
        <w:rPr>
          <w:rFonts w:ascii="Times New Roman" w:cs="Times New Roman" w:eastAsia="Times New Roman" w:hAnsi="Times New Roman"/>
          <w:sz w:val="16"/>
          <w:szCs w:val="16"/>
          <w:color w:val="auto"/>
        </w:rPr>
        <w:t>•minimum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64"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December 31, 2025, the Company had outstanding debt denominated in British pounds (GBP) of 244.7 million, Canadian dollars (CAD) of 142.0 million, Euros (EUR) of 974.5 million and Swedish Krona (SEK) of 218.0 million on its Revolving Credit Facility, included in the outstanding principal amount in the table below. As of December 31, 2024, the Company had outstanding debt denominated in British pounds (GBP) of 299.2 million, Euros (EUR) of 640.1 million and Swedish Krona (SEK) of 80.2 million on its Revolving Credit Facility, included in the outstanding principal amount in the table below.</w:t>
      </w:r>
    </w:p>
    <w:p>
      <w:pPr>
        <w:spacing w:after="0" w:line="169"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$100 million. As of December 31, 2025 and 2024, the Company had $32.0 million and $5.9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Revolving Credit Facility includes customary events of default (with customary cure and notice provisions).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was in compliance with the terms of the Revolving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19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69"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w:t>
      </w:r>
    </w:p>
    <w:p>
      <w:pPr>
        <w:spacing w:after="0" w:line="169" w:lineRule="exact"/>
        <w:rPr>
          <w:sz w:val="20"/>
          <w:szCs w:val="20"/>
          <w:color w:val="auto"/>
        </w:rPr>
      </w:pPr>
    </w:p>
    <w:p>
      <w:pPr>
        <w:ind w:right="880" w:firstLine="228"/>
        <w:spacing w:after="0" w:line="259" w:lineRule="auto"/>
        <w:rPr>
          <w:sz w:val="20"/>
          <w:szCs w:val="20"/>
          <w:color w:val="auto"/>
        </w:rPr>
      </w:pPr>
      <w:r>
        <w:rPr>
          <w:rFonts w:ascii="Times New Roman" w:cs="Times New Roman" w:eastAsia="Times New Roman" w:hAnsi="Times New Roman"/>
          <w:sz w:val="16"/>
          <w:szCs w:val="16"/>
          <w:color w:val="auto"/>
        </w:rPr>
        <w:t>The Company entered into two interest rate swaps to align the interest rates of its liabilities with the Company’s investment portfolio, which consists of predominately floating rate loans. The notional amount of the two interest rates swaps is $600.0 million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1" w:name="page122"/>
    <w:bookmarkEnd w:id="121"/>
    <w:p>
      <w:pPr>
        <w:spacing w:after="0" w:line="6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2025 and December 31, 2024, the effective hedge interest rate swaps had a fair value of $15.1 million and $(1.1) million, respectively, which is offset within interest expense by an equal, but opposite, fair value change for the hedged risk on the 2029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January 2030 Notes</w:t>
      </w:r>
    </w:p>
    <w:p>
      <w:pPr>
        <w:spacing w:after="0" w:line="190"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 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December 31, 2025 and December 31, 2024, the effective hedge interest rate swaps had a fair value of $(5.2) million and $(24.1) million, respectively, which is offset within interest expense by an equal, but opposite, fair value change for the hedged risk on the January 2030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2030 Notes</w:t>
      </w:r>
    </w:p>
    <w:p>
      <w:pPr>
        <w:spacing w:after="0" w:line="19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anytime at par plus a "make whole" premium. Total proceeds from the issuance of the July 2030 Notes, net of underwriting discounts, offering costs and original issue discount, were $737.6 million. The Company used the net proceeds of the July 2030 Notes to repay outstanding indebtedness under the Revolving Credit Facility and Subscription Facility.</w:t>
      </w:r>
    </w:p>
    <w:p>
      <w:pPr>
        <w:spacing w:after="0" w:line="169" w:lineRule="exact"/>
        <w:rPr>
          <w:sz w:val="20"/>
          <w:szCs w:val="20"/>
          <w:color w:val="auto"/>
        </w:rPr>
      </w:pPr>
    </w:p>
    <w:p>
      <w:pPr>
        <w:ind w:right="4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the Company's Consolidated Statements of Operations. As of December 31, 2025, the effective hedge interest rate swaps had a fair value of $21.0 million which is offset within interest expense by an equal, but opposite, fair value change for the hedged risk on the July 2030 Notes.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years ended December 31, 2025 and December 31, 2024, the components of interest expense related to the 2029 Notes, January 2030 Notes and July 2030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20" w:type="dxa"/>
            <w:vAlign w:val="bottom"/>
            <w:gridSpan w:val="6"/>
          </w:tcPr>
          <w:p>
            <w:pPr>
              <w:ind w:left="9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2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gridSpan w:val="2"/>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127,656</w:t>
            </w: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46,734</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2,125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965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2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5,184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29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60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134,965</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49,640</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F-34</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700" w:type="dxa"/>
            <w:vAlign w:val="bottom"/>
            <w:tcBorders>
              <w:bottom w:val="single" w:sz="8" w:color="EEEEEE"/>
            </w:tcBorders>
          </w:tcPr>
          <w:p>
            <w:pPr>
              <w:spacing w:after="0"/>
              <w:rPr>
                <w:sz w:val="24"/>
                <w:szCs w:val="24"/>
                <w:color w:val="auto"/>
              </w:rPr>
            </w:pPr>
          </w:p>
        </w:tc>
        <w:tc>
          <w:tcPr>
            <w:tcW w:w="29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6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2029 Notes, January 2030 Notes and July 2030 Notes. During the years ended December 31, 2025 and December 31, 2024, the Company received $ 126.9 million and $45.3 million, respectively, and paid $137.9 million and $55.1 million, respectively, related to the settlements of its interest expense in the Company's Consolidated Statement of Operations. See Note 5 for further information about the Company's interest rate swap.</w:t>
      </w:r>
    </w:p>
    <w:p>
      <w:pPr>
        <w:spacing w:after="0" w:line="167"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the components of the carrying value and the stated interest rates of the 2029 Notes, January 2030 Notes and July 2030 Notes were as follows:</w:t>
      </w:r>
    </w:p>
    <w:p>
      <w:pPr>
        <w:spacing w:after="0" w:line="10"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120" w:type="dxa"/>
            <w:vAlign w:val="bottom"/>
          </w:tcPr>
          <w:p>
            <w:pPr>
              <w:spacing w:after="0"/>
              <w:rPr>
                <w:sz w:val="15"/>
                <w:szCs w:val="15"/>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January 2030 Notes</w:t>
            </w:r>
          </w:p>
        </w:tc>
        <w:tc>
          <w:tcPr>
            <w:tcW w:w="1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July 2030 Notes</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750,000</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240" w:type="dxa"/>
            <w:vAlign w:val="bottom"/>
          </w:tcPr>
          <w:p>
            <w:pPr>
              <w:spacing w:after="0"/>
              <w:rPr>
                <w:sz w:val="15"/>
                <w:szCs w:val="15"/>
                <w:color w:val="auto"/>
              </w:rPr>
            </w:pPr>
          </w:p>
        </w:tc>
        <w:tc>
          <w:tcPr>
            <w:tcW w:w="1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(4,475)</w:t>
            </w:r>
          </w:p>
        </w:tc>
        <w:tc>
          <w:tcPr>
            <w:tcW w:w="120" w:type="dxa"/>
            <w:vAlign w:val="bottom"/>
          </w:tcPr>
          <w:p>
            <w:pPr>
              <w:spacing w:after="0"/>
              <w:rPr>
                <w:sz w:val="15"/>
                <w:szCs w:val="15"/>
                <w:color w:val="auto"/>
              </w:rPr>
            </w:pPr>
          </w:p>
        </w:tc>
        <w:tc>
          <w:tcPr>
            <w:tcW w:w="15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18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(4,152)</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(6,497)</w:t>
            </w:r>
          </w:p>
        </w:tc>
        <w:tc>
          <w:tcPr>
            <w:tcW w:w="120" w:type="dxa"/>
            <w:vAlign w:val="bottom"/>
            <w:shd w:val="clear" w:color="auto" w:fill="CFF0FC"/>
          </w:tcPr>
          <w:p>
            <w:pPr>
              <w:spacing w:after="0"/>
              <w:rPr>
                <w:sz w:val="15"/>
                <w:szCs w:val="15"/>
                <w:color w:val="auto"/>
              </w:rPr>
            </w:pPr>
          </w:p>
        </w:tc>
        <w:tc>
          <w:tcPr>
            <w:tcW w:w="15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(5,817)</w:t>
            </w:r>
          </w:p>
        </w:tc>
        <w:tc>
          <w:tcPr>
            <w:tcW w:w="1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(8,273)</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2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(5,161)</w:t>
            </w:r>
          </w:p>
        </w:tc>
        <w:tc>
          <w:tcPr>
            <w:tcW w:w="1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20,952</w:t>
            </w:r>
          </w:p>
        </w:tc>
        <w:tc>
          <w:tcPr>
            <w:tcW w:w="140" w:type="dxa"/>
            <w:vAlign w:val="bottom"/>
          </w:tcPr>
          <w:p>
            <w:pPr>
              <w:spacing w:after="0"/>
              <w:rPr>
                <w:sz w:val="15"/>
                <w:szCs w:val="15"/>
                <w:color w:val="auto"/>
              </w:rPr>
            </w:pPr>
          </w:p>
        </w:tc>
      </w:tr>
      <w:tr>
        <w:trPr>
          <w:trHeight w:val="200"/>
        </w:trPr>
        <w:tc>
          <w:tcPr>
            <w:tcW w:w="35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754,169</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right w:val="single" w:sz="8" w:color="CFF0FC"/>
            </w:tcBorders>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588,273</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758,527</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179"/>
        </w:trPr>
        <w:tc>
          <w:tcPr>
            <w:tcW w:w="35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240" w:type="dxa"/>
            <w:vAlign w:val="bottom"/>
          </w:tcPr>
          <w:p>
            <w:pPr>
              <w:spacing w:after="0"/>
              <w:rPr>
                <w:sz w:val="15"/>
                <w:szCs w:val="15"/>
                <w:color w:val="auto"/>
              </w:rPr>
            </w:pPr>
          </w:p>
        </w:tc>
        <w:tc>
          <w:tcPr>
            <w:tcW w:w="1460" w:type="dxa"/>
            <w:vAlign w:val="bottom"/>
            <w:gridSpan w:val="2"/>
          </w:tcPr>
          <w:p>
            <w:pPr>
              <w:jc w:val="right"/>
              <w:ind w:right="140"/>
              <w:spacing w:after="0" w:line="179" w:lineRule="exact"/>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5"/>
                <w:szCs w:val="15"/>
                <w:color w:val="auto"/>
              </w:rPr>
            </w:pPr>
          </w:p>
        </w:tc>
        <w:tc>
          <w:tcPr>
            <w:tcW w:w="156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5.75%</w:t>
            </w:r>
          </w:p>
        </w:tc>
        <w:tc>
          <w:tcPr>
            <w:tcW w:w="180" w:type="dxa"/>
            <w:vAlign w:val="bottom"/>
          </w:tcPr>
          <w:p>
            <w:pPr>
              <w:spacing w:after="0"/>
              <w:rPr>
                <w:sz w:val="15"/>
                <w:szCs w:val="15"/>
                <w:color w:val="auto"/>
              </w:rPr>
            </w:pPr>
          </w:p>
        </w:tc>
        <w:tc>
          <w:tcPr>
            <w:tcW w:w="14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6.13%</w:t>
            </w:r>
          </w:p>
        </w:tc>
      </w:tr>
    </w:tbl>
    <w:p>
      <w:pPr>
        <w:spacing w:after="0" w:line="15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stated interest rate in the tables above do not include the effect of the interest rate swaps. As of December 31, 2025, the Company's swap-adjusted interest rate on the 2029 Notes, January 2030 Notes and July 2030 Notes was SOFR plus 2.45% (on a weighted average basis), 2.55% and 2.01%,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components of the carrying value and the stated interest rates of the 2029 Notes and January 2030 Notes were as follows:</w:t>
      </w:r>
    </w:p>
    <w:p>
      <w:pPr>
        <w:spacing w:after="0" w:line="43" w:lineRule="exact"/>
        <w:rPr>
          <w:sz w:val="20"/>
          <w:szCs w:val="20"/>
          <w:color w:val="auto"/>
        </w:rPr>
      </w:pPr>
    </w:p>
    <w:tbl>
      <w:tblPr>
        <w:tblLayout w:type="fixed"/>
        <w:tblInd w:w="174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gridSpan w:val="5"/>
          </w:tcPr>
          <w:p>
            <w:pPr>
              <w:jc w:val="right"/>
              <w:ind w:right="1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6"/>
        </w:trPr>
        <w:tc>
          <w:tcPr>
            <w:tcW w:w="2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180" w:type="dxa"/>
            <w:vAlign w:val="bottom"/>
          </w:tcPr>
          <w:p>
            <w:pPr>
              <w:spacing w:after="0"/>
              <w:rPr>
                <w:sz w:val="15"/>
                <w:szCs w:val="15"/>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January 2030 Notes</w:t>
            </w:r>
          </w:p>
        </w:tc>
      </w:tr>
      <w:tr>
        <w:trPr>
          <w:trHeight w:val="180"/>
        </w:trPr>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7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600,000</w:t>
            </w:r>
          </w:p>
        </w:tc>
      </w:tr>
      <w:tr>
        <w:trPr>
          <w:trHeight w:val="180"/>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(5,695)</w:t>
            </w:r>
          </w:p>
        </w:tc>
        <w:tc>
          <w:tcPr>
            <w:tcW w:w="180" w:type="dxa"/>
            <w:vAlign w:val="bottom"/>
          </w:tcPr>
          <w:p>
            <w:pPr>
              <w:spacing w:after="0"/>
              <w:rPr>
                <w:sz w:val="15"/>
                <w:szCs w:val="15"/>
                <w:color w:val="auto"/>
              </w:rPr>
            </w:pPr>
          </w:p>
        </w:tc>
        <w:tc>
          <w:tcPr>
            <w:tcW w:w="16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(909)</w:t>
            </w:r>
          </w:p>
        </w:tc>
      </w:tr>
      <w:tr>
        <w:trPr>
          <w:trHeight w:val="180"/>
        </w:trPr>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(8,486)</w:t>
            </w:r>
          </w:p>
        </w:tc>
        <w:tc>
          <w:tcPr>
            <w:tcW w:w="1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(7,680)</w:t>
            </w:r>
          </w:p>
        </w:tc>
      </w:tr>
      <w:tr>
        <w:trPr>
          <w:trHeight w:val="180"/>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(1,079)</w:t>
            </w:r>
          </w:p>
        </w:tc>
        <w:tc>
          <w:tcPr>
            <w:tcW w:w="180" w:type="dxa"/>
            <w:vAlign w:val="bottom"/>
          </w:tcPr>
          <w:p>
            <w:pPr>
              <w:spacing w:after="0"/>
              <w:rPr>
                <w:sz w:val="15"/>
                <w:szCs w:val="15"/>
                <w:color w:val="auto"/>
              </w:rPr>
            </w:pPr>
          </w:p>
        </w:tc>
        <w:tc>
          <w:tcPr>
            <w:tcW w:w="16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(24,135)</w:t>
            </w:r>
          </w:p>
        </w:tc>
      </w:tr>
      <w:tr>
        <w:trPr>
          <w:trHeight w:val="200"/>
        </w:trPr>
        <w:tc>
          <w:tcPr>
            <w:tcW w:w="29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74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734,740</w:t>
            </w: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567,276</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179"/>
        </w:trPr>
        <w:tc>
          <w:tcPr>
            <w:tcW w:w="29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6.50%</w:t>
            </w:r>
          </w:p>
        </w:tc>
        <w:tc>
          <w:tcPr>
            <w:tcW w:w="180" w:type="dxa"/>
            <w:vAlign w:val="bottom"/>
          </w:tcPr>
          <w:p>
            <w:pPr>
              <w:spacing w:after="0"/>
              <w:rPr>
                <w:sz w:val="15"/>
                <w:szCs w:val="15"/>
                <w:color w:val="auto"/>
              </w:rPr>
            </w:pPr>
          </w:p>
        </w:tc>
        <w:tc>
          <w:tcPr>
            <w:tcW w:w="16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5.75%</w:t>
            </w:r>
          </w:p>
        </w:tc>
      </w:tr>
    </w:tbl>
    <w:p>
      <w:pPr>
        <w:spacing w:after="0" w:line="6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stated interest rate in the tables above do not include the effect of the interest rate swaps. As of December 31, 2024, the Company's swap-adjusted interest rate on the 2029 Notes and January 2030 Notes was SOFR plus 2.45% (on a weighted average basis) and 2.55%, respectively.</w:t>
      </w:r>
    </w:p>
    <w:p>
      <w:pPr>
        <w:spacing w:after="0" w:line="5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the Company was in compliance with the terms of the indentures governing the 2029 Notes, the January 2030 Notes and the July 2030 Notes. As of December 31, 2024, the Company was in compliance with the terms of the indentures governing the 2029 Notes and the January 2030 Notes.</w:t>
      </w:r>
    </w:p>
    <w:p>
      <w:pPr>
        <w:spacing w:after="0" w:line="59"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December 31, 2025 and December 31, 2024, the Company’s asset coverage was 200.8% and 193.0%,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80" w:type="dxa"/>
            <w:vAlign w:val="bottom"/>
          </w:tcPr>
          <w:p>
            <w:pPr>
              <w:spacing w:after="0"/>
              <w:rPr>
                <w:sz w:val="15"/>
                <w:szCs w:val="15"/>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13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2"/>
                <w:szCs w:val="12"/>
                <w:color w:val="auto"/>
              </w:rPr>
            </w:pPr>
          </w:p>
        </w:tc>
        <w:tc>
          <w:tcPr>
            <w:tcW w:w="100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5"/>
                <w:szCs w:val="15"/>
                <w:color w:val="auto"/>
              </w:rPr>
            </w:pPr>
          </w:p>
        </w:tc>
        <w:tc>
          <w:tcPr>
            <w:tcW w:w="100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477,572</w:t>
            </w:r>
          </w:p>
        </w:tc>
        <w:tc>
          <w:tcPr>
            <w:tcW w:w="3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21,469</w:t>
            </w:r>
          </w:p>
        </w:tc>
        <w:tc>
          <w:tcPr>
            <w:tcW w:w="100" w:type="dxa"/>
            <w:vAlign w:val="bottom"/>
            <w:shd w:val="clear" w:color="auto" w:fill="CFF0FC"/>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2,025,883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617,129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2,010,387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754,169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80" w:type="dxa"/>
            <w:vAlign w:val="bottom"/>
          </w:tcPr>
          <w:p>
            <w:pPr>
              <w:spacing w:after="0"/>
              <w:rPr>
                <w:sz w:val="15"/>
                <w:szCs w:val="15"/>
                <w:color w:val="auto"/>
              </w:rPr>
            </w:pPr>
          </w:p>
        </w:tc>
        <w:tc>
          <w:tcPr>
            <w:tcW w:w="12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8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4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588,273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758,527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2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5,275,000</w:t>
            </w:r>
          </w:p>
        </w:tc>
        <w:tc>
          <w:tcPr>
            <w:tcW w:w="22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4,148,311</w:t>
            </w:r>
          </w:p>
        </w:tc>
        <w:tc>
          <w:tcPr>
            <w:tcW w:w="20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1,094,701</w:t>
            </w:r>
          </w:p>
        </w:tc>
        <w:tc>
          <w:tcPr>
            <w:tcW w:w="100" w:type="dxa"/>
            <w:vAlign w:val="bottom"/>
          </w:tcPr>
          <w:p>
            <w:pPr>
              <w:spacing w:after="0"/>
              <w:rPr>
                <w:sz w:val="15"/>
                <w:szCs w:val="15"/>
                <w:color w:val="auto"/>
              </w:rPr>
            </w:pPr>
          </w:p>
        </w:tc>
        <w:tc>
          <w:tcPr>
            <w:tcW w:w="3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4,132,825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F-35</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80" w:type="dxa"/>
            <w:vAlign w:val="bottom"/>
            <w:tcBorders>
              <w:bottom w:val="single" w:sz="8" w:color="EEEEEE"/>
            </w:tcBorders>
          </w:tcPr>
          <w:p>
            <w:pPr>
              <w:spacing w:after="0"/>
              <w:rPr>
                <w:sz w:val="24"/>
                <w:szCs w:val="24"/>
                <w:color w:val="auto"/>
              </w:rPr>
            </w:pPr>
          </w:p>
        </w:tc>
        <w:tc>
          <w:tcPr>
            <w:tcW w:w="4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3" w:name="page124"/>
    <w:bookmarkEnd w:id="123"/>
    <w:p>
      <w:pPr>
        <w:spacing w:after="0" w:line="149"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Revolving Credit Facility, outstanding letters of credit issued and asset coverage requirements.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January 2030 Notes and July 2030 Notes are presented net of the combination of deferred financing costs and original issue discounts totaling $1.0 million, $15.5 million, $11.0 million, $6.6 million and $12.4 million, respectively.</w:t>
      </w:r>
    </w:p>
    <w:p>
      <w:pPr>
        <w:spacing w:after="0" w:line="1"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6"/>
          <w:szCs w:val="16"/>
          <w:color w:val="auto"/>
        </w:rPr>
        <w:t>(3)The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resulting from a hedge accounting relationship.</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60" w:type="dxa"/>
            <w:vAlign w:val="bottom"/>
          </w:tcPr>
          <w:p>
            <w:pPr>
              <w:spacing w:after="0"/>
              <w:rPr>
                <w:sz w:val="15"/>
                <w:szCs w:val="15"/>
                <w:color w:val="auto"/>
              </w:rPr>
            </w:pPr>
          </w:p>
        </w:tc>
        <w:tc>
          <w:tcPr>
            <w:tcW w:w="2320" w:type="dxa"/>
            <w:vAlign w:val="bottom"/>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1,496,759</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3,241</w:t>
            </w:r>
          </w:p>
        </w:tc>
        <w:tc>
          <w:tcPr>
            <w:tcW w:w="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1,501,965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42,095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1,492,845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734,740</w:t>
            </w:r>
          </w:p>
        </w:tc>
        <w:tc>
          <w:tcPr>
            <w:tcW w:w="0" w:type="dxa"/>
            <w:vAlign w:val="bottom"/>
          </w:tcPr>
          <w:p>
            <w:pPr>
              <w:spacing w:after="0"/>
              <w:rPr>
                <w:sz w:val="1"/>
                <w:szCs w:val="1"/>
                <w:color w:val="auto"/>
              </w:rPr>
            </w:pPr>
          </w:p>
        </w:tc>
      </w:tr>
      <w:tr>
        <w:trPr>
          <w:trHeight w:val="180"/>
        </w:trPr>
        <w:tc>
          <w:tcPr>
            <w:tcW w:w="3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6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567,276</w:t>
            </w:r>
          </w:p>
        </w:tc>
        <w:tc>
          <w:tcPr>
            <w:tcW w:w="0" w:type="dxa"/>
            <w:vAlign w:val="bottom"/>
          </w:tcPr>
          <w:p>
            <w:pPr>
              <w:spacing w:after="0"/>
              <w:rPr>
                <w:sz w:val="1"/>
                <w:szCs w:val="1"/>
                <w:color w:val="auto"/>
              </w:rPr>
            </w:pPr>
          </w:p>
        </w:tc>
      </w:tr>
      <w:tr>
        <w:trPr>
          <w:trHeight w:val="200"/>
        </w:trPr>
        <w:tc>
          <w:tcPr>
            <w:tcW w:w="39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4,400,000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4,348,724</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45,336</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4,288,601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the Revolving Credit Facility, outstanding letters of credit issued, and asset coverage requirements.</w:t>
      </w:r>
    </w:p>
    <w:p>
      <w:pPr>
        <w:spacing w:after="0" w:line="1"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and January 2030 Notes are presented net deferred financing costs $3.0 million, $9.1 million, $14.2 million, and $8.6 million, respectively.</w:t>
      </w:r>
    </w:p>
    <w:p>
      <w:pPr>
        <w:spacing w:after="0" w:line="1" w:lineRule="exact"/>
        <w:rPr>
          <w:sz w:val="20"/>
          <w:szCs w:val="20"/>
          <w:color w:val="auto"/>
        </w:rPr>
      </w:pPr>
    </w:p>
    <w:p>
      <w:pPr>
        <w:ind w:right="480"/>
        <w:spacing w:after="0" w:line="238" w:lineRule="auto"/>
        <w:rPr>
          <w:sz w:val="20"/>
          <w:szCs w:val="20"/>
          <w:color w:val="auto"/>
        </w:rPr>
      </w:pPr>
      <w:r>
        <w:rPr>
          <w:rFonts w:ascii="Times New Roman" w:cs="Times New Roman" w:eastAsia="Times New Roman" w:hAnsi="Times New Roman"/>
          <w:sz w:val="16"/>
          <w:szCs w:val="16"/>
          <w:color w:val="auto"/>
        </w:rPr>
        <w:t>(3)The carrying value of the 2029 Notes and January 2030 Notes are presented inclusive of an incremental $(1.1) million and $(24.1) million, respectively, which represents an adjustment in the carrying value of the 2029 Notes and January 2030 Notes, resulting from a hedge accounting relationship.</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components of interest expense were as follows:</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202,877</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169,790</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64,118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140" w:type="dxa"/>
            <w:vAlign w:val="bottom"/>
          </w:tcPr>
          <w:p>
            <w:pPr>
              <w:spacing w:after="0"/>
              <w:rPr>
                <w:sz w:val="15"/>
                <w:szCs w:val="15"/>
                <w:color w:val="auto"/>
              </w:rPr>
            </w:pPr>
          </w:p>
        </w:tc>
        <w:tc>
          <w:tcPr>
            <w:tcW w:w="15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5,968</w:t>
            </w:r>
          </w:p>
        </w:tc>
        <w:tc>
          <w:tcPr>
            <w:tcW w:w="140" w:type="dxa"/>
            <w:vAlign w:val="bottom"/>
          </w:tcPr>
          <w:p>
            <w:pPr>
              <w:spacing w:after="0"/>
              <w:rPr>
                <w:sz w:val="15"/>
                <w:szCs w:val="15"/>
                <w:color w:val="auto"/>
              </w:rPr>
            </w:pPr>
          </w:p>
        </w:tc>
        <w:tc>
          <w:tcPr>
            <w:tcW w:w="15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3,175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8,301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5,216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5"/>
                <w:szCs w:val="15"/>
                <w:color w:val="auto"/>
              </w:rPr>
            </w:pPr>
          </w:p>
        </w:tc>
        <w:tc>
          <w:tcPr>
            <w:tcW w:w="15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2,125</w:t>
            </w: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11,030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9,757</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233,900</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191,989</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72,356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3,687.3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2,519.0</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876.9</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8200" w:firstLine="6"/>
        <w:spacing w:after="0" w:line="413" w:lineRule="auto"/>
        <w:tabs>
          <w:tab w:leader="none" w:pos="15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right="280"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had the following commitments to fund investments in current portfolio companies: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Pr>
          <w:p>
            <w:pPr>
              <w:spacing w:after="0"/>
              <w:rPr>
                <w:sz w:val="14"/>
                <w:szCs w:val="14"/>
                <w:color w:val="auto"/>
              </w:rPr>
            </w:pP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2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88"/>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4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217</w:t>
            </w:r>
          </w:p>
        </w:tc>
      </w:tr>
      <w:tr>
        <w:trPr>
          <w:trHeight w:val="382"/>
        </w:trPr>
        <w:tc>
          <w:tcPr>
            <w:tcW w:w="4020" w:type="dxa"/>
            <w:vAlign w:val="bottom"/>
          </w:tcPr>
          <w:p>
            <w:pPr>
              <w:spacing w:after="0"/>
              <w:rPr>
                <w:sz w:val="24"/>
                <w:szCs w:val="24"/>
                <w:color w:val="auto"/>
              </w:rPr>
            </w:pPr>
          </w:p>
        </w:tc>
        <w:tc>
          <w:tcPr>
            <w:tcW w:w="2760" w:type="dxa"/>
            <w:vAlign w:val="bottom"/>
          </w:tcPr>
          <w:p>
            <w:pPr>
              <w:jc w:val="right"/>
              <w:ind w:right="1262"/>
              <w:spacing w:after="0"/>
              <w:rPr>
                <w:sz w:val="20"/>
                <w:szCs w:val="20"/>
                <w:color w:val="auto"/>
              </w:rPr>
            </w:pPr>
            <w:r>
              <w:rPr>
                <w:rFonts w:ascii="Times New Roman" w:cs="Times New Roman" w:eastAsia="Times New Roman" w:hAnsi="Times New Roman"/>
                <w:sz w:val="16"/>
                <w:szCs w:val="16"/>
                <w:color w:val="auto"/>
              </w:rPr>
              <w:t>F-36</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74"/>
        </w:trPr>
        <w:tc>
          <w:tcPr>
            <w:tcW w:w="402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Aledade, Inc. - Revolver</w:t>
            </w:r>
          </w:p>
        </w:tc>
        <w:tc>
          <w:tcPr>
            <w:tcW w:w="43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62,065</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42,105</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15,757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19,458</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28,485</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20,157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116,949</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135,222</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4,222</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16,886</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13,636</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26,580</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33,830</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29,175</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29,175</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16,527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19,491</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1,074</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27,307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9,086</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45,674</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20,427</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20,428</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16,295</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16,295</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5,776</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1,124</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19,289</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6,134</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2,772</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16,157</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18,777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37,352</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44,012</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70,282</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8,077</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12,788</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9,407</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1,697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5,141</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62,182</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22,500</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22,500</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Kaseware Intermediate Holding Company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4,724</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14,674</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14,674</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753</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993</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15,686</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25,077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3,214</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10,125</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3,529</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26,516</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5,000</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7,076</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887</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1,231</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1,425</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3,800</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4,318</w:t>
            </w:r>
          </w:p>
        </w:tc>
      </w:tr>
      <w:tr>
        <w:trPr>
          <w:trHeight w:val="19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Sapphire Software Buyer, Inc. - Revolver</w:t>
            </w:r>
          </w:p>
        </w:tc>
        <w:tc>
          <w:tcPr>
            <w:tcW w:w="43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27,027</w:t>
            </w:r>
          </w:p>
        </w:tc>
        <w:tc>
          <w:tcPr>
            <w:tcW w:w="14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27,027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17,234</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15,195</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33,623</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29,645</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434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52,040</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72,475</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4,522</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6,040</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24,084</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4340" w:type="dxa"/>
            <w:vAlign w:val="bottom"/>
            <w:shd w:val="clear" w:color="auto" w:fill="CFF0FC"/>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1,258</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434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3,991</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3,991</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434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647</w:t>
            </w:r>
          </w:p>
        </w:tc>
      </w:tr>
      <w:tr>
        <w:trPr>
          <w:trHeight w:val="226"/>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43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6,208</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372"/>
        </w:trPr>
        <w:tc>
          <w:tcPr>
            <w:tcW w:w="4800" w:type="dxa"/>
            <w:vAlign w:val="bottom"/>
          </w:tcPr>
          <w:p>
            <w:pPr>
              <w:spacing w:after="0"/>
              <w:rPr>
                <w:sz w:val="24"/>
                <w:szCs w:val="24"/>
                <w:color w:val="auto"/>
              </w:rPr>
            </w:pPr>
          </w:p>
        </w:tc>
        <w:tc>
          <w:tcPr>
            <w:tcW w:w="4340" w:type="dxa"/>
            <w:vAlign w:val="bottom"/>
          </w:tcPr>
          <w:p>
            <w:pPr>
              <w:jc w:val="right"/>
              <w:ind w:right="3622"/>
              <w:spacing w:after="0"/>
              <w:rPr>
                <w:sz w:val="20"/>
                <w:szCs w:val="20"/>
                <w:color w:val="auto"/>
              </w:rPr>
            </w:pPr>
            <w:r>
              <w:rPr>
                <w:rFonts w:ascii="Times New Roman" w:cs="Times New Roman" w:eastAsia="Times New Roman" w:hAnsi="Times New Roman"/>
                <w:sz w:val="16"/>
                <w:szCs w:val="16"/>
                <w:color w:val="auto"/>
              </w:rPr>
              <w:t>F-37</w:t>
            </w:r>
          </w:p>
        </w:tc>
        <w:tc>
          <w:tcPr>
            <w:tcW w:w="1420" w:type="dxa"/>
            <w:vAlign w:val="bottom"/>
          </w:tcPr>
          <w:p>
            <w:pPr>
              <w:spacing w:after="0"/>
              <w:rPr>
                <w:sz w:val="24"/>
                <w:szCs w:val="24"/>
                <w:color w:val="auto"/>
              </w:rPr>
            </w:pPr>
          </w:p>
        </w:tc>
      </w:tr>
      <w:tr>
        <w:trPr>
          <w:trHeight w:val="674"/>
        </w:trPr>
        <w:tc>
          <w:tcPr>
            <w:tcW w:w="48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35,191</w:t>
            </w: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61,202</w:t>
            </w:r>
          </w:p>
        </w:tc>
        <w:tc>
          <w:tcPr>
            <w:tcW w:w="80" w:type="dxa"/>
            <w:vAlign w:val="bottom"/>
            <w:shd w:val="clear" w:color="auto" w:fill="CFF0FC"/>
          </w:tcPr>
          <w:p>
            <w:pPr>
              <w:spacing w:after="0"/>
              <w:rPr>
                <w:sz w:val="16"/>
                <w:szCs w:val="16"/>
                <w:color w:val="auto"/>
              </w:rPr>
            </w:pPr>
          </w:p>
        </w:tc>
      </w:tr>
      <w:tr>
        <w:trPr>
          <w:trHeight w:val="180"/>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6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37,786</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42,137</w:t>
            </w:r>
          </w:p>
        </w:tc>
        <w:tc>
          <w:tcPr>
            <w:tcW w:w="80" w:type="dxa"/>
            <w:vAlign w:val="bottom"/>
          </w:tcPr>
          <w:p>
            <w:pPr>
              <w:spacing w:after="0"/>
              <w:rPr>
                <w:sz w:val="15"/>
                <w:szCs w:val="15"/>
                <w:color w:val="auto"/>
              </w:rPr>
            </w:pPr>
          </w:p>
        </w:tc>
      </w:tr>
      <w:tr>
        <w:trPr>
          <w:trHeight w:val="180"/>
        </w:trPr>
        <w:tc>
          <w:tcPr>
            <w:tcW w:w="6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4,917</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3,553</w:t>
            </w:r>
          </w:p>
        </w:tc>
      </w:tr>
      <w:tr>
        <w:trPr>
          <w:trHeight w:val="180"/>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6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37,289</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20,065</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32,377</w:t>
            </w:r>
          </w:p>
        </w:tc>
        <w:tc>
          <w:tcPr>
            <w:tcW w:w="80" w:type="dxa"/>
            <w:vAlign w:val="bottom"/>
            <w:shd w:val="clear" w:color="auto" w:fill="CFF0FC"/>
          </w:tcPr>
          <w:p>
            <w:pPr>
              <w:spacing w:after="0"/>
              <w:rPr>
                <w:sz w:val="15"/>
                <w:szCs w:val="15"/>
                <w:color w:val="auto"/>
              </w:rPr>
            </w:pPr>
          </w:p>
        </w:tc>
      </w:tr>
      <w:tr>
        <w:trPr>
          <w:trHeight w:val="180"/>
        </w:trPr>
        <w:tc>
          <w:tcPr>
            <w:tcW w:w="658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64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857,800</w:t>
            </w:r>
          </w:p>
        </w:tc>
        <w:tc>
          <w:tcPr>
            <w:tcW w:w="96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1,050,384</w:t>
            </w:r>
          </w:p>
        </w:tc>
        <w:tc>
          <w:tcPr>
            <w:tcW w:w="80" w:type="dxa"/>
            <w:vAlign w:val="bottom"/>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ind w:right="40"/>
        <w:spacing w:after="0" w:line="375" w:lineRule="auto"/>
        <w:rPr>
          <w:sz w:val="20"/>
          <w:szCs w:val="20"/>
          <w:color w:val="auto"/>
        </w:rPr>
      </w:pPr>
      <w:r>
        <w:rPr>
          <w:rFonts w:ascii="Times New Roman" w:cs="Times New Roman" w:eastAsia="Times New Roman" w:hAnsi="Times New Roman"/>
          <w:sz w:val="16"/>
          <w:szCs w:val="16"/>
          <w:color w:val="auto"/>
        </w:rPr>
        <w:t xml:space="preserve">(2)The Company’s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spacing w:after="0" w:line="1"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42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December 31, 2025 and December 31, 2024, management is not aware of any material pending or threatened litigation that would require accounting recognition or financial statement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Company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December 31, 2025, the Company had received Capital Commitments totaling $ 7.4 billion ($3.7 billion remaining undrawn). As of December 31, 2024, we had received Capital Commitments totaling $7.4 billion ($3.7 billion remaining undrawn).</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73"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Pursuant to the Company’s dividend reinvestment plan, the following table summarizes the Common Shares issued to shareholders who have not opted out of the Company’s dividend reinvestment plan for the years ended December 31, 2025 and December 31, 2024. All shares issued to shareholders in the tables below are newly issued shares.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60" w:type="dxa"/>
            <w:vAlign w:val="bottom"/>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60" w:type="dxa"/>
            <w:vAlign w:val="bottom"/>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60" w:type="dxa"/>
            <w:vAlign w:val="bottom"/>
          </w:tcPr>
          <w:p>
            <w:pPr>
              <w:jc w:val="right"/>
              <w:ind w:right="728"/>
              <w:spacing w:after="0"/>
              <w:rPr>
                <w:sz w:val="20"/>
                <w:szCs w:val="20"/>
                <w:color w:val="auto"/>
              </w:rPr>
            </w:pPr>
            <w:r>
              <w:rPr>
                <w:rFonts w:ascii="Times New Roman" w:cs="Times New Roman" w:eastAsia="Times New Roman" w:hAnsi="Times New Roman"/>
                <w:sz w:val="13"/>
                <w:szCs w:val="13"/>
                <w:b w:val="1"/>
                <w:bCs w:val="1"/>
                <w:color w:val="auto"/>
              </w:rPr>
              <w:t>Date</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0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68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6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22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268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760" w:type="dxa"/>
            <w:vAlign w:val="bottom"/>
            <w:shd w:val="clear" w:color="auto" w:fill="CFF0FC"/>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January 30, 2025</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1,456,909</w:t>
            </w:r>
          </w:p>
        </w:tc>
        <w:tc>
          <w:tcPr>
            <w:tcW w:w="10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268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760" w:type="dxa"/>
            <w:vAlign w:val="bottom"/>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May 6, 2025</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1,479,035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68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June 30, 2025</w:t>
            </w:r>
          </w:p>
        </w:tc>
        <w:tc>
          <w:tcPr>
            <w:tcW w:w="17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August 5, 2025</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1,559,071</w:t>
            </w:r>
          </w:p>
        </w:tc>
        <w:tc>
          <w:tcPr>
            <w:tcW w:w="100" w:type="dxa"/>
            <w:vAlign w:val="bottom"/>
            <w:shd w:val="clear" w:color="auto" w:fill="CFF0FC"/>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3260" w:type="dxa"/>
            <w:vAlign w:val="bottom"/>
            <w:shd w:val="clear" w:color="auto" w:fill="CFF0FC"/>
          </w:tcPr>
          <w:p>
            <w:pPr>
              <w:spacing w:after="0"/>
              <w:rPr>
                <w:sz w:val="5"/>
                <w:szCs w:val="5"/>
                <w:color w:val="auto"/>
              </w:rPr>
            </w:pPr>
          </w:p>
        </w:tc>
        <w:tc>
          <w:tcPr>
            <w:tcW w:w="2680" w:type="dxa"/>
            <w:vAlign w:val="bottom"/>
            <w:shd w:val="clear" w:color="auto" w:fill="CFF0FC"/>
          </w:tcPr>
          <w:p>
            <w:pPr>
              <w:spacing w:after="0"/>
              <w:rPr>
                <w:sz w:val="5"/>
                <w:szCs w:val="5"/>
                <w:color w:val="auto"/>
              </w:rPr>
            </w:pPr>
          </w:p>
        </w:tc>
        <w:tc>
          <w:tcPr>
            <w:tcW w:w="1760" w:type="dxa"/>
            <w:vAlign w:val="bottom"/>
            <w:vMerge w:val="continue"/>
            <w:shd w:val="clear" w:color="auto" w:fill="CFF0FC"/>
          </w:tcPr>
          <w:p>
            <w:pPr>
              <w:spacing w:after="0"/>
              <w:rPr>
                <w:sz w:val="5"/>
                <w:szCs w:val="5"/>
                <w:color w:val="auto"/>
              </w:rPr>
            </w:pPr>
          </w:p>
        </w:tc>
        <w:tc>
          <w:tcPr>
            <w:tcW w:w="15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268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760" w:type="dxa"/>
            <w:vAlign w:val="bottom"/>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November 12, 2025</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1,582,642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Common Shares Issued</w:t>
            </w:r>
          </w:p>
        </w:tc>
        <w:tc>
          <w:tcPr>
            <w:tcW w:w="26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6,077,657</w:t>
            </w: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80" w:type="dxa"/>
            <w:vAlign w:val="bottom"/>
          </w:tcPr>
          <w:p>
            <w:pPr>
              <w:jc w:val="right"/>
              <w:ind w:right="1064"/>
              <w:spacing w:after="0"/>
              <w:rPr>
                <w:sz w:val="20"/>
                <w:szCs w:val="20"/>
                <w:color w:val="auto"/>
              </w:rPr>
            </w:pPr>
            <w:r>
              <w:rPr>
                <w:rFonts w:ascii="Times New Roman" w:cs="Times New Roman" w:eastAsia="Times New Roman" w:hAnsi="Times New Roman"/>
                <w:sz w:val="16"/>
                <w:szCs w:val="16"/>
                <w:color w:val="auto"/>
              </w:rPr>
              <w:t>F-38</w:t>
            </w: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640" w:type="dxa"/>
            <w:vAlign w:val="bottom"/>
            <w:tcBorders>
              <w:bottom w:val="single" w:sz="8" w:color="EEEEEE"/>
            </w:tcBorders>
          </w:tcPr>
          <w:p>
            <w:pPr>
              <w:spacing w:after="0"/>
              <w:rPr>
                <w:sz w:val="24"/>
                <w:szCs w:val="24"/>
                <w:color w:val="auto"/>
              </w:rPr>
            </w:pPr>
          </w:p>
        </w:tc>
        <w:tc>
          <w:tcPr>
            <w:tcW w:w="326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46" w:right="640" w:bottom="1440" w:gutter="0" w:footer="0" w:header="0"/>
        </w:sectPr>
      </w:pPr>
    </w:p>
    <w:bookmarkStart w:id="126" w:name="page127"/>
    <w:bookmarkEnd w:id="126"/>
    <w:p>
      <w:pPr>
        <w:spacing w:after="0" w:line="269"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3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6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60" w:type="dxa"/>
            <w:vAlign w:val="bottom"/>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60" w:type="dxa"/>
            <w:vAlign w:val="bottom"/>
          </w:tcPr>
          <w:p>
            <w:pPr>
              <w:jc w:val="right"/>
              <w:ind w:right="72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580" w:type="dxa"/>
            <w:vAlign w:val="bottom"/>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60" w:type="dxa"/>
            <w:vAlign w:val="bottom"/>
          </w:tcPr>
          <w:p>
            <w:pPr>
              <w:jc w:val="right"/>
              <w:ind w:right="467"/>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Shares Issued</w:t>
            </w:r>
          </w:p>
        </w:tc>
      </w:tr>
      <w:tr>
        <w:trPr>
          <w:trHeight w:val="180"/>
        </w:trPr>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2580" w:type="dxa"/>
            <w:vAlign w:val="bottom"/>
            <w:shd w:val="clear" w:color="auto" w:fill="CFF0FC"/>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16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February 21, 2024</w:t>
            </w:r>
          </w:p>
        </w:tc>
        <w:tc>
          <w:tcPr>
            <w:tcW w:w="1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795,040</w:t>
            </w:r>
          </w:p>
        </w:tc>
      </w:tr>
      <w:tr>
        <w:trPr>
          <w:trHeight w:val="180"/>
        </w:trPr>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29, 2024</w:t>
            </w:r>
          </w:p>
        </w:tc>
        <w:tc>
          <w:tcPr>
            <w:tcW w:w="2580" w:type="dxa"/>
            <w:vAlign w:val="bottom"/>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March 31, 2024</w:t>
            </w:r>
          </w:p>
        </w:tc>
        <w:tc>
          <w:tcPr>
            <w:tcW w:w="166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May 7, 2024</w:t>
            </w:r>
          </w:p>
        </w:tc>
        <w:tc>
          <w:tcPr>
            <w:tcW w:w="1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869,766</w:t>
            </w:r>
          </w:p>
        </w:tc>
      </w:tr>
      <w:tr>
        <w:trPr>
          <w:trHeight w:val="180"/>
        </w:trPr>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2580" w:type="dxa"/>
            <w:vAlign w:val="bottom"/>
            <w:shd w:val="clear" w:color="auto" w:fill="CFF0FC"/>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16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August 6, 2024</w:t>
            </w:r>
          </w:p>
        </w:tc>
        <w:tc>
          <w:tcPr>
            <w:tcW w:w="1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953,857</w:t>
            </w:r>
          </w:p>
        </w:tc>
      </w:tr>
      <w:tr>
        <w:trPr>
          <w:trHeight w:val="180"/>
        </w:trPr>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2580" w:type="dxa"/>
            <w:vAlign w:val="bottom"/>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66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November 13, 2024</w:t>
            </w:r>
          </w:p>
        </w:tc>
        <w:tc>
          <w:tcPr>
            <w:tcW w:w="1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1,029,392</w:t>
            </w:r>
          </w:p>
        </w:tc>
        <w:tc>
          <w:tcPr>
            <w:tcW w:w="100" w:type="dxa"/>
            <w:vAlign w:val="bottom"/>
          </w:tcPr>
          <w:p>
            <w:pPr>
              <w:spacing w:after="0"/>
              <w:rPr>
                <w:sz w:val="15"/>
                <w:szCs w:val="15"/>
                <w:color w:val="auto"/>
              </w:rPr>
            </w:pPr>
          </w:p>
        </w:tc>
      </w:tr>
      <w:tr>
        <w:trPr>
          <w:trHeight w:val="180"/>
        </w:trPr>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9, 2024</w:t>
            </w:r>
          </w:p>
        </w:tc>
        <w:tc>
          <w:tcPr>
            <w:tcW w:w="2580" w:type="dxa"/>
            <w:vAlign w:val="bottom"/>
            <w:shd w:val="clear" w:color="auto" w:fill="CFF0FC"/>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December 9, 2024</w:t>
            </w:r>
          </w:p>
        </w:tc>
        <w:tc>
          <w:tcPr>
            <w:tcW w:w="16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December 19, 2024</w:t>
            </w:r>
          </w:p>
        </w:tc>
        <w:tc>
          <w:tcPr>
            <w:tcW w:w="1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2,953,313</w:t>
            </w:r>
          </w:p>
        </w:tc>
        <w:tc>
          <w:tcPr>
            <w:tcW w:w="100" w:type="dxa"/>
            <w:vAlign w:val="bottom"/>
            <w:shd w:val="clear" w:color="auto" w:fill="CFF0FC"/>
          </w:tcPr>
          <w:p>
            <w:pPr>
              <w:spacing w:after="0"/>
              <w:rPr>
                <w:sz w:val="15"/>
                <w:szCs w:val="15"/>
                <w:color w:val="auto"/>
              </w:rPr>
            </w:pPr>
          </w:p>
        </w:tc>
      </w:tr>
      <w:tr>
        <w:trPr>
          <w:trHeight w:val="180"/>
        </w:trPr>
        <w:tc>
          <w:tcPr>
            <w:tcW w:w="31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Common Shares Issued</w:t>
            </w:r>
          </w:p>
        </w:tc>
        <w:tc>
          <w:tcPr>
            <w:tcW w:w="2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6,601,368</w:t>
            </w:r>
          </w:p>
        </w:tc>
        <w:tc>
          <w:tcPr>
            <w:tcW w:w="100" w:type="dxa"/>
            <w:vAlign w:val="bottom"/>
          </w:tcPr>
          <w:p>
            <w:pPr>
              <w:spacing w:after="0"/>
              <w:rPr>
                <w:sz w:val="15"/>
                <w:szCs w:val="15"/>
                <w:color w:val="auto"/>
              </w:rPr>
            </w:pPr>
          </w:p>
        </w:tc>
      </w:tr>
      <w:tr>
        <w:trPr>
          <w:trHeight w:val="20"/>
        </w:trPr>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2025, the Company issued 6,077,657 Common Shares to investors who have not opted out of our dividend reinvestment plan for proceeds of $177.7 million. During the year ended December 31, 2024, the Company issued 6,601,368 Common Shares to investors who have not opted out of our dividend reinvestment plan for proceeds of $191.8 million.</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There were no Common Shares issued and proceeds received related to the Company's capital drawdowns delivered pursuant to the Subscription Agreements for the year ended December 31, 2025. The following table summarizes the total Common Shares issued and proceeds received related to the Company’s capital drawdowns delivered for the year ended December 31, 2024:</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156"/>
        </w:trPr>
        <w:tc>
          <w:tcPr>
            <w:tcW w:w="3960" w:type="dxa"/>
            <w:vAlign w:val="bottom"/>
          </w:tcPr>
          <w:p>
            <w:pPr>
              <w:spacing w:after="0"/>
              <w:rPr>
                <w:sz w:val="13"/>
                <w:szCs w:val="13"/>
                <w:color w:val="auto"/>
              </w:rPr>
            </w:pPr>
          </w:p>
        </w:tc>
        <w:tc>
          <w:tcPr>
            <w:tcW w:w="18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Number of Common Shares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3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 Share Issuance Date</w:t>
            </w:r>
          </w:p>
        </w:tc>
        <w:tc>
          <w:tcPr>
            <w:tcW w:w="1840" w:type="dxa"/>
            <w:vAlign w:val="bottom"/>
          </w:tcPr>
          <w:p>
            <w:pPr>
              <w:jc w:val="right"/>
              <w:ind w:right="665"/>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Proceeds Received</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6, 2024</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12,174,753</w:t>
            </w:r>
          </w:p>
        </w:tc>
        <w:tc>
          <w:tcPr>
            <w:tcW w:w="3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349,736</w:t>
            </w: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26, 2024</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5,174,155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150,000</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25, 2024</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10,152,231</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300,000</w:t>
            </w: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24, 2024</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8,280,854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250,000</w:t>
            </w: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17, 2024</w:t>
            </w:r>
          </w:p>
        </w:tc>
        <w:tc>
          <w:tcPr>
            <w:tcW w:w="1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32,345,892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950,000</w:t>
            </w:r>
          </w:p>
        </w:tc>
      </w:tr>
      <w:tr>
        <w:trPr>
          <w:trHeight w:val="180"/>
        </w:trPr>
        <w:tc>
          <w:tcPr>
            <w:tcW w:w="3960" w:type="dxa"/>
            <w:vAlign w:val="bottom"/>
          </w:tcPr>
          <w:p>
            <w:pPr>
              <w:spacing w:after="0"/>
              <w:rPr>
                <w:sz w:val="15"/>
                <w:szCs w:val="15"/>
                <w:color w:val="auto"/>
              </w:rPr>
            </w:pP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68,127,885</w:t>
            </w:r>
          </w:p>
        </w:tc>
        <w:tc>
          <w:tcPr>
            <w:tcW w:w="3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1,999,736</w:t>
            </w:r>
          </w:p>
        </w:tc>
        <w:tc>
          <w:tcPr>
            <w:tcW w:w="80" w:type="dxa"/>
            <w:vAlign w:val="bottom"/>
          </w:tcPr>
          <w:p>
            <w:pPr>
              <w:spacing w:after="0"/>
              <w:rPr>
                <w:sz w:val="15"/>
                <w:szCs w:val="15"/>
                <w:color w:val="auto"/>
              </w:rPr>
            </w:pPr>
          </w:p>
        </w:tc>
      </w:tr>
      <w:tr>
        <w:trPr>
          <w:trHeight w:val="20"/>
        </w:trPr>
        <w:tc>
          <w:tcPr>
            <w:tcW w:w="39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240" w:hanging="234"/>
        <w:spacing w:after="0"/>
        <w:tabs>
          <w:tab w:leader="none" w:pos="2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20" w:type="dxa"/>
            <w:vAlign w:val="bottom"/>
          </w:tcPr>
          <w:p>
            <w:pPr>
              <w:spacing w:after="0"/>
              <w:rPr>
                <w:sz w:val="15"/>
                <w:szCs w:val="15"/>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per common share—basic and diluted</w:t>
            </w: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4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net assets resulting from operations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513,093</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505,940</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183,989</w:t>
            </w:r>
          </w:p>
        </w:tc>
      </w:tr>
      <w:tr>
        <w:trPr>
          <w:trHeight w:val="167"/>
        </w:trPr>
        <w:tc>
          <w:tcPr>
            <w:tcW w:w="42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Weighted average Common Shares outstanding—basic and</w:t>
            </w:r>
          </w:p>
        </w:tc>
        <w:tc>
          <w:tcPr>
            <w:tcW w:w="2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143,370,950</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90,180,335</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34,746,777</w:t>
            </w:r>
          </w:p>
        </w:tc>
        <w:tc>
          <w:tcPr>
            <w:tcW w:w="100" w:type="dxa"/>
            <w:vAlign w:val="bottom"/>
            <w:shd w:val="clear" w:color="auto" w:fill="CFF0FC"/>
          </w:tcPr>
          <w:p>
            <w:pPr>
              <w:spacing w:after="0"/>
              <w:rPr>
                <w:sz w:val="16"/>
                <w:szCs w:val="16"/>
                <w:color w:val="auto"/>
              </w:rPr>
            </w:pPr>
          </w:p>
        </w:tc>
      </w:tr>
      <w:tr>
        <w:trPr>
          <w:trHeight w:val="180"/>
        </w:trPr>
        <w:tc>
          <w:tcPr>
            <w:tcW w:w="4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Earnings (losses) per common share—basic and diluted</w:t>
            </w:r>
          </w:p>
        </w:tc>
        <w:tc>
          <w:tcPr>
            <w:tcW w:w="2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5"/>
                <w:szCs w:val="15"/>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dividends declared during the years ended December 31, 2025, December 31, 2024 and December 31, 2023:</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27" w:name="page128"/>
    <w:bookmarkEnd w:id="127"/>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40" w:type="dxa"/>
            <w:vAlign w:val="bottom"/>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40" w:type="dxa"/>
            <w:vAlign w:val="bottom"/>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80" w:type="dxa"/>
            <w:vAlign w:val="bottom"/>
          </w:tcPr>
          <w:p>
            <w:pPr>
              <w:jc w:val="center"/>
              <w:ind w:left="324"/>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440" w:type="dxa"/>
            <w:vAlign w:val="bottom"/>
          </w:tcPr>
          <w:p>
            <w:pPr>
              <w:jc w:val="right"/>
              <w:ind w:right="102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36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May 5, 2025</w:t>
            </w:r>
          </w:p>
        </w:tc>
        <w:tc>
          <w:tcPr>
            <w:tcW w:w="22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August 4, 2025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487"/>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November 10, 2025</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7"/>
              </w:rPr>
              <w:t>Special</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January 27, 2026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January 29, 2026</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40" w:type="dxa"/>
            <w:vAlign w:val="bottom"/>
            <w:vMerge w:val="restart"/>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40" w:type="dxa"/>
            <w:vAlign w:val="bottom"/>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80" w:type="dxa"/>
            <w:vAlign w:val="bottom"/>
          </w:tcPr>
          <w:p>
            <w:pPr>
              <w:jc w:val="center"/>
              <w:ind w:left="324"/>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440" w:type="dxa"/>
            <w:vAlign w:val="bottom"/>
          </w:tcPr>
          <w:p>
            <w:pPr>
              <w:jc w:val="right"/>
              <w:ind w:right="102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36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29, 2024</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March 31, 2024</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May 6, 2024</w:t>
            </w:r>
          </w:p>
        </w:tc>
        <w:tc>
          <w:tcPr>
            <w:tcW w:w="22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August 5, 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487"/>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November 12, 2024</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9, 2024</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7"/>
              </w:rPr>
              <w:t>Special</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December 9, 2024</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December 18, 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January 29, 2025</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40" w:type="dxa"/>
            <w:vAlign w:val="bottom"/>
            <w:vMerge w:val="restart"/>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40" w:type="dxa"/>
            <w:vAlign w:val="bottom"/>
          </w:tcPr>
          <w:p>
            <w:pPr>
              <w:jc w:val="center"/>
              <w:ind w:left="120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80" w:type="dxa"/>
            <w:vAlign w:val="bottom"/>
          </w:tcPr>
          <w:p>
            <w:pPr>
              <w:jc w:val="center"/>
              <w:ind w:left="324"/>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440" w:type="dxa"/>
            <w:vAlign w:val="bottom"/>
          </w:tcPr>
          <w:p>
            <w:pPr>
              <w:jc w:val="right"/>
              <w:ind w:right="102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36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31, 2023</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March 31, 2023</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May 9, 2023</w:t>
            </w:r>
          </w:p>
        </w:tc>
        <w:tc>
          <w:tcPr>
            <w:tcW w:w="22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30, 2023</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June 30, 2023</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August 15, 2023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29, 2023</w:t>
            </w:r>
          </w:p>
        </w:tc>
        <w:tc>
          <w:tcPr>
            <w:tcW w:w="2180" w:type="dxa"/>
            <w:vAlign w:val="bottom"/>
            <w:shd w:val="clear" w:color="auto" w:fill="CFF0FC"/>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shd w:val="clear" w:color="auto" w:fill="CFF0FC"/>
          </w:tcPr>
          <w:p>
            <w:pPr>
              <w:jc w:val="right"/>
              <w:ind w:right="487"/>
              <w:spacing w:after="0" w:line="180" w:lineRule="exact"/>
              <w:rPr>
                <w:sz w:val="20"/>
                <w:szCs w:val="20"/>
                <w:color w:val="auto"/>
              </w:rPr>
            </w:pPr>
            <w:r>
              <w:rPr>
                <w:rFonts w:ascii="Times New Roman" w:cs="Times New Roman" w:eastAsia="Times New Roman" w:hAnsi="Times New Roman"/>
                <w:sz w:val="16"/>
                <w:szCs w:val="16"/>
                <w:color w:val="auto"/>
              </w:rPr>
              <w:t>September 30, 2023</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November 15, 2023</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2180" w:type="dxa"/>
            <w:vAlign w:val="bottom"/>
          </w:tcPr>
          <w:p>
            <w:pPr>
              <w:jc w:val="center"/>
              <w:ind w:left="3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440" w:type="dxa"/>
            <w:vAlign w:val="bottom"/>
          </w:tcPr>
          <w:p>
            <w:pPr>
              <w:jc w:val="right"/>
              <w:ind w:right="507"/>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February 20, 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00" w:type="dxa"/>
            <w:vAlign w:val="bottom"/>
            <w:tcBorders>
              <w:bottom w:val="single" w:sz="8" w:color="CFF0FC"/>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80" w:type="dxa"/>
            <w:vAlign w:val="bottom"/>
            <w:tcBorders>
              <w:bottom w:val="single" w:sz="8" w:color="CFF0FC"/>
            </w:tcBorders>
            <w:shd w:val="clear" w:color="auto" w:fill="CFF0FC"/>
          </w:tcPr>
          <w:p>
            <w:pPr>
              <w:spacing w:after="0"/>
              <w:rPr>
                <w:sz w:val="19"/>
                <w:szCs w:val="19"/>
                <w:color w:val="auto"/>
              </w:rPr>
            </w:pPr>
          </w:p>
        </w:tc>
        <w:tc>
          <w:tcPr>
            <w:tcW w:w="24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year ended December 31, 2025, December 31, 2024 and December 31, 2023 were derived from net investment income, determined on a tax basis.</w:t>
      </w:r>
    </w:p>
    <w:p>
      <w:pPr>
        <w:spacing w:after="0" w:line="59"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141" w:lineRule="exact"/>
        <w:rPr>
          <w:sz w:val="20"/>
          <w:szCs w:val="20"/>
          <w:color w:val="auto"/>
        </w:rPr>
      </w:pPr>
    </w:p>
    <w:p>
      <w:pPr>
        <w:ind w:left="240" w:hanging="234"/>
        <w:spacing w:after="0"/>
        <w:tabs>
          <w:tab w:leader="none" w:pos="2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tax character of shareholder distributions attributable to fiscal years ended December 31, 2025, December 31, 2024 and December 31, 2023 were as follows:</w:t>
      </w:r>
    </w:p>
    <w:p>
      <w:pPr>
        <w:spacing w:after="0" w:line="31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Pr>
          <w:p>
            <w:pPr>
              <w:spacing w:after="0"/>
              <w:rPr>
                <w:sz w:val="16"/>
                <w:szCs w:val="16"/>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95"/>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18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Ordinary Income</w:t>
            </w:r>
            <w:r>
              <w:rPr>
                <w:rFonts w:ascii="Times New Roman" w:cs="Times New Roman" w:eastAsia="Times New Roman" w:hAnsi="Times New Roman"/>
                <w:sz w:val="20"/>
                <w:szCs w:val="20"/>
                <w:color w:val="auto"/>
                <w:vertAlign w:val="superscript"/>
              </w:rPr>
              <w:t>(1)</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491,809</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471,181</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107,004</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 Term Capital Gains (Losses)</w:t>
            </w: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64,988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6,928</w:t>
            </w: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3700" w:type="dxa"/>
            <w:vAlign w:val="bottom"/>
            <w:tcBorders>
              <w:bottom w:val="single" w:sz="8" w:color="CFF0FC"/>
            </w:tcBorders>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556,797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478,109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107,004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83"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(1)For the years ended December 31, 2025, December 31, 2024 and December 31, 2023, 75.72%, 78.26% and 88.32%, respectively, of ordinary income qualified as interest related dividend which is exempt from U.S. withholding tax applicable to non-U.S. shareholders.</w:t>
      </w:r>
    </w:p>
    <w:p>
      <w:pPr>
        <w:spacing w:after="0" w:line="59"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The following reconciles the increase in net assets resulting from operations for the fiscal years ended December 31, 2025, December 31, 2024 and December 31, 2023, to taxable income at December 31, 2025, December 31, 2024 and December 31, 2023:</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tbl>
      <w:tblPr>
        <w:tblLayout w:type="fixed"/>
        <w:tblInd w:w="70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7"/>
        </w:trPr>
        <w:tc>
          <w:tcPr>
            <w:tcW w:w="43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Increase (decrease) in net assets resulting from</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513,093</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505,940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183,989</w:t>
            </w:r>
          </w:p>
        </w:tc>
      </w:tr>
      <w:tr>
        <w:trPr>
          <w:trHeight w:val="180"/>
        </w:trPr>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losses on investments</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80,914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(134,024)</w:t>
            </w:r>
          </w:p>
        </w:tc>
        <w:tc>
          <w:tcPr>
            <w:tcW w:w="1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(56,755)</w:t>
            </w:r>
          </w:p>
        </w:tc>
      </w:tr>
      <w:tr>
        <w:trPr>
          <w:trHeight w:val="180"/>
        </w:trPr>
        <w:tc>
          <w:tcPr>
            <w:tcW w:w="4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income (loss) for tax purposes, not book</w:t>
            </w: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13,315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7,579</w:t>
            </w:r>
          </w:p>
        </w:tc>
      </w:tr>
      <w:tr>
        <w:trPr>
          <w:trHeight w:val="180"/>
        </w:trPr>
        <w:tc>
          <w:tcPr>
            <w:tcW w:w="43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Deferred organization costs</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(146)</w:t>
            </w:r>
          </w:p>
        </w:tc>
      </w:tr>
      <w:tr>
        <w:trPr>
          <w:trHeight w:val="180"/>
        </w:trPr>
        <w:tc>
          <w:tcPr>
            <w:tcW w:w="4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expenses not currently deductible</w:t>
            </w: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2,184</w:t>
            </w:r>
          </w:p>
        </w:tc>
        <w:tc>
          <w:tcPr>
            <w:tcW w:w="14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1,547</w:t>
            </w:r>
          </w:p>
        </w:tc>
      </w:tr>
      <w:tr>
        <w:trPr>
          <w:trHeight w:val="180"/>
        </w:trPr>
        <w:tc>
          <w:tcPr>
            <w:tcW w:w="43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book-tax differences</w:t>
            </w: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17,879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6,958</w:t>
            </w:r>
          </w:p>
        </w:tc>
      </w:tr>
      <w:tr>
        <w:trPr>
          <w:trHeight w:val="180"/>
        </w:trPr>
        <w:tc>
          <w:tcPr>
            <w:tcW w:w="43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Taxable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591,154</w:t>
            </w:r>
          </w:p>
        </w:tc>
        <w:tc>
          <w:tcPr>
            <w:tcW w:w="120" w:type="dxa"/>
            <w:vAlign w:val="bottom"/>
          </w:tcPr>
          <w:p>
            <w:pPr>
              <w:spacing w:after="0"/>
              <w:rPr>
                <w:sz w:val="15"/>
                <w:szCs w:val="15"/>
                <w:color w:val="auto"/>
              </w:rPr>
            </w:pP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405,148</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143,172</w:t>
            </w: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basis components of distributable earnings for the years ended December 31, 2025, December 31, 2024 and December 31, 2023, were as follows: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Undistributed net investment income - tax basis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3,766</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89,489</w:t>
            </w:r>
          </w:p>
        </w:tc>
        <w:tc>
          <w:tcPr>
            <w:tcW w:w="80" w:type="dxa"/>
            <w:vAlign w:val="bottom"/>
            <w:shd w:val="clear" w:color="auto" w:fill="CFF0FC"/>
          </w:tcPr>
          <w:p>
            <w:pPr>
              <w:spacing w:after="0"/>
              <w:rPr>
                <w:sz w:val="15"/>
                <w:szCs w:val="15"/>
                <w:color w:val="auto"/>
              </w:rPr>
            </w:pPr>
          </w:p>
        </w:tc>
      </w:tr>
      <w:tr>
        <w:trPr>
          <w:trHeight w:val="180"/>
        </w:trPr>
        <w:tc>
          <w:tcPr>
            <w:tcW w:w="47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Undistributed net realized gains (losses) - tax basis</w:t>
            </w:r>
          </w:p>
        </w:tc>
        <w:tc>
          <w:tcPr>
            <w:tcW w:w="12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unrealized gains (losses) on investments</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82,942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166,331</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45,694</w:t>
            </w:r>
          </w:p>
        </w:tc>
        <w:tc>
          <w:tcPr>
            <w:tcW w:w="80" w:type="dxa"/>
            <w:vAlign w:val="bottom"/>
            <w:shd w:val="clear" w:color="auto" w:fill="CFF0FC"/>
          </w:tcPr>
          <w:p>
            <w:pPr>
              <w:spacing w:after="0"/>
              <w:rPr>
                <w:sz w:val="16"/>
                <w:szCs w:val="16"/>
                <w:color w:val="auto"/>
              </w:rPr>
            </w:pPr>
          </w:p>
        </w:tc>
      </w:tr>
      <w:tr>
        <w:trPr>
          <w:trHeight w:val="180"/>
        </w:trPr>
        <w:tc>
          <w:tcPr>
            <w:tcW w:w="47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temporary differences</w:t>
            </w:r>
          </w:p>
        </w:tc>
        <w:tc>
          <w:tcPr>
            <w:tcW w:w="120" w:type="dxa"/>
            <w:vAlign w:val="bottom"/>
          </w:tcPr>
          <w:p>
            <w:pPr>
              <w:spacing w:after="0"/>
              <w:rPr>
                <w:sz w:val="15"/>
                <w:szCs w:val="15"/>
                <w:color w:val="auto"/>
              </w:rPr>
            </w:pPr>
          </w:p>
        </w:tc>
        <w:tc>
          <w:tcPr>
            <w:tcW w:w="14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(16,638)</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(53,740)</w:t>
            </w:r>
          </w:p>
        </w:tc>
        <w:tc>
          <w:tcPr>
            <w:tcW w:w="120" w:type="dxa"/>
            <w:vAlign w:val="bottom"/>
          </w:tcPr>
          <w:p>
            <w:pPr>
              <w:spacing w:after="0"/>
              <w:rPr>
                <w:sz w:val="15"/>
                <w:szCs w:val="15"/>
                <w:color w:val="auto"/>
              </w:rPr>
            </w:pPr>
          </w:p>
        </w:tc>
        <w:tc>
          <w:tcPr>
            <w:tcW w:w="13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(52,607)</w:t>
            </w:r>
          </w:p>
        </w:tc>
      </w:tr>
      <w:tr>
        <w:trPr>
          <w:trHeight w:val="200"/>
        </w:trPr>
        <w:tc>
          <w:tcPr>
            <w:tcW w:w="4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distributable earnings - book basis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70,070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112,591</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82,576</w:t>
            </w:r>
          </w:p>
        </w:tc>
        <w:tc>
          <w:tcPr>
            <w:tcW w:w="80" w:type="dxa"/>
            <w:vAlign w:val="bottom"/>
            <w:shd w:val="clear" w:color="auto" w:fill="CFF0FC"/>
          </w:tcPr>
          <w:p>
            <w:pPr>
              <w:spacing w:after="0"/>
              <w:rPr>
                <w:sz w:val="17"/>
                <w:szCs w:val="17"/>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Note: Taxable income is an estimate and is not fully determined until the Company’s tax return is filed. The Company's tax year end is December 31.</w:t>
      </w:r>
    </w:p>
    <w:p>
      <w:pPr>
        <w:spacing w:after="0" w:line="188" w:lineRule="exact"/>
        <w:rPr>
          <w:sz w:val="20"/>
          <w:szCs w:val="20"/>
          <w:color w:val="auto"/>
        </w:rPr>
      </w:pPr>
    </w:p>
    <w:p>
      <w:pPr>
        <w:ind w:right="80" w:firstLine="228"/>
        <w:spacing w:after="0" w:line="331" w:lineRule="auto"/>
        <w:rPr>
          <w:sz w:val="20"/>
          <w:szCs w:val="20"/>
          <w:color w:val="auto"/>
        </w:rPr>
      </w:pPr>
      <w:r>
        <w:rPr>
          <w:rFonts w:ascii="Times New Roman" w:cs="Times New Roman" w:eastAsia="Times New Roman" w:hAnsi="Times New Roman"/>
          <w:sz w:val="14"/>
          <w:szCs w:val="14"/>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08"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Company makes certain adjustments to the classification of shareholders’ equity as a result of permanent book -to- 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Company increased distributable earnings and decreased additional paid in capital by $1.2 million, $2.2 million and $1.5 million, respectively, which was primarily attributable to U.S. federal excise tax and other taxes.</w:t>
      </w:r>
    </w:p>
    <w:p>
      <w:pPr>
        <w:spacing w:after="0" w:line="155"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Company’s wholly-owned subsidiary, Sixth Street LP Holding II, LLC, is a taxable subsidiary in which the Company holds certain investments. Sixth Street LP Holding II,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cost of the Company’s investments as of December 31, 2025 was $7,918,126, resulting in estimated gross unrealized gains and losses of $290,520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$207,578, respectively. The tax cost of the Company’s investments as of December 31, 2024 was $7,102,780, resulting in estimated gross unrealized gains and losses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$222,515 and $56,184, respectively. The tax cost of the Company's investments as of December 31, 2023 was $3,047,224, resulting in estimated gross unrealized gains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losses of $69,618 and $23,923, respectively.</w:t>
      </w:r>
    </w:p>
    <w:p>
      <w:pPr>
        <w:spacing w:after="0" w:line="170" w:lineRule="exact"/>
        <w:rPr>
          <w:sz w:val="20"/>
          <w:szCs w:val="20"/>
          <w:color w:val="auto"/>
        </w:rPr>
      </w:pPr>
    </w:p>
    <w:p>
      <w:pPr>
        <w:jc w:val="both"/>
        <w:ind w:right="60" w:firstLine="228"/>
        <w:spacing w:after="0" w:line="243" w:lineRule="auto"/>
        <w:rPr>
          <w:sz w:val="20"/>
          <w:szCs w:val="20"/>
          <w:color w:val="auto"/>
        </w:rPr>
      </w:pPr>
      <w:r>
        <w:rPr>
          <w:rFonts w:ascii="Times New Roman" w:cs="Times New Roman" w:eastAsia="Times New Roman" w:hAnsi="Times New Roman"/>
          <w:sz w:val="16"/>
          <w:szCs w:val="16"/>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2025, no expense was recorded for U.S. federal excise tax. For the years ended December 31, 2024 and December 31, 2023, a net expense of $2.2 million and $1.5 million, respectively, were recorded for U.S. federal excise tax.</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6" w:right="70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13. Financial Highlights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following per share data and ratios have been derived from information provided in the consolidated financial statements. The following are the financial highlights for one share of Common Shares outstanding during the years ended December 31, 2025, December 31, 2024, December 31, 2023 and from April 5, 2022 (Inception) through December 31, 2022:</w:t>
      </w:r>
    </w:p>
    <w:p>
      <w:pPr>
        <w:sectPr>
          <w:pgSz w:w="11900" w:h="16840" w:orient="portrait"/>
          <w:cols w:equalWidth="0" w:num="1">
            <w:col w:w="10540"/>
          </w:cols>
          <w:pgMar w:left="660" w:top="1311" w:right="7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Per Share Data </w:t>
      </w:r>
      <w:r>
        <w:rPr>
          <w:rFonts w:ascii="Times New Roman" w:cs="Times New Roman" w:eastAsia="Times New Roman" w:hAnsi="Times New Roman"/>
          <w:sz w:val="21"/>
          <w:szCs w:val="21"/>
          <w:b w:val="1"/>
          <w:bCs w:val="1"/>
          <w:color w:val="auto"/>
          <w:vertAlign w:val="superscript"/>
        </w:rPr>
        <w:t>(1)</w:t>
      </w:r>
    </w:p>
    <w:p>
      <w:pPr>
        <w:ind w:left="60"/>
        <w:spacing w:after="0"/>
        <w:rPr>
          <w:sz w:val="20"/>
          <w:szCs w:val="20"/>
          <w:color w:val="auto"/>
        </w:rPr>
      </w:pPr>
      <w:r>
        <w:rPr>
          <w:rFonts w:ascii="Times New Roman" w:cs="Times New Roman" w:eastAsia="Times New Roman" w:hAnsi="Times New Roman"/>
          <w:sz w:val="16"/>
          <w:szCs w:val="16"/>
          <w:color w:val="auto"/>
        </w:rPr>
        <w:t>Net asset value, beginning of period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(2)</w:t>
      </w:r>
    </w:p>
    <w:p>
      <w:pPr>
        <w:ind w:left="60"/>
        <w:spacing w:after="0" w:line="208" w:lineRule="auto"/>
        <w:rPr>
          <w:sz w:val="20"/>
          <w:szCs w:val="20"/>
          <w:color w:val="auto"/>
        </w:rPr>
      </w:pPr>
      <w:r>
        <w:rPr>
          <w:rFonts w:ascii="Times New Roman" w:cs="Times New Roman" w:eastAsia="Times New Roman" w:hAnsi="Times New Roman"/>
          <w:sz w:val="16"/>
          <w:szCs w:val="16"/>
          <w:color w:val="auto"/>
        </w:rPr>
        <w:t xml:space="preserve">Net realized and unrealized gain (loss) </w:t>
      </w:r>
      <w:r>
        <w:rPr>
          <w:rFonts w:ascii="Times New Roman" w:cs="Times New Roman" w:eastAsia="Times New Roman" w:hAnsi="Times New Roman"/>
          <w:sz w:val="21"/>
          <w:szCs w:val="21"/>
          <w:color w:val="auto"/>
          <w:vertAlign w:val="superscript"/>
        </w:rPr>
        <w:t>(2)</w:t>
      </w:r>
    </w:p>
    <w:p>
      <w:pPr>
        <w:ind w:left="120"/>
        <w:spacing w:after="0" w:line="196" w:lineRule="auto"/>
        <w:rPr>
          <w:sz w:val="20"/>
          <w:szCs w:val="20"/>
          <w:color w:val="auto"/>
        </w:rPr>
      </w:pPr>
      <w:r>
        <w:rPr>
          <w:rFonts w:ascii="Times New Roman" w:cs="Times New Roman" w:eastAsia="Times New Roman" w:hAnsi="Times New Roman"/>
          <w:sz w:val="16"/>
          <w:szCs w:val="16"/>
          <w:color w:val="auto"/>
        </w:rPr>
        <w:t>Total from operations</w:t>
      </w:r>
    </w:p>
    <w:p>
      <w:pPr>
        <w:ind w:left="60"/>
        <w:spacing w:after="0" w:line="188" w:lineRule="auto"/>
        <w:rPr>
          <w:sz w:val="20"/>
          <w:szCs w:val="20"/>
          <w:color w:val="auto"/>
        </w:rPr>
      </w:pPr>
      <w:r>
        <w:rPr>
          <w:rFonts w:ascii="Times New Roman" w:cs="Times New Roman" w:eastAsia="Times New Roman" w:hAnsi="Times New Roman"/>
          <w:sz w:val="15"/>
          <w:szCs w:val="15"/>
          <w:color w:val="auto"/>
        </w:rPr>
        <w:t xml:space="preserve">Net Common Share Issuance </w:t>
      </w:r>
      <w:r>
        <w:rPr>
          <w:rFonts w:ascii="Times New Roman" w:cs="Times New Roman" w:eastAsia="Times New Roman" w:hAnsi="Times New Roman"/>
          <w:sz w:val="20"/>
          <w:szCs w:val="20"/>
          <w:color w:val="auto"/>
          <w:vertAlign w:val="superscript"/>
        </w:rPr>
        <w:t>(3)</w:t>
      </w:r>
    </w:p>
    <w:p>
      <w:pPr>
        <w:ind w:left="60"/>
        <w:spacing w:after="0" w:line="208" w:lineRule="auto"/>
        <w:rPr>
          <w:sz w:val="20"/>
          <w:szCs w:val="20"/>
          <w:color w:val="auto"/>
        </w:rPr>
      </w:pPr>
      <w:r>
        <w:rPr>
          <w:rFonts w:ascii="Times New Roman" w:cs="Times New Roman" w:eastAsia="Times New Roman" w:hAnsi="Times New Roman"/>
          <w:sz w:val="16"/>
          <w:szCs w:val="16"/>
          <w:color w:val="auto"/>
        </w:rPr>
        <w:t xml:space="preserve">Dividends declared </w:t>
      </w:r>
      <w:r>
        <w:rPr>
          <w:rFonts w:ascii="Times New Roman" w:cs="Times New Roman" w:eastAsia="Times New Roman" w:hAnsi="Times New Roman"/>
          <w:sz w:val="21"/>
          <w:szCs w:val="21"/>
          <w:color w:val="auto"/>
          <w:vertAlign w:val="superscript"/>
        </w:rPr>
        <w:t>(4)</w:t>
      </w:r>
    </w:p>
    <w:p>
      <w:pPr>
        <w:ind w:left="60"/>
        <w:spacing w:after="0" w:line="235" w:lineRule="auto"/>
        <w:rPr>
          <w:sz w:val="20"/>
          <w:szCs w:val="20"/>
          <w:color w:val="auto"/>
        </w:rPr>
      </w:pPr>
      <w:r>
        <w:rPr>
          <w:rFonts w:ascii="Times New Roman" w:cs="Times New Roman" w:eastAsia="Times New Roman" w:hAnsi="Times New Roman"/>
          <w:sz w:val="16"/>
          <w:szCs w:val="16"/>
          <w:color w:val="auto"/>
        </w:rPr>
        <w:t>Total increase (decrease) in net assets</w:t>
      </w:r>
    </w:p>
    <w:p>
      <w:pPr>
        <w:ind w:left="60"/>
        <w:spacing w:after="0"/>
        <w:rPr>
          <w:sz w:val="20"/>
          <w:szCs w:val="20"/>
          <w:color w:val="auto"/>
        </w:rPr>
      </w:pPr>
      <w:r>
        <w:rPr>
          <w:rFonts w:ascii="Times New Roman" w:cs="Times New Roman" w:eastAsia="Times New Roman" w:hAnsi="Times New Roman"/>
          <w:sz w:val="16"/>
          <w:szCs w:val="16"/>
          <w:b w:val="1"/>
          <w:bCs w:val="1"/>
          <w:color w:val="auto"/>
        </w:rPr>
        <w:t>Net Asset Value, End of Period</w:t>
      </w:r>
    </w:p>
    <w:p>
      <w:pPr>
        <w:spacing w:after="0" w:line="39" w:lineRule="exact"/>
        <w:rPr>
          <w:sz w:val="20"/>
          <w:szCs w:val="20"/>
          <w:color w:val="auto"/>
        </w:rPr>
      </w:pPr>
    </w:p>
    <w:p>
      <w:pPr>
        <w:ind w:left="60" w:right="1460"/>
        <w:spacing w:after="0" w:line="220" w:lineRule="auto"/>
        <w:rPr>
          <w:sz w:val="20"/>
          <w:szCs w:val="20"/>
          <w:color w:val="auto"/>
        </w:rPr>
      </w:pPr>
      <w:r>
        <w:rPr>
          <w:rFonts w:ascii="Times New Roman" w:cs="Times New Roman" w:eastAsia="Times New Roman" w:hAnsi="Times New Roman"/>
          <w:sz w:val="15"/>
          <w:szCs w:val="15"/>
          <w:color w:val="auto"/>
        </w:rPr>
        <w:t xml:space="preserve">Total return based on net asset value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Common shares outstanding, end of period </w:t>
      </w:r>
      <w:r>
        <w:rPr>
          <w:rFonts w:ascii="Times New Roman" w:cs="Times New Roman" w:eastAsia="Times New Roman" w:hAnsi="Times New Roman"/>
          <w:sz w:val="15"/>
          <w:szCs w:val="15"/>
          <w:b w:val="1"/>
          <w:bCs w:val="1"/>
          <w:color w:val="auto"/>
        </w:rPr>
        <w:t xml:space="preserve">Ratios / Supplemental Data </w:t>
      </w:r>
      <w:r>
        <w:rPr>
          <w:rFonts w:ascii="Times New Roman" w:cs="Times New Roman" w:eastAsia="Times New Roman" w:hAnsi="Times New Roman"/>
          <w:sz w:val="20"/>
          <w:szCs w:val="20"/>
          <w:b w:val="1"/>
          <w:bCs w:val="1"/>
          <w:color w:val="auto"/>
          <w:vertAlign w:val="superscript"/>
        </w:rPr>
        <w:t>(6)(7)</w:t>
      </w:r>
    </w:p>
    <w:p>
      <w:pPr>
        <w:spacing w:after="0" w:line="2" w:lineRule="exact"/>
        <w:rPr>
          <w:sz w:val="20"/>
          <w:szCs w:val="20"/>
          <w:color w:val="auto"/>
        </w:rPr>
      </w:pPr>
    </w:p>
    <w:p>
      <w:pPr>
        <w:ind w:left="60"/>
        <w:spacing w:after="0" w:line="234" w:lineRule="auto"/>
        <w:rPr>
          <w:sz w:val="20"/>
          <w:szCs w:val="20"/>
          <w:color w:val="auto"/>
        </w:rPr>
      </w:pPr>
      <w:r>
        <w:rPr>
          <w:rFonts w:ascii="Times New Roman" w:cs="Times New Roman" w:eastAsia="Times New Roman" w:hAnsi="Times New Roman"/>
          <w:sz w:val="16"/>
          <w:szCs w:val="16"/>
          <w:color w:val="auto"/>
        </w:rPr>
        <w:t>Ratio of gross expenses to average net assets without management fee waiver</w:t>
      </w:r>
    </w:p>
    <w:p>
      <w:pPr>
        <w:spacing w:after="0" w:line="1" w:lineRule="exact"/>
        <w:rPr>
          <w:sz w:val="20"/>
          <w:szCs w:val="20"/>
          <w:color w:val="auto"/>
        </w:rPr>
      </w:pPr>
    </w:p>
    <w:p>
      <w:pPr>
        <w:ind w:left="60" w:right="1180"/>
        <w:spacing w:after="0" w:line="234" w:lineRule="auto"/>
        <w:rPr>
          <w:sz w:val="20"/>
          <w:szCs w:val="20"/>
          <w:color w:val="auto"/>
        </w:rPr>
      </w:pPr>
      <w:r>
        <w:rPr>
          <w:rFonts w:ascii="Times New Roman" w:cs="Times New Roman" w:eastAsia="Times New Roman" w:hAnsi="Times New Roman"/>
          <w:sz w:val="16"/>
          <w:szCs w:val="16"/>
          <w:color w:val="auto"/>
        </w:rPr>
        <w:t>Ratio of net expenses to average net assets with management fee waiver</w:t>
      </w:r>
    </w:p>
    <w:p>
      <w:pPr>
        <w:spacing w:after="0" w:line="1" w:lineRule="exact"/>
        <w:rPr>
          <w:sz w:val="20"/>
          <w:szCs w:val="20"/>
          <w:color w:val="auto"/>
        </w:rPr>
      </w:pPr>
    </w:p>
    <w:p>
      <w:pPr>
        <w:ind w:left="60" w:right="360"/>
        <w:spacing w:after="0" w:line="234" w:lineRule="auto"/>
        <w:rPr>
          <w:sz w:val="20"/>
          <w:szCs w:val="20"/>
          <w:color w:val="auto"/>
        </w:rPr>
      </w:pPr>
      <w:r>
        <w:rPr>
          <w:rFonts w:ascii="Times New Roman" w:cs="Times New Roman" w:eastAsia="Times New Roman" w:hAnsi="Times New Roman"/>
          <w:sz w:val="16"/>
          <w:szCs w:val="16"/>
          <w:color w:val="auto"/>
        </w:rPr>
        <w:t>Ratio of net investment income to average net assets without management fee waiver</w:t>
      </w:r>
    </w:p>
    <w:p>
      <w:pPr>
        <w:ind w:left="60"/>
        <w:spacing w:after="0" w:line="236" w:lineRule="auto"/>
        <w:rPr>
          <w:sz w:val="20"/>
          <w:szCs w:val="20"/>
          <w:color w:val="auto"/>
        </w:rPr>
      </w:pPr>
      <w:r>
        <w:rPr>
          <w:rFonts w:ascii="Times New Roman" w:cs="Times New Roman" w:eastAsia="Times New Roman" w:hAnsi="Times New Roman"/>
          <w:sz w:val="16"/>
          <w:szCs w:val="16"/>
          <w:color w:val="auto"/>
        </w:rPr>
        <w:t>Ratio of net investment income to average net assets with</w:t>
      </w:r>
    </w:p>
    <w:p>
      <w:pPr>
        <w:ind w:left="60"/>
        <w:spacing w:after="0" w:line="235" w:lineRule="auto"/>
        <w:rPr>
          <w:sz w:val="20"/>
          <w:szCs w:val="20"/>
          <w:color w:val="auto"/>
        </w:rPr>
      </w:pPr>
      <w:r>
        <w:rPr>
          <w:rFonts w:ascii="Times New Roman" w:cs="Times New Roman" w:eastAsia="Times New Roman" w:hAnsi="Times New Roman"/>
          <w:sz w:val="16"/>
          <w:szCs w:val="16"/>
          <w:color w:val="auto"/>
        </w:rPr>
        <w:t>management fee waiver</w:t>
      </w:r>
    </w:p>
    <w:p>
      <w:pPr>
        <w:ind w:left="60"/>
        <w:spacing w:after="0" w:line="235" w:lineRule="auto"/>
        <w:rPr>
          <w:sz w:val="20"/>
          <w:szCs w:val="20"/>
          <w:color w:val="auto"/>
        </w:rPr>
      </w:pPr>
      <w:r>
        <w:rPr>
          <w:rFonts w:ascii="Times New Roman" w:cs="Times New Roman" w:eastAsia="Times New Roman" w:hAnsi="Times New Roman"/>
          <w:sz w:val="16"/>
          <w:szCs w:val="16"/>
          <w:color w:val="auto"/>
        </w:rPr>
        <w:t>Portfolio turnover</w:t>
      </w:r>
    </w:p>
    <w:p>
      <w:pPr>
        <w:ind w:left="60"/>
        <w:spacing w:after="0"/>
        <w:rPr>
          <w:sz w:val="20"/>
          <w:szCs w:val="20"/>
          <w:color w:val="auto"/>
        </w:rPr>
      </w:pPr>
      <w:r>
        <w:rPr>
          <w:rFonts w:ascii="Times New Roman" w:cs="Times New Roman" w:eastAsia="Times New Roman" w:hAnsi="Times New Roman"/>
          <w:sz w:val="16"/>
          <w:szCs w:val="16"/>
          <w:color w:val="auto"/>
        </w:rPr>
        <w:t>Net assets, end of period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From April 5, 2022</w:t>
            </w:r>
          </w:p>
        </w:tc>
      </w:tr>
      <w:tr>
        <w:trPr>
          <w:trHeight w:val="156"/>
        </w:trPr>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(Inception) through</w:t>
            </w:r>
          </w:p>
        </w:tc>
      </w:tr>
      <w:tr>
        <w:trPr>
          <w:trHeight w:val="174"/>
        </w:trPr>
        <w:tc>
          <w:tcPr>
            <w:tcW w:w="80" w:type="dxa"/>
            <w:vAlign w:val="bottom"/>
          </w:tcPr>
          <w:p>
            <w:pPr>
              <w:spacing w:after="0"/>
              <w:rPr>
                <w:sz w:val="15"/>
                <w:szCs w:val="15"/>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6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366"/>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28.79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27.75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24.98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25.00</w:t>
            </w:r>
          </w:p>
        </w:tc>
      </w:tr>
      <w:tr>
        <w:trPr>
          <w:trHeight w:val="337"/>
        </w:trPr>
        <w:tc>
          <w:tcPr>
            <w:tcW w:w="80" w:type="dxa"/>
            <w:vAlign w:val="bottom"/>
          </w:tcPr>
          <w:p>
            <w:pPr>
              <w:spacing w:after="0"/>
              <w:rPr>
                <w:sz w:val="24"/>
                <w:szCs w:val="24"/>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tcPr>
          <w:p>
            <w:pPr>
              <w:spacing w:after="0"/>
              <w:rPr>
                <w:sz w:val="24"/>
                <w:szCs w:val="24"/>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tcPr>
          <w:p>
            <w:pPr>
              <w:spacing w:after="0"/>
              <w:rPr>
                <w:sz w:val="24"/>
                <w:szCs w:val="24"/>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3.69</w:t>
            </w:r>
          </w:p>
        </w:tc>
        <w:tc>
          <w:tcPr>
            <w:tcW w:w="140" w:type="dxa"/>
            <w:vAlign w:val="bottom"/>
          </w:tcPr>
          <w:p>
            <w:pPr>
              <w:spacing w:after="0"/>
              <w:rPr>
                <w:sz w:val="24"/>
                <w:szCs w:val="24"/>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0.51</w:t>
            </w:r>
          </w:p>
        </w:tc>
      </w:tr>
      <w:tr>
        <w:trPr>
          <w:trHeight w:val="180"/>
        </w:trPr>
        <w:tc>
          <w:tcPr>
            <w:tcW w:w="80" w:type="dxa"/>
            <w:vAlign w:val="bottom"/>
          </w:tcPr>
          <w:p>
            <w:pPr>
              <w:spacing w:after="0"/>
              <w:rPr>
                <w:sz w:val="15"/>
                <w:szCs w:val="15"/>
                <w:color w:val="auto"/>
              </w:rPr>
            </w:pPr>
          </w:p>
        </w:tc>
        <w:tc>
          <w:tcPr>
            <w:tcW w:w="13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(0.51)</w:t>
            </w:r>
          </w:p>
        </w:tc>
        <w:tc>
          <w:tcPr>
            <w:tcW w:w="160" w:type="dxa"/>
            <w:vAlign w:val="bottom"/>
          </w:tcPr>
          <w:p>
            <w:pPr>
              <w:spacing w:after="0"/>
              <w:rPr>
                <w:sz w:val="15"/>
                <w:szCs w:val="15"/>
                <w:color w:val="auto"/>
              </w:rPr>
            </w:pPr>
          </w:p>
        </w:tc>
        <w:tc>
          <w:tcPr>
            <w:tcW w:w="14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160" w:type="dxa"/>
            <w:vAlign w:val="bottom"/>
          </w:tcPr>
          <w:p>
            <w:pPr>
              <w:spacing w:after="0"/>
              <w:rPr>
                <w:sz w:val="15"/>
                <w:szCs w:val="15"/>
                <w:color w:val="auto"/>
              </w:rPr>
            </w:pPr>
          </w:p>
        </w:tc>
        <w:tc>
          <w:tcPr>
            <w:tcW w:w="14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40" w:type="dxa"/>
            <w:vAlign w:val="bottom"/>
          </w:tcPr>
          <w:p>
            <w:pPr>
              <w:spacing w:after="0"/>
              <w:rPr>
                <w:sz w:val="15"/>
                <w:szCs w:val="15"/>
                <w:color w:val="auto"/>
              </w:rPr>
            </w:pPr>
          </w:p>
        </w:tc>
        <w:tc>
          <w:tcPr>
            <w:tcW w:w="13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(0.16)</w:t>
            </w:r>
          </w:p>
        </w:tc>
      </w:tr>
      <w:tr>
        <w:trPr>
          <w:trHeight w:val="180"/>
        </w:trPr>
        <w:tc>
          <w:tcPr>
            <w:tcW w:w="80" w:type="dxa"/>
            <w:vAlign w:val="bottom"/>
          </w:tcPr>
          <w:p>
            <w:pPr>
              <w:spacing w:after="0"/>
              <w:rPr>
                <w:sz w:val="15"/>
                <w:szCs w:val="15"/>
                <w:color w:val="auto"/>
              </w:rPr>
            </w:pPr>
          </w:p>
        </w:tc>
        <w:tc>
          <w:tcPr>
            <w:tcW w:w="134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3.58</w:t>
            </w:r>
          </w:p>
        </w:tc>
        <w:tc>
          <w:tcPr>
            <w:tcW w:w="160" w:type="dxa"/>
            <w:vAlign w:val="bottom"/>
          </w:tcPr>
          <w:p>
            <w:pPr>
              <w:spacing w:after="0"/>
              <w:rPr>
                <w:sz w:val="15"/>
                <w:szCs w:val="15"/>
                <w:color w:val="auto"/>
              </w:rPr>
            </w:pPr>
          </w:p>
        </w:tc>
        <w:tc>
          <w:tcPr>
            <w:tcW w:w="14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160" w:type="dxa"/>
            <w:vAlign w:val="bottom"/>
          </w:tcPr>
          <w:p>
            <w:pPr>
              <w:spacing w:after="0"/>
              <w:rPr>
                <w:sz w:val="15"/>
                <w:szCs w:val="15"/>
                <w:color w:val="auto"/>
              </w:rPr>
            </w:pPr>
          </w:p>
        </w:tc>
        <w:tc>
          <w:tcPr>
            <w:tcW w:w="14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140" w:type="dxa"/>
            <w:vAlign w:val="bottom"/>
          </w:tcPr>
          <w:p>
            <w:pPr>
              <w:spacing w:after="0"/>
              <w:rPr>
                <w:sz w:val="15"/>
                <w:szCs w:val="15"/>
                <w:color w:val="auto"/>
              </w:rPr>
            </w:pPr>
          </w:p>
        </w:tc>
        <w:tc>
          <w:tcPr>
            <w:tcW w:w="13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0.35</w:t>
            </w:r>
          </w:p>
        </w:tc>
      </w:tr>
      <w:tr>
        <w:trPr>
          <w:trHeight w:val="180"/>
        </w:trPr>
        <w:tc>
          <w:tcPr>
            <w:tcW w:w="80" w:type="dxa"/>
            <w:vAlign w:val="bottom"/>
          </w:tcPr>
          <w:p>
            <w:pPr>
              <w:spacing w:after="0"/>
              <w:rPr>
                <w:sz w:val="15"/>
                <w:szCs w:val="15"/>
                <w:color w:val="auto"/>
              </w:rPr>
            </w:pPr>
          </w:p>
        </w:tc>
        <w:tc>
          <w:tcPr>
            <w:tcW w:w="134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160" w:type="dxa"/>
            <w:vAlign w:val="bottom"/>
          </w:tcPr>
          <w:p>
            <w:pPr>
              <w:spacing w:after="0"/>
              <w:rPr>
                <w:sz w:val="15"/>
                <w:szCs w:val="15"/>
                <w:color w:val="auto"/>
              </w:rPr>
            </w:pPr>
          </w:p>
        </w:tc>
        <w:tc>
          <w:tcPr>
            <w:tcW w:w="14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(0.12)</w:t>
            </w:r>
          </w:p>
        </w:tc>
        <w:tc>
          <w:tcPr>
            <w:tcW w:w="140" w:type="dxa"/>
            <w:vAlign w:val="bottom"/>
          </w:tcPr>
          <w:p>
            <w:pPr>
              <w:spacing w:after="0"/>
              <w:rPr>
                <w:sz w:val="15"/>
                <w:szCs w:val="15"/>
                <w:color w:val="auto"/>
              </w:rPr>
            </w:pPr>
          </w:p>
        </w:tc>
        <w:tc>
          <w:tcPr>
            <w:tcW w:w="13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(0.37)</w:t>
            </w:r>
          </w:p>
        </w:tc>
      </w:tr>
      <w:tr>
        <w:trPr>
          <w:trHeight w:val="180"/>
        </w:trPr>
        <w:tc>
          <w:tcPr>
            <w:tcW w:w="80" w:type="dxa"/>
            <w:vAlign w:val="bottom"/>
          </w:tcPr>
          <w:p>
            <w:pPr>
              <w:spacing w:after="0"/>
              <w:rPr>
                <w:sz w:val="15"/>
                <w:szCs w:val="15"/>
                <w:color w:val="auto"/>
              </w:rPr>
            </w:pPr>
          </w:p>
        </w:tc>
        <w:tc>
          <w:tcPr>
            <w:tcW w:w="13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(3.85)</w:t>
            </w:r>
          </w:p>
        </w:tc>
        <w:tc>
          <w:tcPr>
            <w:tcW w:w="160" w:type="dxa"/>
            <w:vAlign w:val="bottom"/>
          </w:tcPr>
          <w:p>
            <w:pPr>
              <w:spacing w:after="0"/>
              <w:rPr>
                <w:sz w:val="15"/>
                <w:szCs w:val="15"/>
                <w:color w:val="auto"/>
              </w:rPr>
            </w:pPr>
          </w:p>
        </w:tc>
        <w:tc>
          <w:tcPr>
            <w:tcW w:w="14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(4.54)</w:t>
            </w:r>
          </w:p>
        </w:tc>
        <w:tc>
          <w:tcPr>
            <w:tcW w:w="160" w:type="dxa"/>
            <w:vAlign w:val="bottom"/>
          </w:tcPr>
          <w:p>
            <w:pPr>
              <w:spacing w:after="0"/>
              <w:rPr>
                <w:sz w:val="15"/>
                <w:szCs w:val="15"/>
                <w:color w:val="auto"/>
              </w:rPr>
            </w:pPr>
          </w:p>
        </w:tc>
        <w:tc>
          <w:tcPr>
            <w:tcW w:w="142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15"/>
                <w:szCs w:val="15"/>
                <w:color w:val="auto"/>
              </w:rPr>
            </w:pPr>
          </w:p>
        </w:tc>
        <w:tc>
          <w:tcPr>
            <w:tcW w:w="13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80" w:type="dxa"/>
            <w:vAlign w:val="bottom"/>
          </w:tcPr>
          <w:p>
            <w:pPr>
              <w:spacing w:after="0"/>
              <w:rPr>
                <w:sz w:val="17"/>
                <w:szCs w:val="17"/>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(0.27)</w:t>
            </w:r>
          </w:p>
        </w:tc>
        <w:tc>
          <w:tcPr>
            <w:tcW w:w="16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(0.02)</w:t>
            </w:r>
          </w:p>
        </w:tc>
      </w:tr>
      <w:tr>
        <w:trPr>
          <w:trHeight w:val="241"/>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28.51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28.79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27.75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24.98</w:t>
            </w:r>
          </w:p>
        </w:tc>
      </w:tr>
      <w:tr>
        <w:trPr>
          <w:trHeight w:val="180"/>
        </w:trPr>
        <w:tc>
          <w:tcPr>
            <w:tcW w:w="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20.90%</w:t>
            </w: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21.42%</w:t>
            </w: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r>
      <w:tr>
        <w:trPr>
          <w:trHeight w:val="203"/>
        </w:trPr>
        <w:tc>
          <w:tcPr>
            <w:tcW w:w="8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146,285,685</w:t>
            </w:r>
          </w:p>
        </w:tc>
        <w:tc>
          <w:tcPr>
            <w:tcW w:w="16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140,208,028</w:t>
            </w:r>
          </w:p>
        </w:tc>
        <w:tc>
          <w:tcPr>
            <w:tcW w:w="16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65,478,775</w:t>
            </w:r>
          </w:p>
        </w:tc>
        <w:tc>
          <w:tcPr>
            <w:tcW w:w="14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21,882,028</w:t>
            </w:r>
          </w:p>
        </w:tc>
      </w:tr>
      <w:tr>
        <w:trPr>
          <w:trHeight w:val="540"/>
        </w:trPr>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360"/>
        </w:trPr>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360"/>
        </w:trPr>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337"/>
        </w:trPr>
        <w:tc>
          <w:tcPr>
            <w:tcW w:w="80" w:type="dxa"/>
            <w:vAlign w:val="bottom"/>
          </w:tcPr>
          <w:p>
            <w:pPr>
              <w:spacing w:after="0"/>
              <w:rPr>
                <w:sz w:val="24"/>
                <w:szCs w:val="24"/>
                <w:color w:val="auto"/>
              </w:rPr>
            </w:pPr>
          </w:p>
        </w:tc>
        <w:tc>
          <w:tcPr>
            <w:tcW w:w="1340" w:type="dxa"/>
            <w:vAlign w:val="bottom"/>
          </w:tcPr>
          <w:p>
            <w:pPr>
              <w:jc w:val="right"/>
              <w:spacing w:after="0" w:line="336" w:lineRule="exact"/>
              <w:rPr>
                <w:sz w:val="20"/>
                <w:szCs w:val="20"/>
                <w:color w:val="auto"/>
              </w:rPr>
            </w:pPr>
            <w:r>
              <w:rPr>
                <w:rFonts w:ascii="Times New Roman" w:cs="Times New Roman" w:eastAsia="Times New Roman" w:hAnsi="Times New Roman"/>
                <w:sz w:val="16"/>
                <w:szCs w:val="16"/>
                <w:color w:val="auto"/>
              </w:rPr>
              <w:t>14.09</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4"/>
                <w:szCs w:val="24"/>
                <w:color w:val="auto"/>
              </w:rPr>
            </w:pPr>
          </w:p>
        </w:tc>
        <w:tc>
          <w:tcPr>
            <w:tcW w:w="1420" w:type="dxa"/>
            <w:vAlign w:val="bottom"/>
          </w:tcPr>
          <w:p>
            <w:pPr>
              <w:jc w:val="right"/>
              <w:spacing w:after="0" w:line="336" w:lineRule="exact"/>
              <w:rPr>
                <w:sz w:val="20"/>
                <w:szCs w:val="20"/>
                <w:color w:val="auto"/>
              </w:rPr>
            </w:pPr>
            <w:r>
              <w:rPr>
                <w:rFonts w:ascii="Times New Roman" w:cs="Times New Roman" w:eastAsia="Times New Roman" w:hAnsi="Times New Roman"/>
                <w:sz w:val="16"/>
                <w:szCs w:val="16"/>
                <w:color w:val="auto"/>
              </w:rPr>
              <w:t>12.97</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4"/>
                <w:szCs w:val="24"/>
                <w:color w:val="auto"/>
              </w:rPr>
            </w:pPr>
          </w:p>
        </w:tc>
        <w:tc>
          <w:tcPr>
            <w:tcW w:w="1420" w:type="dxa"/>
            <w:vAlign w:val="bottom"/>
          </w:tcPr>
          <w:p>
            <w:pPr>
              <w:jc w:val="right"/>
              <w:spacing w:after="0" w:line="336" w:lineRule="exact"/>
              <w:rPr>
                <w:sz w:val="20"/>
                <w:szCs w:val="20"/>
                <w:color w:val="auto"/>
              </w:rPr>
            </w:pPr>
            <w:r>
              <w:rPr>
                <w:rFonts w:ascii="Times New Roman" w:cs="Times New Roman" w:eastAsia="Times New Roman" w:hAnsi="Times New Roman"/>
                <w:sz w:val="16"/>
                <w:szCs w:val="16"/>
                <w:color w:val="auto"/>
              </w:rPr>
              <w:t>12.36</w:t>
            </w:r>
            <w:r>
              <w:rPr>
                <w:rFonts w:ascii="Times New Roman" w:cs="Times New Roman" w:eastAsia="Times New Roman" w:hAnsi="Times New Roman"/>
                <w:sz w:val="31"/>
                <w:szCs w:val="31"/>
                <w:color w:val="auto"/>
                <w:vertAlign w:val="superscript"/>
              </w:rPr>
              <w:t>%</w:t>
            </w:r>
          </w:p>
        </w:tc>
        <w:tc>
          <w:tcPr>
            <w:tcW w:w="140" w:type="dxa"/>
            <w:vAlign w:val="bottom"/>
          </w:tcPr>
          <w:p>
            <w:pPr>
              <w:spacing w:after="0"/>
              <w:rPr>
                <w:sz w:val="24"/>
                <w:szCs w:val="24"/>
                <w:color w:val="auto"/>
              </w:rPr>
            </w:pPr>
          </w:p>
        </w:tc>
        <w:tc>
          <w:tcPr>
            <w:tcW w:w="1300" w:type="dxa"/>
            <w:vAlign w:val="bottom"/>
          </w:tcPr>
          <w:p>
            <w:pPr>
              <w:jc w:val="right"/>
              <w:spacing w:after="0" w:line="336" w:lineRule="exact"/>
              <w:rPr>
                <w:sz w:val="20"/>
                <w:szCs w:val="20"/>
                <w:color w:val="auto"/>
              </w:rPr>
            </w:pPr>
            <w:r>
              <w:rPr>
                <w:rFonts w:ascii="Times New Roman" w:cs="Times New Roman" w:eastAsia="Times New Roman" w:hAnsi="Times New Roman"/>
                <w:sz w:val="16"/>
                <w:szCs w:val="16"/>
                <w:color w:val="auto"/>
              </w:rPr>
              <w:t>3.21</w:t>
            </w:r>
            <w:r>
              <w:rPr>
                <w:rFonts w:ascii="Times New Roman" w:cs="Times New Roman" w:eastAsia="Times New Roman" w:hAnsi="Times New Roman"/>
                <w:sz w:val="31"/>
                <w:szCs w:val="31"/>
                <w:color w:val="auto"/>
                <w:vertAlign w:val="superscript"/>
              </w:rPr>
              <w:t>%</w:t>
            </w:r>
          </w:p>
        </w:tc>
      </w:tr>
      <w:tr>
        <w:trPr>
          <w:trHeight w:val="180"/>
        </w:trPr>
        <w:tc>
          <w:tcPr>
            <w:tcW w:w="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28.42%</w:t>
            </w: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15.36%</w:t>
            </w: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4.46%</w:t>
            </w:r>
          </w:p>
        </w:tc>
        <w:tc>
          <w:tcPr>
            <w:tcW w:w="140" w:type="dxa"/>
            <w:vAlign w:val="bottom"/>
          </w:tcPr>
          <w:p>
            <w:pPr>
              <w:spacing w:after="0"/>
              <w:rPr>
                <w:sz w:val="15"/>
                <w:szCs w:val="15"/>
                <w:color w:val="auto"/>
              </w:rPr>
            </w:pPr>
          </w:p>
        </w:tc>
        <w:tc>
          <w:tcPr>
            <w:tcW w:w="13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4,170,488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4,036,470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1,817,067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546,711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-2688590</wp:posOffset>
            </wp:positionV>
            <wp:extent cx="6638925" cy="114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-2459990</wp:posOffset>
            </wp:positionV>
            <wp:extent cx="6638925"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-2231390</wp:posOffset>
            </wp:positionV>
            <wp:extent cx="6638925"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-2002790</wp:posOffset>
            </wp:positionV>
            <wp:extent cx="6638925"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-1774190</wp:posOffset>
            </wp:positionV>
            <wp:extent cx="6638925"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-1492250</wp:posOffset>
            </wp:positionV>
            <wp:extent cx="6638925"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-1263650</wp:posOffset>
            </wp:positionV>
            <wp:extent cx="6638925"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-920115</wp:posOffset>
            </wp:positionV>
            <wp:extent cx="6638925" cy="228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38925" cy="2286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-462915</wp:posOffset>
            </wp:positionV>
            <wp:extent cx="6638925" cy="228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38925" cy="2286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-120015</wp:posOffset>
            </wp:positionV>
            <wp:extent cx="6638925"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38925" cy="1143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4200" w:space="280"/>
            <w:col w:w="6060"/>
          </w:cols>
          <w:pgMar w:left="660" w:top="1311" w:right="700"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weighted average Common Shares outstanding during the period.</w:t>
      </w:r>
    </w:p>
    <w:p>
      <w:pPr>
        <w:ind w:right="300"/>
        <w:spacing w:after="0" w:line="234" w:lineRule="auto"/>
        <w:rPr>
          <w:sz w:val="20"/>
          <w:szCs w:val="20"/>
          <w:color w:val="auto"/>
        </w:rPr>
      </w:pPr>
      <w:r>
        <w:rPr>
          <w:rFonts w:ascii="Times New Roman" w:cs="Times New Roman" w:eastAsia="Times New Roman" w:hAnsi="Times New Roman"/>
          <w:sz w:val="16"/>
          <w:szCs w:val="16"/>
          <w:color w:val="auto"/>
        </w:rPr>
        <w:t>(3)The amount shown at this caption is the balancing amount derived from share issuances. The amount shown for share issuance will fluctuate due to the timing of share issuances and the weighting of average shares over the period.</w:t>
      </w:r>
    </w:p>
    <w:p>
      <w:pPr>
        <w:spacing w:after="0" w:line="236" w:lineRule="auto"/>
        <w:rPr>
          <w:sz w:val="20"/>
          <w:szCs w:val="20"/>
          <w:color w:val="auto"/>
        </w:rPr>
      </w:pPr>
      <w:r>
        <w:rPr>
          <w:rFonts w:ascii="Times New Roman" w:cs="Times New Roman" w:eastAsia="Times New Roman" w:hAnsi="Times New Roman"/>
          <w:sz w:val="16"/>
          <w:szCs w:val="16"/>
          <w:color w:val="auto"/>
        </w:rPr>
        <w:t>(4)The per share data was derived by using the actual shares outstanding at the date of the relevant transactions.</w:t>
      </w:r>
    </w:p>
    <w:p>
      <w:pPr>
        <w:ind w:right="36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assuming reinvestment of dividends, divided by the beginning net asset value per share.</w:t>
      </w:r>
    </w:p>
    <w:p>
      <w:pPr>
        <w:spacing w:after="0" w:line="236" w:lineRule="auto"/>
        <w:rPr>
          <w:sz w:val="20"/>
          <w:szCs w:val="20"/>
          <w:color w:val="auto"/>
        </w:rPr>
      </w:pPr>
      <w:r>
        <w:rPr>
          <w:rFonts w:ascii="Times New Roman" w:cs="Times New Roman" w:eastAsia="Times New Roman" w:hAnsi="Times New Roman"/>
          <w:sz w:val="16"/>
          <w:szCs w:val="16"/>
          <w:color w:val="auto"/>
        </w:rPr>
        <w:t>(6)The ratios, excluding nonrecurring expenses, such as organization costs, are annualized.</w:t>
      </w:r>
    </w:p>
    <w:p>
      <w:pPr>
        <w:spacing w:after="0" w:line="238" w:lineRule="auto"/>
        <w:rPr>
          <w:sz w:val="20"/>
          <w:szCs w:val="20"/>
          <w:color w:val="auto"/>
        </w:rPr>
      </w:pPr>
      <w:r>
        <w:rPr>
          <w:rFonts w:ascii="Times New Roman" w:cs="Times New Roman" w:eastAsia="Times New Roman" w:hAnsi="Times New Roman"/>
          <w:sz w:val="16"/>
          <w:szCs w:val="16"/>
          <w:color w:val="auto"/>
        </w:rPr>
        <w:t>(7)For the period from April 5th (Inception) through December 31, 2022, the ratios represent information on an annualized basis, except for nonrecurring expenses, such as organizational and offering expenses, which are not annualized.</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type w:val="continuous"/>
        </w:sectPr>
      </w:pPr>
    </w:p>
    <w:bookmarkStart w:id="130" w:name="page131"/>
    <w:bookmarkEnd w:id="130"/>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Selected Quarterly Financial Data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Q4</w:t>
            </w:r>
          </w:p>
        </w:tc>
        <w:tc>
          <w:tcPr>
            <w:tcW w:w="360" w:type="dxa"/>
            <w:vAlign w:val="bottom"/>
          </w:tcPr>
          <w:p>
            <w:pPr>
              <w:spacing w:after="0"/>
              <w:rPr>
                <w:sz w:val="15"/>
                <w:szCs w:val="15"/>
                <w:color w:val="auto"/>
              </w:rPr>
            </w:pPr>
          </w:p>
        </w:tc>
        <w:tc>
          <w:tcPr>
            <w:tcW w:w="1000" w:type="dxa"/>
            <w:vAlign w:val="bottom"/>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Q3</w:t>
            </w:r>
          </w:p>
        </w:tc>
        <w:tc>
          <w:tcPr>
            <w:tcW w:w="420" w:type="dxa"/>
            <w:vAlign w:val="bottom"/>
          </w:tcPr>
          <w:p>
            <w:pPr>
              <w:spacing w:after="0"/>
              <w:rPr>
                <w:sz w:val="15"/>
                <w:szCs w:val="15"/>
                <w:color w:val="auto"/>
              </w:rPr>
            </w:pPr>
          </w:p>
        </w:tc>
        <w:tc>
          <w:tcPr>
            <w:tcW w:w="100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Q2</w:t>
            </w:r>
          </w:p>
        </w:tc>
        <w:tc>
          <w:tcPr>
            <w:tcW w:w="400" w:type="dxa"/>
            <w:vAlign w:val="bottom"/>
          </w:tcPr>
          <w:p>
            <w:pPr>
              <w:spacing w:after="0"/>
              <w:rPr>
                <w:sz w:val="15"/>
                <w:szCs w:val="15"/>
                <w:color w:val="auto"/>
              </w:rPr>
            </w:pPr>
          </w:p>
        </w:tc>
        <w:tc>
          <w:tcPr>
            <w:tcW w:w="9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231,336</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235,715</w:t>
            </w:r>
          </w:p>
        </w:tc>
        <w:tc>
          <w:tcPr>
            <w:tcW w:w="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241,090</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240,528</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9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86,795</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93,144</w:t>
            </w:r>
          </w:p>
        </w:tc>
        <w:tc>
          <w:tcPr>
            <w:tcW w:w="4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94,072</w:t>
            </w:r>
          </w:p>
        </w:tc>
        <w:tc>
          <w:tcPr>
            <w:tcW w:w="4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87,966</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144,541</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142,571</w:t>
            </w:r>
          </w:p>
        </w:tc>
        <w:tc>
          <w:tcPr>
            <w:tcW w:w="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147,018</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152,562</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9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(55,862)</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(4,190)</w:t>
            </w:r>
          </w:p>
        </w:tc>
        <w:tc>
          <w:tcPr>
            <w:tcW w:w="4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10,908</w:t>
            </w:r>
          </w:p>
        </w:tc>
        <w:tc>
          <w:tcPr>
            <w:tcW w:w="4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(24,455)</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Net Assets Resulting from Operations</w:t>
            </w: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88,679</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138,381</w:t>
            </w:r>
          </w:p>
        </w:tc>
        <w:tc>
          <w:tcPr>
            <w:tcW w:w="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157,926</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128,107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28.51</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29.68</w:t>
            </w:r>
          </w:p>
        </w:tc>
        <w:tc>
          <w:tcPr>
            <w:tcW w:w="4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29.02</w:t>
            </w:r>
          </w:p>
        </w:tc>
      </w:tr>
      <w:tr>
        <w:trPr>
          <w:trHeight w:val="341"/>
        </w:trPr>
        <w:tc>
          <w:tcPr>
            <w:tcW w:w="4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Q4</w:t>
            </w:r>
          </w:p>
        </w:tc>
        <w:tc>
          <w:tcPr>
            <w:tcW w:w="360" w:type="dxa"/>
            <w:vAlign w:val="bottom"/>
          </w:tcPr>
          <w:p>
            <w:pPr>
              <w:spacing w:after="0"/>
              <w:rPr>
                <w:sz w:val="15"/>
                <w:szCs w:val="15"/>
                <w:color w:val="auto"/>
              </w:rPr>
            </w:pPr>
          </w:p>
        </w:tc>
        <w:tc>
          <w:tcPr>
            <w:tcW w:w="1000" w:type="dxa"/>
            <w:vAlign w:val="bottom"/>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Q3</w:t>
            </w:r>
          </w:p>
        </w:tc>
        <w:tc>
          <w:tcPr>
            <w:tcW w:w="42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Q2</w:t>
            </w:r>
          </w:p>
        </w:tc>
        <w:tc>
          <w:tcPr>
            <w:tcW w:w="40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200,820</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178,888</w:t>
            </w:r>
          </w:p>
        </w:tc>
        <w:tc>
          <w:tcPr>
            <w:tcW w:w="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157,464</w:t>
            </w:r>
          </w:p>
        </w:tc>
        <w:tc>
          <w:tcPr>
            <w:tcW w:w="4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131,592</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9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95,824</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78,022</w:t>
            </w:r>
          </w:p>
        </w:tc>
        <w:tc>
          <w:tcPr>
            <w:tcW w:w="4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71,191</w:t>
            </w:r>
          </w:p>
        </w:tc>
        <w:tc>
          <w:tcPr>
            <w:tcW w:w="4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56,710</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104,995</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100,866</w:t>
            </w:r>
          </w:p>
        </w:tc>
        <w:tc>
          <w:tcPr>
            <w:tcW w:w="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86,265</w:t>
            </w:r>
          </w:p>
        </w:tc>
        <w:tc>
          <w:tcPr>
            <w:tcW w:w="4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72,722</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9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68,646</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26,114</w:t>
            </w:r>
          </w:p>
        </w:tc>
        <w:tc>
          <w:tcPr>
            <w:tcW w:w="4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21,329</w:t>
            </w:r>
          </w:p>
        </w:tc>
        <w:tc>
          <w:tcPr>
            <w:tcW w:w="4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25,003</w:t>
            </w:r>
          </w:p>
        </w:tc>
      </w:tr>
      <w:tr>
        <w:trPr>
          <w:trHeight w:val="228"/>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Net Assets Resulting from Operations</w:t>
            </w:r>
          </w:p>
        </w:tc>
        <w:tc>
          <w:tcPr>
            <w:tcW w:w="9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173,641</w:t>
            </w:r>
          </w:p>
        </w:tc>
        <w:tc>
          <w:tcPr>
            <w:tcW w:w="3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126,980</w:t>
            </w:r>
          </w:p>
        </w:tc>
        <w:tc>
          <w:tcPr>
            <w:tcW w:w="42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107,594</w:t>
            </w:r>
          </w:p>
        </w:tc>
        <w:tc>
          <w:tcPr>
            <w:tcW w:w="40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97,725</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9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28.79</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29.69</w:t>
            </w:r>
          </w:p>
        </w:tc>
        <w:tc>
          <w:tcPr>
            <w:tcW w:w="4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29.05</w:t>
            </w:r>
          </w:p>
        </w:tc>
        <w:tc>
          <w:tcPr>
            <w:tcW w:w="4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28.47</w:t>
            </w:r>
          </w:p>
        </w:tc>
      </w:tr>
      <w:tr>
        <w:trPr>
          <w:trHeight w:val="341"/>
        </w:trPr>
        <w:tc>
          <w:tcPr>
            <w:tcW w:w="4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Q4</w:t>
            </w:r>
          </w:p>
        </w:tc>
        <w:tc>
          <w:tcPr>
            <w:tcW w:w="36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Q3</w:t>
            </w:r>
          </w:p>
        </w:tc>
        <w:tc>
          <w:tcPr>
            <w:tcW w:w="420" w:type="dxa"/>
            <w:vAlign w:val="bottom"/>
          </w:tcPr>
          <w:p>
            <w:pPr>
              <w:spacing w:after="0"/>
              <w:rPr>
                <w:sz w:val="15"/>
                <w:szCs w:val="15"/>
                <w:color w:val="auto"/>
              </w:rPr>
            </w:pPr>
          </w:p>
        </w:tc>
        <w:tc>
          <w:tcPr>
            <w:tcW w:w="100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Q2</w:t>
            </w:r>
          </w:p>
        </w:tc>
        <w:tc>
          <w:tcPr>
            <w:tcW w:w="400" w:type="dxa"/>
            <w:vAlign w:val="bottom"/>
          </w:tcPr>
          <w:p>
            <w:pPr>
              <w:spacing w:after="0"/>
              <w:rPr>
                <w:sz w:val="15"/>
                <w:szCs w:val="15"/>
                <w:color w:val="auto"/>
              </w:rPr>
            </w:pPr>
          </w:p>
        </w:tc>
        <w:tc>
          <w:tcPr>
            <w:tcW w:w="9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90,782</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66,482</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57,788</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31,021</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9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41,660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34,026</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24,962</w:t>
            </w:r>
          </w:p>
        </w:tc>
        <w:tc>
          <w:tcPr>
            <w:tcW w:w="4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15,646</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Investment Income </w:t>
            </w:r>
            <w:r>
              <w:rPr>
                <w:rFonts w:ascii="Times New Roman" w:cs="Times New Roman" w:eastAsia="Times New Roman" w:hAnsi="Times New Roman"/>
                <w:sz w:val="20"/>
                <w:szCs w:val="20"/>
                <w:color w:val="auto"/>
                <w:vertAlign w:val="superscript"/>
              </w:rPr>
              <w:t>(2)</w:t>
            </w:r>
          </w:p>
        </w:tc>
        <w:tc>
          <w:tcPr>
            <w:tcW w:w="9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48,686</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32,056</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32,421</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15,115</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9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12,750</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29,447</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410</w:t>
            </w:r>
          </w:p>
        </w:tc>
        <w:tc>
          <w:tcPr>
            <w:tcW w:w="4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13,103</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Net Assets Resulting from Operations</w:t>
            </w:r>
          </w:p>
        </w:tc>
        <w:tc>
          <w:tcPr>
            <w:tcW w:w="9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61,437</w:t>
            </w:r>
          </w:p>
        </w:tc>
        <w:tc>
          <w:tcPr>
            <w:tcW w:w="3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61,503</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32,831</w:t>
            </w:r>
          </w:p>
        </w:tc>
        <w:tc>
          <w:tcPr>
            <w:tcW w:w="4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28,218</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27.75</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27.19</w:t>
            </w:r>
          </w:p>
        </w:tc>
        <w:tc>
          <w:tcPr>
            <w:tcW w:w="4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26.13</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25.77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5"/>
          <w:szCs w:val="15"/>
          <w:color w:val="auto"/>
        </w:rPr>
        <w:t>Net expenses include income taxes, including any excise taxes.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5"/>
          <w:szCs w:val="15"/>
          <w:color w:val="auto"/>
        </w:rPr>
        <w:t>Net investment income excludes $943 of expenses incurred at 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9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period ended December 31, 2025.</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0" w:lineRule="exact"/>
        <w:rPr>
          <w:sz w:val="20"/>
          <w:szCs w:val="20"/>
          <w:color w:val="auto"/>
        </w:rPr>
      </w:pPr>
    </w:p>
    <w:p>
      <w:pPr>
        <w:ind w:right="8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Annual Report, we carried out an evaluation, under the supervision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with the participation of our management, including our Chief Executive Officer and Chief Financial Officer, of the effectiveness of the design and operation of our disclosure controls and procedures (as defined in Rule 13a- 15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5"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over financial reporting (as defined in Rules 13a -15(f)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management concluded that our internal control over financial reporting was effective as of December 31, 2025.</w:t>
      </w:r>
    </w:p>
    <w:p>
      <w:pPr>
        <w:spacing w:after="0" w:line="172"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20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TRUSTEES, EXECUTIVE OFFICERS AND CORPORATE GOVERNANCE</w:t>
      </w:r>
    </w:p>
    <w:p>
      <w:pPr>
        <w:spacing w:after="0" w:line="19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the Board of Trustees. The responsibilities of the Board of Trustees include, among other things, the oversight of our investment activities, the quarterly and non -quarterly valuation of our assets, oversight of our financing arrangements and corporate governance activities. Our Board of Trustees consists of nine members, five of whom are not “interested persons” of the Company or of the Adviser as defined in Section 2(a)(19) of the 1940 Act and are “independent,” as determined by the Board of Trustees. These individuals are referred to as “Independent Trustees.” Our Board of Trustees elects the Company’s officers, who serve at the discretion of the Board of Trustees.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Trustees and Executive Officers</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Trustees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regarding the Board of Trustees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Age</w:t>
            </w:r>
          </w:p>
        </w:tc>
        <w:tc>
          <w:tcPr>
            <w:tcW w:w="35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3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Trustee Since</w:t>
            </w:r>
          </w:p>
        </w:tc>
      </w:tr>
      <w:tr>
        <w:trPr>
          <w:trHeight w:val="180"/>
        </w:trPr>
        <w:tc>
          <w:tcPr>
            <w:tcW w:w="29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Interested Trustees:</w:t>
            </w:r>
          </w:p>
        </w:tc>
        <w:tc>
          <w:tcPr>
            <w:tcW w:w="1780" w:type="dxa"/>
            <w:vAlign w:val="bottom"/>
            <w:shd w:val="clear" w:color="auto" w:fill="CFF0FC"/>
          </w:tcPr>
          <w:p>
            <w:pPr>
              <w:spacing w:after="0"/>
              <w:rPr>
                <w:sz w:val="15"/>
                <w:szCs w:val="15"/>
                <w:color w:val="auto"/>
              </w:rPr>
            </w:pPr>
          </w:p>
        </w:tc>
        <w:tc>
          <w:tcPr>
            <w:tcW w:w="356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Robert (“Bo”) Stanley</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Chief Executive Officer, Trustee</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w:t>
            </w: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Joshua Easterly</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Chair of the Board, Trustee</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Jennifer Gordon</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David Stiepleman</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Independent Trustees:</w:t>
            </w:r>
          </w:p>
        </w:tc>
        <w:tc>
          <w:tcPr>
            <w:tcW w:w="17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Richard Higginbotham</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Hurley Doddy</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Judy Slotkin</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Ronald Tanemura</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John D. Hershey</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Trustee</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2025</w:t>
            </w:r>
          </w:p>
        </w:tc>
      </w:tr>
    </w:tbl>
    <w:p>
      <w:pPr>
        <w:spacing w:after="0" w:line="167"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Each trustee will hold office until his or her death, resignation, removal or disqualification. The address for each of our trustees is c/o Sixth Street Lending Partners, 2100 McKinney Avenue, Suite 1500, Dallas, TX 75201.</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Information regarding the executive officers of the Company that are not Trustees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Age</w:t>
            </w:r>
          </w:p>
        </w:tc>
        <w:tc>
          <w:tcPr>
            <w:tcW w:w="3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80"/>
        </w:trPr>
        <w:tc>
          <w:tcPr>
            <w:tcW w:w="20" w:type="dxa"/>
            <w:vAlign w:val="bottom"/>
          </w:tcPr>
          <w:p>
            <w:pPr>
              <w:spacing w:after="0"/>
              <w:rPr>
                <w:sz w:val="15"/>
                <w:szCs w:val="15"/>
                <w:color w:val="auto"/>
              </w:rPr>
            </w:pPr>
          </w:p>
        </w:tc>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Ian Simmonds</w:t>
            </w: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67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20" w:type="dxa"/>
            <w:vAlign w:val="bottom"/>
          </w:tcPr>
          <w:p>
            <w:pPr>
              <w:spacing w:after="0"/>
              <w:rPr>
                <w:sz w:val="15"/>
                <w:szCs w:val="15"/>
                <w:color w:val="auto"/>
              </w:rPr>
            </w:pPr>
          </w:p>
        </w:tc>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Graf</w:t>
            </w:r>
          </w:p>
        </w:tc>
        <w:tc>
          <w:tcPr>
            <w:tcW w:w="118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67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Deputy Chief Financial Officer, Vice President and Principal Accounting Officer</w:t>
            </w:r>
          </w:p>
        </w:tc>
      </w:tr>
      <w:tr>
        <w:trPr>
          <w:trHeight w:val="180"/>
        </w:trPr>
        <w:tc>
          <w:tcPr>
            <w:tcW w:w="20" w:type="dxa"/>
            <w:vAlign w:val="bottom"/>
          </w:tcPr>
          <w:p>
            <w:pPr>
              <w:spacing w:after="0"/>
              <w:rPr>
                <w:sz w:val="15"/>
                <w:szCs w:val="15"/>
                <w:color w:val="auto"/>
              </w:rPr>
            </w:pPr>
          </w:p>
        </w:tc>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Anton Brett</w:t>
            </w: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67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Chief Compliance Officer and Secretary</w:t>
            </w:r>
          </w:p>
        </w:tc>
      </w:tr>
    </w:tbl>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Each officer holds office at the pleasure of the Board until the next election of officers or until his or her successor is duly elected and qualifies.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Biographical Information</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Trustees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trustees have been divided into two groups — interested trustees and Independent Trustees. An interested trustee is an “interested person” as defined in Section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2(a)(19) of the 1940 Act. An Independent Trustee is a trustee who is not an “interested person.”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Interested Trustees</w:t>
      </w:r>
    </w:p>
    <w:p>
      <w:pPr>
        <w:spacing w:after="0" w:line="94" w:lineRule="exact"/>
        <w:rPr>
          <w:sz w:val="20"/>
          <w:szCs w:val="20"/>
          <w:color w:val="auto"/>
        </w:rPr>
      </w:pPr>
    </w:p>
    <w:p>
      <w:pPr>
        <w:ind w:right="80" w:firstLine="228"/>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Robert (“Bo”) Stanley </w:t>
      </w:r>
      <w:r>
        <w:rPr>
          <w:rFonts w:ascii="Times New Roman" w:cs="Times New Roman" w:eastAsia="Times New Roman" w:hAnsi="Times New Roman"/>
          <w:sz w:val="14"/>
          <w:szCs w:val="14"/>
          <w:color w:val="auto"/>
        </w:rPr>
        <w:t>was appointed Chief Executive Officer of the Company and elected a trustee of the Company in December 2025. Mr. Stanley is also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 of Sixth Street and co-head of Sixth Street Growth. Mr. Stanley focuses on 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33" w:name="page134"/>
    <w:bookmarkEnd w:id="133"/>
    <w:p>
      <w:pPr>
        <w:ind w:right="720"/>
        <w:spacing w:after="0" w:line="259" w:lineRule="auto"/>
        <w:rPr>
          <w:sz w:val="20"/>
          <w:szCs w:val="20"/>
          <w:color w:val="auto"/>
        </w:rPr>
      </w:pPr>
      <w:r>
        <w:rPr>
          <w:rFonts w:ascii="Times New Roman" w:cs="Times New Roman" w:eastAsia="Times New Roman" w:hAnsi="Times New Roman"/>
          <w:sz w:val="16"/>
          <w:szCs w:val="16"/>
          <w:color w:val="auto"/>
        </w:rPr>
        <w:t>Stanley was a Director of Loan Originations where he was responsible for lead development and generation of commercial loans. He holds a B.S. in Business Administration with a concentration in Finance from the University of Maine.</w:t>
      </w:r>
    </w:p>
    <w:p>
      <w:pPr>
        <w:spacing w:after="0" w:line="57" w:lineRule="exact"/>
        <w:rPr>
          <w:sz w:val="20"/>
          <w:szCs w:val="20"/>
          <w:color w:val="auto"/>
        </w:rPr>
      </w:pPr>
    </w:p>
    <w:p>
      <w:pPr>
        <w:ind w:right="120" w:firstLine="228"/>
        <w:spacing w:after="0" w:line="277" w:lineRule="auto"/>
        <w:rPr>
          <w:sz w:val="20"/>
          <w:szCs w:val="20"/>
          <w:color w:val="auto"/>
        </w:rPr>
      </w:pPr>
      <w:r>
        <w:rPr>
          <w:rFonts w:ascii="Times New Roman" w:cs="Times New Roman" w:eastAsia="Times New Roman" w:hAnsi="Times New Roman"/>
          <w:sz w:val="14"/>
          <w:szCs w:val="14"/>
          <w:b w:val="1"/>
          <w:bCs w:val="1"/>
          <w:color w:val="auto"/>
        </w:rPr>
        <w:t xml:space="preserve">Joshua Easterly </w:t>
      </w:r>
      <w:r>
        <w:rPr>
          <w:rFonts w:ascii="Times New Roman" w:cs="Times New Roman" w:eastAsia="Times New Roman" w:hAnsi="Times New Roman"/>
          <w:sz w:val="14"/>
          <w:szCs w:val="14"/>
          <w:color w:val="auto"/>
        </w:rPr>
        <w:t>was elected a trustee and Chairman of the Company in June 2022. Mr. Easterly is a Co-Founding Partner and Co-President of Sixth Street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50"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Jennifer Gordon </w:t>
      </w:r>
      <w:r>
        <w:rPr>
          <w:rFonts w:ascii="Times New Roman" w:cs="Times New Roman" w:eastAsia="Times New Roman" w:hAnsi="Times New Roman"/>
          <w:sz w:val="16"/>
          <w:szCs w:val="16"/>
          <w:color w:val="auto"/>
        </w:rPr>
        <w:t>was elected a trustee of the Company in June 2022. Ms. Gordon is a Vice President of the Company and is a Partner, Co-Chief Operating Officer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73"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David Stiepleman </w:t>
      </w:r>
      <w:r>
        <w:rPr>
          <w:rFonts w:ascii="Times New Roman" w:cs="Times New Roman" w:eastAsia="Times New Roman" w:hAnsi="Times New Roman"/>
          <w:sz w:val="16"/>
          <w:szCs w:val="16"/>
          <w:color w:val="auto"/>
        </w:rPr>
        <w:t>was elected a trustee of the Company in June 2022. Mr. Stiepleman is a Vice President of the Company. He is a Co-Founding Partner, 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Trustees</w:t>
      </w:r>
    </w:p>
    <w:p>
      <w:pPr>
        <w:spacing w:after="0" w:line="94"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color w:val="auto"/>
        </w:rPr>
        <w:t xml:space="preserve">Richard Higginbotham </w:t>
      </w:r>
      <w:r>
        <w:rPr>
          <w:rFonts w:ascii="Times New Roman" w:cs="Times New Roman" w:eastAsia="Times New Roman" w:hAnsi="Times New Roman"/>
          <w:sz w:val="16"/>
          <w:szCs w:val="16"/>
          <w:color w:val="auto"/>
        </w:rPr>
        <w:t>was elected a trustee of the Company in June 2022. From September 2010, he was a director of Healthcare Finance Group LLC until its sale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72" w:lineRule="exact"/>
        <w:rPr>
          <w:sz w:val="20"/>
          <w:szCs w:val="20"/>
          <w:color w:val="auto"/>
        </w:rPr>
      </w:pPr>
    </w:p>
    <w:p>
      <w:pPr>
        <w:ind w:right="120" w:firstLine="228"/>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Hurley Doddy </w:t>
      </w:r>
      <w:r>
        <w:rPr>
          <w:rFonts w:ascii="Times New Roman" w:cs="Times New Roman" w:eastAsia="Times New Roman" w:hAnsi="Times New Roman"/>
          <w:sz w:val="16"/>
          <w:szCs w:val="16"/>
          <w:color w:val="auto"/>
        </w:rPr>
        <w:t>was elected a trustee of the Company in June 2022. Mr. Doddy is a Managing Director, Founding Partner and Co- Chief Executive Officer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77" w:lineRule="exact"/>
        <w:rPr>
          <w:sz w:val="20"/>
          <w:szCs w:val="20"/>
          <w:color w:val="auto"/>
        </w:rPr>
      </w:pPr>
    </w:p>
    <w:p>
      <w:pPr>
        <w:ind w:right="40" w:firstLine="228"/>
        <w:spacing w:after="0" w:line="277" w:lineRule="auto"/>
        <w:rPr>
          <w:sz w:val="20"/>
          <w:szCs w:val="20"/>
          <w:color w:val="auto"/>
        </w:rPr>
      </w:pPr>
      <w:r>
        <w:rPr>
          <w:rFonts w:ascii="Times New Roman" w:cs="Times New Roman" w:eastAsia="Times New Roman" w:hAnsi="Times New Roman"/>
          <w:sz w:val="14"/>
          <w:szCs w:val="14"/>
          <w:b w:val="1"/>
          <w:bCs w:val="1"/>
          <w:color w:val="auto"/>
        </w:rPr>
        <w:t xml:space="preserve">Judy Slotkin </w:t>
      </w:r>
      <w:r>
        <w:rPr>
          <w:rFonts w:ascii="Times New Roman" w:cs="Times New Roman" w:eastAsia="Times New Roman" w:hAnsi="Times New Roman"/>
          <w:sz w:val="14"/>
          <w:szCs w:val="14"/>
          <w:color w:val="auto"/>
        </w:rPr>
        <w:t>was elected a trustee of the Company in June 2022. Ms. Slotkin retired as a Managing Director from Bank of America in 2015, where she most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 -backed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t>management positions and broad experiences within financial institutions provide the Board with valuable knowledge and insight in the financial services sector.</w:t>
      </w:r>
    </w:p>
    <w:p>
      <w:pPr>
        <w:spacing w:after="0" w:line="90"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Ronald Tanemura </w:t>
      </w:r>
      <w:r>
        <w:rPr>
          <w:rFonts w:ascii="Times New Roman" w:cs="Times New Roman" w:eastAsia="Times New Roman" w:hAnsi="Times New Roman"/>
          <w:sz w:val="16"/>
          <w:szCs w:val="16"/>
          <w:color w:val="auto"/>
        </w:rPr>
        <w:t>was elected a trustee of the Company in June 2022. Since 2012, Mr. Tanemura has served as a director of post -reorganization Lehman Brothers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77" w:lineRule="exact"/>
        <w:rPr>
          <w:sz w:val="20"/>
          <w:szCs w:val="20"/>
          <w:color w:val="auto"/>
        </w:rPr>
      </w:pPr>
    </w:p>
    <w:p>
      <w:pPr>
        <w:ind w:right="120" w:firstLine="228"/>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John D. Hershey </w:t>
      </w:r>
      <w:r>
        <w:rPr>
          <w:rFonts w:ascii="Times New Roman" w:cs="Times New Roman" w:eastAsia="Times New Roman" w:hAnsi="Times New Roman"/>
          <w:sz w:val="16"/>
          <w:szCs w:val="16"/>
          <w:color w:val="auto"/>
        </w:rPr>
        <w:t>was elected a trustee of the Company in November 2025. Mr. Hershey previously worked from 2008 to 2023 at the Oregon State Treasury, most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recently as Director of Investments, where he helped manage investment portfolios across all asset classes. Prior to that role, Mr. Hershey was the Director of Alternative Investments, with overall responsibility for private equity, real estate, real assets, hedge fund, private credit, and opportunity portfolios. Previously, Mr. Hershey was a managing director at an early-stage venture firm and a managing director at Banc of America Securities. Mr. Hershey has a BA in Economics from the University of California, Davis and an MBA from the University of Chicago. He served from 2018-2023 as a board member of the Institutional Limited Partners Association (ILPA), and Vice Chair from 2020-2022. He currently is a member of the board of trustees of the Oregon Health &amp; Science University Foundation and is a member of the board of directors of Sixth Street Specialty Lending, Inc., Talcott Financial Group Investments, Blackstone Private Equity Strategies Fund L.P. and Blackstone Infrastructure Strategies L.P. Mr. Hershey's extensive experience across diverse financial sectors provides the Board with valuable industry-specific knowledge.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 Who Are Not Trustees</w:t>
      </w:r>
    </w:p>
    <w:p>
      <w:pPr>
        <w:spacing w:after="0" w:line="94" w:lineRule="exact"/>
        <w:rPr>
          <w:sz w:val="20"/>
          <w:szCs w:val="20"/>
          <w:color w:val="auto"/>
        </w:rPr>
      </w:pPr>
    </w:p>
    <w:p>
      <w:pPr>
        <w:ind w:right="60" w:firstLine="228"/>
        <w:spacing w:after="0"/>
        <w:rPr>
          <w:sz w:val="20"/>
          <w:szCs w:val="20"/>
          <w:color w:val="auto"/>
        </w:rPr>
      </w:pPr>
      <w:r>
        <w:rPr>
          <w:rFonts w:ascii="Times New Roman" w:cs="Times New Roman" w:eastAsia="Times New Roman" w:hAnsi="Times New Roman"/>
          <w:sz w:val="16"/>
          <w:szCs w:val="16"/>
          <w:b w:val="1"/>
          <w:bCs w:val="1"/>
          <w:color w:val="auto"/>
        </w:rPr>
        <w:t xml:space="preserve">Ian Simmonds </w:t>
      </w:r>
      <w:r>
        <w:rPr>
          <w:rFonts w:ascii="Times New Roman" w:cs="Times New Roman" w:eastAsia="Times New Roman" w:hAnsi="Times New Roman"/>
          <w:sz w:val="16"/>
          <w:szCs w:val="16"/>
          <w:color w:val="auto"/>
        </w:rPr>
        <w:t>is the Chief Financial Officer of the Company and a Partner of Sixth Street. From 2005 to 2015, Mr. Simmonds was a member of the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72" w:lineRule="exact"/>
        <w:rPr>
          <w:sz w:val="20"/>
          <w:szCs w:val="20"/>
          <w:color w:val="auto"/>
        </w:rPr>
      </w:pPr>
    </w:p>
    <w:p>
      <w:pPr>
        <w:ind w:right="360" w:firstLine="228"/>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Michael Graf </w:t>
      </w:r>
      <w:r>
        <w:rPr>
          <w:rFonts w:ascii="Times New Roman" w:cs="Times New Roman" w:eastAsia="Times New Roman" w:hAnsi="Times New Roman"/>
          <w:sz w:val="16"/>
          <w:szCs w:val="16"/>
          <w:color w:val="auto"/>
        </w:rPr>
        <w:t>is Deputy Chief Financial Officer, Vice President and Principal Accounting Officer of the Company. From 2010 to 2013, Mr. Graf was a 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68" w:lineRule="exact"/>
        <w:rPr>
          <w:sz w:val="20"/>
          <w:szCs w:val="20"/>
          <w:color w:val="auto"/>
        </w:rPr>
      </w:pPr>
    </w:p>
    <w:p>
      <w:pPr>
        <w:ind w:firstLine="228"/>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Anton Brett </w:t>
      </w:r>
      <w:r>
        <w:rPr>
          <w:rFonts w:ascii="Times New Roman" w:cs="Times New Roman" w:eastAsia="Times New Roman" w:hAnsi="Times New Roman"/>
          <w:sz w:val="16"/>
          <w:szCs w:val="16"/>
          <w:color w:val="auto"/>
        </w:rPr>
        <w:t>is the Chief Compliance Officer and Secretary of the Company and a Managing Director of Sixth Street. Prior to joining Sixth Street, from 2017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Officers Who Are Not Trustees</w:t>
      </w:r>
    </w:p>
    <w:p>
      <w:pPr>
        <w:spacing w:after="0" w:line="94" w:lineRule="exact"/>
        <w:rPr>
          <w:sz w:val="20"/>
          <w:szCs w:val="20"/>
          <w:color w:val="auto"/>
        </w:rPr>
      </w:pPr>
    </w:p>
    <w:p>
      <w:pPr>
        <w:ind w:right="140" w:firstLine="228"/>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Alan Waxman </w:t>
      </w:r>
      <w:r>
        <w:rPr>
          <w:rFonts w:ascii="Times New Roman" w:cs="Times New Roman" w:eastAsia="Times New Roman" w:hAnsi="Times New Roman"/>
          <w:sz w:val="14"/>
          <w:szCs w:val="14"/>
          <w:color w:val="auto"/>
        </w:rPr>
        <w:t>is a Vice President of the Company. Mr. Waxman is a Co-Founding Partner and Chief Executive Officer of Sixth Street. Prior to co-founding Sixth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35" w:name="page136"/>
    <w:bookmarkEnd w:id="135"/>
    <w:p>
      <w:pPr>
        <w:ind w:firstLine="22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Craig Hamrah </w:t>
      </w:r>
      <w:r>
        <w:rPr>
          <w:rFonts w:ascii="Times New Roman" w:cs="Times New Roman" w:eastAsia="Times New Roman" w:hAnsi="Times New Roman"/>
          <w:sz w:val="16"/>
          <w:szCs w:val="16"/>
          <w:color w:val="auto"/>
        </w:rPr>
        <w:t>is a Vice President of the Company, Senior Credit Underwriter of the Adviser and Partner of Sixth Street. Mr. Hamrah was previously with Silver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73"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Steven Pluss </w:t>
      </w:r>
      <w:r>
        <w:rPr>
          <w:rFonts w:ascii="Times New Roman" w:cs="Times New Roman" w:eastAsia="Times New Roman" w:hAnsi="Times New Roman"/>
          <w:sz w:val="16"/>
          <w:szCs w:val="16"/>
          <w:color w:val="auto"/>
        </w:rPr>
        <w:t>is a Vice President of the Company. He is a Co- Founding Partner of Sixth Street and has also been the Chief Risk Officer since 2013, as well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73"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Michael Fishman </w:t>
      </w:r>
      <w:r>
        <w:rPr>
          <w:rFonts w:ascii="Times New Roman" w:cs="Times New Roman" w:eastAsia="Times New Roman" w:hAnsi="Times New Roman"/>
          <w:sz w:val="16"/>
          <w:szCs w:val="16"/>
          <w:color w:val="auto"/>
        </w:rPr>
        <w:t>is a Vice President of the Company and is a Sixth Street Partner. He has been an executive in corporate lending for more than 30 years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77"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Joshua Peck </w:t>
      </w:r>
      <w:r>
        <w:rPr>
          <w:rFonts w:ascii="Times New Roman" w:cs="Times New Roman" w:eastAsia="Times New Roman" w:hAnsi="Times New Roman"/>
          <w:sz w:val="16"/>
          <w:szCs w:val="16"/>
          <w:color w:val="auto"/>
        </w:rPr>
        <w:t>is a Vice President of the Company and a Partner and General Counsel of Sixth Street. Prior to joining Sixth Street in 2015, Mr. Peck was an Associate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 -income,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Leadership Structure and Risk Oversight Responsibilities</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officers.</w:t>
      </w:r>
    </w:p>
    <w:p>
      <w:pPr>
        <w:spacing w:after="0" w:line="68" w:lineRule="exact"/>
        <w:rPr>
          <w:sz w:val="20"/>
          <w:szCs w:val="20"/>
          <w:color w:val="auto"/>
        </w:rPr>
      </w:pPr>
    </w:p>
    <w:p>
      <w:pPr>
        <w:ind w:right="240" w:firstLine="228"/>
        <w:spacing w:after="0" w:line="299" w:lineRule="auto"/>
        <w:rPr>
          <w:sz w:val="20"/>
          <w:szCs w:val="20"/>
          <w:color w:val="auto"/>
        </w:rPr>
      </w:pPr>
      <w:r>
        <w:rPr>
          <w:rFonts w:ascii="Times New Roman" w:cs="Times New Roman" w:eastAsia="Times New Roman" w:hAnsi="Times New Roman"/>
          <w:sz w:val="14"/>
          <w:szCs w:val="14"/>
          <w:color w:val="auto"/>
        </w:rPr>
        <w:t>Our Board designates a chairman to preside over the meetings of the Board and to perform other duties as may be assigned to him by the Board. We do not have a fixed policy as to whether the chairman of the Board should be an Independent Trustee and believe that we should maintain the flexibility to select the chairman and reorganize the leadership structure, from time to time, based on the criteria that is in our best interests and the best interests of our shareholders at such times.</w:t>
      </w:r>
    </w:p>
    <w:p>
      <w:pPr>
        <w:spacing w:after="0" w:line="34"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Mr. Easterly serves as the chairman of our Board. We believe that Mr. Easterly’s familiarity with our investment platform and extensive knowledge of the financial services industry qualifies him to serve as the chairman of our Board.</w:t>
      </w:r>
    </w:p>
    <w:p>
      <w:pPr>
        <w:spacing w:after="0" w:line="59" w:lineRule="exact"/>
        <w:rPr>
          <w:sz w:val="20"/>
          <w:szCs w:val="20"/>
          <w:color w:val="auto"/>
        </w:rPr>
      </w:pPr>
    </w:p>
    <w:p>
      <w:pPr>
        <w:ind w:right="120" w:firstLine="228"/>
        <w:spacing w:after="0" w:line="276" w:lineRule="auto"/>
        <w:rPr>
          <w:sz w:val="20"/>
          <w:szCs w:val="20"/>
          <w:color w:val="auto"/>
        </w:rPr>
      </w:pPr>
      <w:r>
        <w:rPr>
          <w:rFonts w:ascii="Times New Roman" w:cs="Times New Roman" w:eastAsia="Times New Roman" w:hAnsi="Times New Roman"/>
          <w:sz w:val="14"/>
          <w:szCs w:val="14"/>
          <w:color w:val="auto"/>
        </w:rPr>
        <w:t>Our Board does not currently have a designated lead Independent Trustee. We are aware of the potential conflicts that may arise when a non-Independent Trustee is chairman of the Board, but believe these potential conflicts are offset by our strong corporate governance practices. Our corporate governance practices will include regular meetings of the Independent Trustees in executive session without the presence of interested trustees and management, as well as the establishment of a Nominating and Corporate Governance Committee and an Audit Committee, each consisting solely of Independent Trustees for the purposes of the NYSE corporate governance rules and, in the case of the Audit Committee, Rule 10A-3 under the Securities Exchange Act of 1934, as amended (the “Exchange Act”). During executive sessions, the chairman of the Audit Committee or his/her designee will act as presiding trustee. In addition, our corporate governance practices include the appointment of our Chief Compliance Officer, with whom the Independent Trustees meet in executive session without the presence of interested trustees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235" w:lineRule="exact"/>
        <w:rPr>
          <w:sz w:val="20"/>
          <w:szCs w:val="20"/>
          <w:color w:val="auto"/>
        </w:rPr>
      </w:pPr>
    </w:p>
    <w:p>
      <w:pPr>
        <w:jc w:val="both"/>
        <w:ind w:right="540" w:firstLine="228"/>
        <w:spacing w:after="0" w:line="331" w:lineRule="auto"/>
        <w:rPr>
          <w:sz w:val="20"/>
          <w:szCs w:val="20"/>
          <w:color w:val="auto"/>
        </w:rPr>
      </w:pPr>
      <w:r>
        <w:rPr>
          <w:rFonts w:ascii="Times New Roman" w:cs="Times New Roman" w:eastAsia="Times New Roman" w:hAnsi="Times New Roman"/>
          <w:sz w:val="14"/>
          <w:szCs w:val="14"/>
          <w:color w:val="auto"/>
        </w:rPr>
        <w:t>Our Board of Trustees performs its risk oversight function primarily through (i) its standing committees, which report to the entire Board of Trustees and are comprised solely of independent Trustees, and (ii) active monitoring by our chief compliance officer in accordance with our compliance policies and procedures.</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136" w:name="page137"/>
    <w:bookmarkEnd w:id="136"/>
    <w:p>
      <w:pPr>
        <w:ind w:right="380" w:firstLine="228"/>
        <w:spacing w:after="0" w:line="289" w:lineRule="auto"/>
        <w:rPr>
          <w:sz w:val="20"/>
          <w:szCs w:val="20"/>
          <w:color w:val="auto"/>
        </w:rPr>
      </w:pPr>
      <w:r>
        <w:rPr>
          <w:rFonts w:ascii="Times New Roman" w:cs="Times New Roman" w:eastAsia="Times New Roman" w:hAnsi="Times New Roman"/>
          <w:sz w:val="14"/>
          <w:szCs w:val="14"/>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4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will be reviewed by the Board, will address:</w:t>
      </w:r>
    </w:p>
    <w:p>
      <w:pPr>
        <w:spacing w:after="0" w:line="68" w:lineRule="exact"/>
        <w:rPr>
          <w:sz w:val="20"/>
          <w:szCs w:val="20"/>
          <w:color w:val="auto"/>
        </w:rPr>
      </w:pPr>
    </w:p>
    <w:p>
      <w:pPr>
        <w:ind w:left="480" w:right="2960"/>
        <w:spacing w:after="0" w:line="360" w:lineRule="auto"/>
        <w:rPr>
          <w:sz w:val="20"/>
          <w:szCs w:val="20"/>
          <w:color w:val="auto"/>
        </w:rPr>
      </w:pPr>
      <w:r>
        <w:rPr>
          <w:rFonts w:ascii="Times New Roman" w:cs="Times New Roman" w:eastAsia="Times New Roman" w:hAnsi="Times New Roman"/>
          <w:sz w:val="16"/>
          <w:szCs w:val="16"/>
          <w:color w:val="auto"/>
        </w:rPr>
        <w:t>•the adequacy of our compliance policies and procedures and certain of our service providers since the last report; •any material changes to these policies and procedures or recommended changes; and</w:t>
      </w:r>
    </w:p>
    <w:p>
      <w:pPr>
        <w:ind w:left="480"/>
        <w:spacing w:after="0"/>
        <w:rPr>
          <w:sz w:val="20"/>
          <w:szCs w:val="20"/>
          <w:color w:val="auto"/>
        </w:rPr>
      </w:pPr>
      <w:r>
        <w:rPr>
          <w:rFonts w:ascii="Times New Roman" w:cs="Times New Roman" w:eastAsia="Times New Roman" w:hAnsi="Times New Roman"/>
          <w:sz w:val="16"/>
          <w:szCs w:val="16"/>
          <w:color w:val="auto"/>
        </w:rPr>
        <w:t>•any compliance matter that has occurred about which the Board would reasonably need to know to oversee our compliance activities and risks.</w:t>
      </w:r>
    </w:p>
    <w:p>
      <w:pPr>
        <w:spacing w:after="0" w:line="188"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Further, we believe that the Board's structure and practices will enhance its risk oversight because our Independent Trustees separately meet in executive sessions with the Chief Compliance Officer (periodically, typically every quarter, but in no event less than once each year) and independent registered public accounting firm without any conflict that could be perceived to discourage critical review.</w:t>
      </w:r>
    </w:p>
    <w:p>
      <w:pPr>
        <w:spacing w:after="0" w:line="6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and we are limited in our ability to enter into transactions with our affiliates, including investing in any portfolio company in which one of our affiliates currently has an investment. In addition, we generally have to invest at least 70% of our total assets in “qualifying assets” and, subject to certain exceptions, we generally are not permitted to invest in any portfolio company in which our affiliates currently has an investment. In addition, we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77"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Oversight of our investment activities extends to oversight of the risk management processes employed by the Adviser as part of its day -to-day management of our investment activities. The Board of Trustees reviews risk management processes at both regular and special board meetings throughout the year, consulting with appropriate representatives of the Adviser as necessary and periodically requesting the production of risk management reports or presentations. The goal of the Board of Trustee’s risk oversight function is to ensure that the risks associated with our investment activities are accurately identified, thoroughly investigated and responsibly addressed. Investors should note, however, that the Board of Trustees’ oversight function cannot eliminate all risks or ensure that particular events do not adversely affect the value of investments.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believe that the Board’s role in risk oversight must be evaluated on a case-by-case basis and that its existing role in risk oversight is appropriate.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with Trustees</w:t>
      </w:r>
    </w:p>
    <w:p>
      <w:pPr>
        <w:spacing w:after="0" w:line="96"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Our Board has established procedures whereby our shareholders and other interested parties may communicate with any member of our Board, the chairman of any of our Board committees or with our non-management trustees as a group by mail addressed to the applicable trustees or trustee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trustee, or trustees, for review.</w:t>
      </w:r>
    </w:p>
    <w:p>
      <w:pPr>
        <w:spacing w:after="0" w:line="41"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 addition, information on how to report issues related to financial statement disclosures, accounting, internal accounting controls or auditing matters to our Board or the Independent Trustees via email is available upon request.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Committees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currently have two standing committees: the Audit Committee and the Nominating and Corporate Governance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96"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37" w:name="page138"/>
    <w:bookmarkEnd w:id="137"/>
    <w:p>
      <w:pPr>
        <w:ind w:left="18"/>
        <w:spacing w:after="0"/>
        <w:rPr>
          <w:sz w:val="20"/>
          <w:szCs w:val="20"/>
          <w:color w:val="auto"/>
        </w:rPr>
      </w:pPr>
      <w:r>
        <w:rPr>
          <w:rFonts w:ascii="Times New Roman" w:cs="Times New Roman" w:eastAsia="Times New Roman" w:hAnsi="Times New Roman"/>
          <w:sz w:val="16"/>
          <w:szCs w:val="16"/>
          <w:color w:val="auto"/>
        </w:rPr>
        <w:t>Board in fulfilling its responsibilities for our accounting and reporting processes and the audits of its financial statements by overseeing and monitoring:</w:t>
      </w:r>
    </w:p>
    <w:p>
      <w:pPr>
        <w:spacing w:after="0" w:line="92" w:lineRule="exact"/>
        <w:rPr>
          <w:sz w:val="20"/>
          <w:szCs w:val="20"/>
          <w:color w:val="auto"/>
        </w:rPr>
      </w:pPr>
    </w:p>
    <w:p>
      <w:pPr>
        <w:ind w:left="498"/>
        <w:spacing w:after="0"/>
        <w:rPr>
          <w:sz w:val="20"/>
          <w:szCs w:val="20"/>
          <w:color w:val="auto"/>
        </w:rPr>
      </w:pPr>
      <w:r>
        <w:rPr>
          <w:rFonts w:ascii="Times New Roman" w:cs="Times New Roman" w:eastAsia="Times New Roman" w:hAnsi="Times New Roman"/>
          <w:sz w:val="16"/>
          <w:szCs w:val="16"/>
          <w:color w:val="auto"/>
        </w:rPr>
        <w:t>•the quality and integrity of our financial statements;</w:t>
      </w:r>
    </w:p>
    <w:p>
      <w:pPr>
        <w:spacing w:after="0" w:line="92" w:lineRule="exact"/>
        <w:rPr>
          <w:sz w:val="20"/>
          <w:szCs w:val="20"/>
          <w:color w:val="auto"/>
        </w:rPr>
      </w:pPr>
    </w:p>
    <w:p>
      <w:pPr>
        <w:ind w:left="498"/>
        <w:spacing w:after="0"/>
        <w:rPr>
          <w:sz w:val="20"/>
          <w:szCs w:val="20"/>
          <w:color w:val="auto"/>
        </w:rPr>
      </w:pPr>
      <w:r>
        <w:rPr>
          <w:rFonts w:ascii="Times New Roman" w:cs="Times New Roman" w:eastAsia="Times New Roman" w:hAnsi="Times New Roman"/>
          <w:sz w:val="16"/>
          <w:szCs w:val="16"/>
          <w:color w:val="auto"/>
        </w:rPr>
        <w:t>•the adequacy of our system of internal controls;</w:t>
      </w:r>
    </w:p>
    <w:p>
      <w:pPr>
        <w:spacing w:after="0" w:line="92" w:lineRule="exact"/>
        <w:rPr>
          <w:sz w:val="20"/>
          <w:szCs w:val="20"/>
          <w:color w:val="auto"/>
        </w:rPr>
      </w:pPr>
    </w:p>
    <w:p>
      <w:pPr>
        <w:ind w:left="498" w:right="360"/>
        <w:spacing w:after="0" w:line="259" w:lineRule="auto"/>
        <w:rPr>
          <w:sz w:val="20"/>
          <w:szCs w:val="20"/>
          <w:color w:val="auto"/>
        </w:rPr>
      </w:pPr>
      <w:r>
        <w:rPr>
          <w:rFonts w:ascii="Times New Roman" w:cs="Times New Roman" w:eastAsia="Times New Roman" w:hAnsi="Times New Roman"/>
          <w:sz w:val="16"/>
          <w:szCs w:val="16"/>
          <w:color w:val="auto"/>
        </w:rPr>
        <w:t>•the financial reporting process, including the valuation of investments, the review of the independence and performance of, as well as communicate openly with, our independent registered public accounting firm; and</w:t>
      </w:r>
    </w:p>
    <w:p>
      <w:pPr>
        <w:spacing w:after="0" w:line="59" w:lineRule="exact"/>
        <w:rPr>
          <w:sz w:val="20"/>
          <w:szCs w:val="20"/>
          <w:color w:val="auto"/>
        </w:rPr>
      </w:pPr>
    </w:p>
    <w:p>
      <w:pPr>
        <w:ind w:left="498"/>
        <w:spacing w:after="0"/>
        <w:rPr>
          <w:sz w:val="20"/>
          <w:szCs w:val="20"/>
          <w:color w:val="auto"/>
        </w:rPr>
      </w:pPr>
      <w:r>
        <w:rPr>
          <w:rFonts w:ascii="Times New Roman" w:cs="Times New Roman" w:eastAsia="Times New Roman" w:hAnsi="Times New Roman"/>
          <w:sz w:val="16"/>
          <w:szCs w:val="16"/>
          <w:color w:val="auto"/>
        </w:rPr>
        <w:t>•our compliance with legal and regulatory requirements.</w:t>
      </w:r>
    </w:p>
    <w:p>
      <w:pPr>
        <w:spacing w:after="0" w:line="92" w:lineRule="exact"/>
        <w:rPr>
          <w:sz w:val="20"/>
          <w:szCs w:val="20"/>
          <w:color w:val="auto"/>
        </w:rPr>
      </w:pPr>
    </w:p>
    <w:p>
      <w:pPr>
        <w:ind w:left="258"/>
        <w:spacing w:after="0"/>
        <w:rPr>
          <w:sz w:val="20"/>
          <w:szCs w:val="20"/>
          <w:color w:val="auto"/>
        </w:rPr>
      </w:pPr>
      <w:r>
        <w:rPr>
          <w:rFonts w:ascii="Times New Roman" w:cs="Times New Roman" w:eastAsia="Times New Roman" w:hAnsi="Times New Roman"/>
          <w:sz w:val="16"/>
          <w:szCs w:val="16"/>
          <w:color w:val="auto"/>
        </w:rPr>
        <w:t>Our Audit Committee has the sole authority to approve the engagement, and review the performance of, our independent registered public accounting firm.</w:t>
      </w:r>
    </w:p>
    <w:p>
      <w:pPr>
        <w:spacing w:after="0" w:line="92" w:lineRule="exact"/>
        <w:rPr>
          <w:sz w:val="20"/>
          <w:szCs w:val="20"/>
          <w:color w:val="auto"/>
        </w:rPr>
      </w:pPr>
    </w:p>
    <w:p>
      <w:pPr>
        <w:ind w:left="18" w:right="20" w:firstLine="228"/>
        <w:spacing w:after="0" w:line="247" w:lineRule="auto"/>
        <w:rPr>
          <w:sz w:val="20"/>
          <w:szCs w:val="20"/>
          <w:color w:val="auto"/>
        </w:rPr>
      </w:pPr>
      <w:r>
        <w:rPr>
          <w:rFonts w:ascii="Times New Roman" w:cs="Times New Roman" w:eastAsia="Times New Roman" w:hAnsi="Times New Roman"/>
          <w:sz w:val="16"/>
          <w:szCs w:val="16"/>
          <w:color w:val="auto"/>
        </w:rPr>
        <w:t>Our Board has designated Ms. Slotkin as an “audit committee financial expert” pursuant to the provisions of Item 407(d)(5) of Regulation S-K, and, pursuant to the Audit Committee Charter, our Audit Committee consists solely of members who are independent trustees for the purposes of the applicable NYSE corporate governance rules and Rule 10A-3 under the Exchange Act.</w:t>
      </w:r>
    </w:p>
    <w:p>
      <w:pPr>
        <w:spacing w:after="0" w:line="68" w:lineRule="exact"/>
        <w:rPr>
          <w:sz w:val="20"/>
          <w:szCs w:val="20"/>
          <w:color w:val="auto"/>
        </w:rPr>
      </w:pPr>
    </w:p>
    <w:p>
      <w:pPr>
        <w:ind w:left="18" w:right="160" w:firstLine="228"/>
        <w:spacing w:after="0" w:line="247" w:lineRule="auto"/>
        <w:rPr>
          <w:sz w:val="20"/>
          <w:szCs w:val="20"/>
          <w:color w:val="auto"/>
        </w:rPr>
      </w:pPr>
      <w:r>
        <w:rPr>
          <w:rFonts w:ascii="Times New Roman" w:cs="Times New Roman" w:eastAsia="Times New Roman" w:hAnsi="Times New Roman"/>
          <w:sz w:val="16"/>
          <w:szCs w:val="16"/>
          <w:color w:val="auto"/>
        </w:rPr>
        <w:t>Messrs, Higginbotham, Doddy, Tanemura and Hershey, and Ms. Slotkin are members of the Audit Committee and Ms. Slotkin serves as Chairman. Our Board has determined that the service of Mr. Hershey on the audit committees of more than three public companies does not impair his ability to effectively serve on the Audit Committee, given Mr. Hershey’s extensive experience as an audit professional, his proficiency in accounting, and his knowledge of the Company.</w:t>
      </w:r>
    </w:p>
    <w:p>
      <w:pPr>
        <w:spacing w:after="0" w:line="16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96" w:lineRule="exact"/>
        <w:rPr>
          <w:sz w:val="20"/>
          <w:szCs w:val="20"/>
          <w:color w:val="auto"/>
        </w:rPr>
      </w:pPr>
    </w:p>
    <w:p>
      <w:pPr>
        <w:ind w:left="18" w:right="220" w:firstLine="228"/>
        <w:spacing w:after="0" w:line="247" w:lineRule="auto"/>
        <w:rPr>
          <w:sz w:val="20"/>
          <w:szCs w:val="20"/>
          <w:color w:val="auto"/>
        </w:rPr>
      </w:pPr>
      <w:r>
        <w:rPr>
          <w:rFonts w:ascii="Times New Roman" w:cs="Times New Roman" w:eastAsia="Times New Roman" w:hAnsi="Times New Roman"/>
          <w:sz w:val="16"/>
          <w:szCs w:val="16"/>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68" w:lineRule="exact"/>
        <w:rPr>
          <w:sz w:val="20"/>
          <w:szCs w:val="20"/>
          <w:color w:val="auto"/>
        </w:rPr>
      </w:pPr>
    </w:p>
    <w:p>
      <w:pPr>
        <w:ind w:left="498" w:right="4440"/>
        <w:spacing w:after="0" w:line="360" w:lineRule="auto"/>
        <w:rPr>
          <w:sz w:val="20"/>
          <w:szCs w:val="20"/>
          <w:color w:val="auto"/>
        </w:rPr>
      </w:pPr>
      <w:r>
        <w:rPr>
          <w:rFonts w:ascii="Times New Roman" w:cs="Times New Roman" w:eastAsia="Times New Roman" w:hAnsi="Times New Roman"/>
          <w:sz w:val="16"/>
          <w:szCs w:val="16"/>
          <w:color w:val="auto"/>
        </w:rPr>
        <w:t>•selecting, researching and nominating trustees for election by our shareholders; •selecting nominees to fill vacancies on the Board or a committee of the Board; •developing and recommending to the Board a set of corporate governance principles; and •overseeing the evaluation of the Board and our management.</w:t>
      </w:r>
    </w:p>
    <w:p>
      <w:pPr>
        <w:ind w:left="18" w:right="420" w:firstLine="228"/>
        <w:spacing w:after="0" w:line="259" w:lineRule="auto"/>
        <w:rPr>
          <w:sz w:val="20"/>
          <w:szCs w:val="20"/>
          <w:color w:val="auto"/>
        </w:rPr>
      </w:pPr>
      <w:r>
        <w:rPr>
          <w:rFonts w:ascii="Times New Roman" w:cs="Times New Roman" w:eastAsia="Times New Roman" w:hAnsi="Times New Roman"/>
          <w:sz w:val="16"/>
          <w:szCs w:val="16"/>
          <w:color w:val="auto"/>
        </w:rPr>
        <w:t>The Nominating and Corporate Governance Committee considers nominees to the Board recommended by a shareholder, if that shareholder complies with the advance notice provisions of our bylaws.</w:t>
      </w:r>
    </w:p>
    <w:p>
      <w:pPr>
        <w:spacing w:after="0" w:line="59" w:lineRule="exact"/>
        <w:rPr>
          <w:sz w:val="20"/>
          <w:szCs w:val="20"/>
          <w:color w:val="auto"/>
        </w:rPr>
      </w:pPr>
    </w:p>
    <w:p>
      <w:pPr>
        <w:jc w:val="both"/>
        <w:ind w:left="18" w:right="80" w:firstLine="228"/>
        <w:spacing w:after="0" w:line="247" w:lineRule="auto"/>
        <w:rPr>
          <w:sz w:val="20"/>
          <w:szCs w:val="20"/>
          <w:color w:val="auto"/>
        </w:rPr>
      </w:pPr>
      <w:r>
        <w:rPr>
          <w:rFonts w:ascii="Times New Roman" w:cs="Times New Roman" w:eastAsia="Times New Roman" w:hAnsi="Times New Roman"/>
          <w:sz w:val="16"/>
          <w:szCs w:val="16"/>
          <w:color w:val="auto"/>
        </w:rPr>
        <w:t>The members of the Nominating and Corporate Governance Committee are Messrs. Higginbotham, Doddy, Tanemura and Hershey,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246"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6"/>
          <w:szCs w:val="16"/>
          <w:b w:val="1"/>
          <w:bCs w:val="1"/>
          <w:color w:val="auto"/>
        </w:rPr>
        <w:t>Dollar Range of Equity Securities Beneficially Owned by Trustees</w:t>
      </w:r>
    </w:p>
    <w:p>
      <w:pPr>
        <w:spacing w:after="0" w:line="94" w:lineRule="exact"/>
        <w:rPr>
          <w:sz w:val="20"/>
          <w:szCs w:val="20"/>
          <w:color w:val="auto"/>
        </w:rPr>
      </w:pPr>
    </w:p>
    <w:p>
      <w:pPr>
        <w:ind w:left="258"/>
        <w:spacing w:after="0"/>
        <w:rPr>
          <w:sz w:val="20"/>
          <w:szCs w:val="20"/>
          <w:color w:val="auto"/>
        </w:rPr>
      </w:pPr>
      <w:r>
        <w:rPr>
          <w:rFonts w:ascii="Times New Roman" w:cs="Times New Roman" w:eastAsia="Times New Roman" w:hAnsi="Times New Roman"/>
          <w:sz w:val="16"/>
          <w:szCs w:val="16"/>
          <w:color w:val="auto"/>
        </w:rPr>
        <w:t>The following table sets forth the dollar range of our equity securities as of February 13, 2026.</w:t>
      </w:r>
    </w:p>
    <w:p>
      <w:pPr>
        <w:spacing w:after="0" w:line="197" w:lineRule="exact"/>
        <w:rPr>
          <w:sz w:val="20"/>
          <w:szCs w:val="20"/>
          <w:color w:val="auto"/>
        </w:rPr>
      </w:pPr>
    </w:p>
    <w:tbl>
      <w:tblPr>
        <w:tblLayout w:type="fixed"/>
        <w:tblInd w:w="18" w:type="dxa"/>
        <w:tblCellMar>
          <w:top w:w="0" w:type="dxa"/>
          <w:left w:w="0" w:type="dxa"/>
          <w:bottom w:w="0" w:type="dxa"/>
          <w:right w:w="0" w:type="dxa"/>
        </w:tblCellMar>
      </w:tblPr>
      <w:tr>
        <w:trPr>
          <w:trHeight w:val="200"/>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Trustees</w:t>
            </w:r>
          </w:p>
        </w:tc>
        <w:tc>
          <w:tcPr>
            <w:tcW w:w="58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3"/>
                <w:szCs w:val="13"/>
                <w:b w:val="1"/>
                <w:bCs w:val="1"/>
                <w:color w:val="auto"/>
                <w:w w:val="98"/>
              </w:rPr>
              <w:t>Dollar Range of Equity Securities in the Fund</w:t>
            </w:r>
            <w:r>
              <w:rPr>
                <w:rFonts w:ascii="Times New Roman" w:cs="Times New Roman" w:eastAsia="Times New Roman" w:hAnsi="Times New Roman"/>
                <w:sz w:val="16"/>
                <w:szCs w:val="16"/>
                <w:b w:val="1"/>
                <w:bCs w:val="1"/>
                <w:color w:val="auto"/>
                <w:w w:val="98"/>
                <w:vertAlign w:val="superscript"/>
              </w:rPr>
              <w:t>(1)(2)</w:t>
            </w: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0"/>
                <w:szCs w:val="20"/>
                <w:b w:val="1"/>
                <w:bCs w:val="1"/>
                <w:color w:val="auto"/>
                <w:vertAlign w:val="superscript"/>
              </w:rPr>
              <w:t>(1)</w:t>
            </w:r>
          </w:p>
        </w:tc>
        <w:tc>
          <w:tcPr>
            <w:tcW w:w="5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Robert (“Bo”) Stanley</w:t>
            </w:r>
          </w:p>
        </w:tc>
        <w:tc>
          <w:tcPr>
            <w:tcW w:w="5880" w:type="dxa"/>
            <w:vAlign w:val="bottom"/>
            <w:vMerge w:val="restart"/>
          </w:tcPr>
          <w:p>
            <w:pPr>
              <w:ind w:left="3080"/>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5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Joshua Easterly</w:t>
            </w:r>
          </w:p>
        </w:tc>
        <w:tc>
          <w:tcPr>
            <w:tcW w:w="5880" w:type="dxa"/>
            <w:vAlign w:val="bottom"/>
            <w:shd w:val="clear" w:color="auto" w:fill="CFF0FC"/>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Jennifer Gordon</w:t>
            </w:r>
          </w:p>
        </w:tc>
        <w:tc>
          <w:tcPr>
            <w:tcW w:w="5880" w:type="dxa"/>
            <w:vAlign w:val="bottom"/>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David Stiepleman</w:t>
            </w:r>
          </w:p>
        </w:tc>
        <w:tc>
          <w:tcPr>
            <w:tcW w:w="5880" w:type="dxa"/>
            <w:vAlign w:val="bottom"/>
            <w:shd w:val="clear" w:color="auto" w:fill="CFF0FC"/>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Independent Trustees</w:t>
            </w:r>
            <w:r>
              <w:rPr>
                <w:rFonts w:ascii="Times New Roman" w:cs="Times New Roman" w:eastAsia="Times New Roman" w:hAnsi="Times New Roman"/>
                <w:sz w:val="20"/>
                <w:szCs w:val="20"/>
                <w:b w:val="1"/>
                <w:bCs w:val="1"/>
                <w:color w:val="auto"/>
                <w:vertAlign w:val="superscript"/>
              </w:rPr>
              <w:t>(1)</w:t>
            </w:r>
          </w:p>
        </w:tc>
        <w:tc>
          <w:tcPr>
            <w:tcW w:w="5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Richard Higginbotham</w:t>
            </w:r>
          </w:p>
        </w:tc>
        <w:tc>
          <w:tcPr>
            <w:tcW w:w="5880" w:type="dxa"/>
            <w:vAlign w:val="bottom"/>
            <w:shd w:val="clear" w:color="auto" w:fill="CFF0FC"/>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Hurley Doddy</w:t>
            </w:r>
          </w:p>
        </w:tc>
        <w:tc>
          <w:tcPr>
            <w:tcW w:w="5880" w:type="dxa"/>
            <w:vAlign w:val="bottom"/>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Judy Slotkin</w:t>
            </w:r>
          </w:p>
        </w:tc>
        <w:tc>
          <w:tcPr>
            <w:tcW w:w="5880" w:type="dxa"/>
            <w:vAlign w:val="bottom"/>
            <w:shd w:val="clear" w:color="auto" w:fill="CFF0FC"/>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Ronald Tanemura</w:t>
            </w:r>
          </w:p>
        </w:tc>
        <w:tc>
          <w:tcPr>
            <w:tcW w:w="5880" w:type="dxa"/>
            <w:vAlign w:val="bottom"/>
          </w:tcPr>
          <w:p>
            <w:pPr>
              <w:ind w:left="3080"/>
              <w:spacing w:after="0" w:line="180" w:lineRule="exact"/>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John D. Hershey</w:t>
            </w:r>
          </w:p>
        </w:tc>
        <w:tc>
          <w:tcPr>
            <w:tcW w:w="5880" w:type="dxa"/>
            <w:vAlign w:val="bottom"/>
            <w:shd w:val="clear" w:color="auto" w:fill="CFF0FC"/>
          </w:tcPr>
          <w:p>
            <w:pPr>
              <w:ind w:left="3080"/>
              <w:spacing w:after="0" w:line="180" w:lineRule="exact"/>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18" w:right="4060" w:hanging="5218"/>
        <w:spacing w:after="0" w:line="510" w:lineRule="auto"/>
        <w:tabs>
          <w:tab w:leader="none" w:pos="2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has been determined in accordance with Rule 16a-1(a)(2) of the Exchange Act.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276225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8"/>
          </w:cols>
          <w:pgMar w:left="642" w:top="1409" w:right="680" w:bottom="1440" w:gutter="0" w:footer="0" w:header="0"/>
        </w:sectPr>
      </w:pPr>
    </w:p>
    <w:bookmarkStart w:id="138" w:name="page139"/>
    <w:bookmarkEnd w:id="138"/>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dollar range of equity securities beneficially owned are: none, $1 – $10,000, $10,001 – $50,000, $50,001 – $100,000 or over $100,000.</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94" w:lineRule="exact"/>
        <w:rPr>
          <w:sz w:val="20"/>
          <w:szCs w:val="20"/>
          <w:color w:val="auto"/>
        </w:rPr>
      </w:pPr>
    </w:p>
    <w:p>
      <w:pPr>
        <w:ind w:left="20" w:right="100" w:firstLine="228"/>
        <w:spacing w:after="0" w:line="239" w:lineRule="auto"/>
        <w:rPr>
          <w:sz w:val="20"/>
          <w:szCs w:val="20"/>
          <w:color w:val="auto"/>
        </w:rPr>
      </w:pPr>
      <w:r>
        <w:rPr>
          <w:rFonts w:ascii="Times New Roman" w:cs="Times New Roman" w:eastAsia="Times New Roman" w:hAnsi="Times New Roman"/>
          <w:sz w:val="16"/>
          <w:szCs w:val="16"/>
          <w:color w:val="auto"/>
        </w:rPr>
        <w:t>As required by the Advisers Act and the 1940 Act, we and the Adviser have adopted codes of ethics which apply to, among others, our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 Because we are a private company, we have not adopted a "code of ethics" as defined by Item 406 of Regulation S-K; however, we plan to adopt such a code in connection with an Exchange Listing that may occur in the future.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Insider Trading Policies and Procedures</w:t>
      </w:r>
    </w:p>
    <w:p>
      <w:pPr>
        <w:spacing w:after="0" w:line="190" w:lineRule="exact"/>
        <w:rPr>
          <w:sz w:val="20"/>
          <w:szCs w:val="20"/>
          <w:color w:val="auto"/>
        </w:rPr>
      </w:pPr>
    </w:p>
    <w:p>
      <w:pPr>
        <w:jc w:val="both"/>
        <w:ind w:left="20" w:firstLine="228"/>
        <w:spacing w:after="0" w:line="243" w:lineRule="auto"/>
        <w:rPr>
          <w:sz w:val="20"/>
          <w:szCs w:val="20"/>
          <w:color w:val="auto"/>
        </w:rPr>
      </w:pPr>
      <w:r>
        <w:rPr>
          <w:rFonts w:ascii="Times New Roman" w:cs="Times New Roman" w:eastAsia="Times New Roman" w:hAnsi="Times New Roman"/>
          <w:sz w:val="16"/>
          <w:szCs w:val="16"/>
          <w:color w:val="auto"/>
        </w:rPr>
        <w:t>The Company has adopted an Insider Trading Policy, which, among other things, governs the purchase and sale, and/or other disposition of the Company’s securities by all trustees, officers and employees (including temporary employees) of the Company, the Adviser and their respective subsidiaries, and which the Company believes is reasonably designed to promote compliance with insider trading laws, rules and regulations. Furthermore, with regard to the Company’s trading in its own securities, it is the Company’s policy to comply with applicable laws, rules and regulations.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Compensation of Executive Officers</w:t>
      </w:r>
    </w:p>
    <w:p>
      <w:pPr>
        <w:spacing w:after="0" w:line="94" w:lineRule="exact"/>
        <w:rPr>
          <w:sz w:val="20"/>
          <w:szCs w:val="20"/>
          <w:color w:val="auto"/>
        </w:rPr>
      </w:pPr>
    </w:p>
    <w:p>
      <w:pPr>
        <w:ind w:left="20" w:right="140" w:firstLine="228"/>
        <w:spacing w:after="0" w:line="243" w:lineRule="auto"/>
        <w:rPr>
          <w:sz w:val="20"/>
          <w:szCs w:val="20"/>
          <w:color w:val="auto"/>
        </w:rPr>
      </w:pPr>
      <w:r>
        <w:rPr>
          <w:rFonts w:ascii="Times New Roman" w:cs="Times New Roman" w:eastAsia="Times New Roman" w:hAnsi="Times New Roman"/>
          <w:sz w:val="16"/>
          <w:szCs w:val="16"/>
          <w:color w:val="auto"/>
        </w:rPr>
        <w:t>We do not currently have any employees and do not expect to have any employees. Services necessary for our business are provided by individuals who are employees of our Adviser, which is also our Administrator, or its affiliates, pursuant to the terms of the Investment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67" w:lineRule="exact"/>
        <w:rPr>
          <w:sz w:val="20"/>
          <w:szCs w:val="20"/>
          <w:color w:val="auto"/>
        </w:rPr>
      </w:pPr>
    </w:p>
    <w:p>
      <w:pPr>
        <w:ind w:left="20" w:firstLine="228"/>
        <w:spacing w:after="0" w:line="239" w:lineRule="auto"/>
        <w:rPr>
          <w:sz w:val="20"/>
          <w:szCs w:val="20"/>
          <w:color w:val="auto"/>
        </w:rPr>
      </w:pPr>
      <w:r>
        <w:rPr>
          <w:rFonts w:ascii="Times New Roman" w:cs="Times New Roman" w:eastAsia="Times New Roman" w:hAnsi="Times New Roman"/>
          <w:sz w:val="16"/>
          <w:szCs w:val="16"/>
          <w:color w:val="auto"/>
        </w:rPr>
        <w:t>For the avoidance of doubt, the Company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See “</w:t>
      </w:r>
      <w:r>
        <w:rPr>
          <w:rFonts w:ascii="Times New Roman" w:cs="Times New Roman" w:eastAsia="Times New Roman" w:hAnsi="Times New Roman"/>
          <w:sz w:val="16"/>
          <w:szCs w:val="16"/>
          <w:i w:val="1"/>
          <w:iCs w:val="1"/>
          <w:color w:val="auto"/>
        </w:rPr>
        <w:t>ITEM 1. BUSINESS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Agreements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7. CERTAIN RELATIONSHIPS AND RELATED TRANSACTIONS, AND TRUSTEE INDEPENDENCE</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Compensation of Trustees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pay each Independent Trustee the following amounts for serving as a trustee: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 $125,000 annual retainer;</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•$2,500 for each meeting of the Board attended;</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•$1,500 for each monthly telephonic update meeting attended;</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•$1,000 for each committee meeting of ours attended; and</w:t>
      </w:r>
    </w:p>
    <w:p>
      <w:pPr>
        <w:spacing w:after="0" w:line="92" w:lineRule="exact"/>
        <w:rPr>
          <w:sz w:val="20"/>
          <w:szCs w:val="20"/>
          <w:color w:val="auto"/>
        </w:rPr>
      </w:pPr>
    </w:p>
    <w:p>
      <w:pPr>
        <w:ind w:left="500" w:right="620"/>
        <w:spacing w:after="0" w:line="259" w:lineRule="auto"/>
        <w:rPr>
          <w:sz w:val="20"/>
          <w:szCs w:val="20"/>
          <w:color w:val="auto"/>
        </w:rPr>
      </w:pPr>
      <w:r>
        <w:rPr>
          <w:rFonts w:ascii="Times New Roman" w:cs="Times New Roman" w:eastAsia="Times New Roman" w:hAnsi="Times New Roman"/>
          <w:sz w:val="16"/>
          <w:szCs w:val="16"/>
          <w:color w:val="auto"/>
        </w:rPr>
        <w:t>•an additional fee of $15,000 per year for the chairman of the Audit Committee and $10,000 per year for the chairman of the Nominating and Corporate Governance Committee.</w:t>
      </w:r>
    </w:p>
    <w:p>
      <w:pPr>
        <w:spacing w:after="0" w:line="59" w:lineRule="exact"/>
        <w:rPr>
          <w:sz w:val="20"/>
          <w:szCs w:val="20"/>
          <w:color w:val="auto"/>
        </w:rPr>
      </w:pPr>
    </w:p>
    <w:p>
      <w:pPr>
        <w:ind w:left="20" w:right="80" w:firstLine="228"/>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2025, we also reimbursed trustees for certain out-of-pocket expenses each Independent Trustee incurred in connection with the fulfillment of his or her duties as an Independent Trustee.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sets forth information concerning total compensation earned by or paid to each of our Independent Trustees during the fiscal year ended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419735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39" w:name="page140"/>
    <w:bookmarkEnd w:id="139"/>
    <w:tbl>
      <w:tblPr>
        <w:tblLayout w:type="fixed"/>
        <w:tblInd w:w="9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Fees Earned or Paid in Cash</w:t>
            </w:r>
          </w:p>
        </w:tc>
        <w:tc>
          <w:tcPr>
            <w:tcW w:w="620" w:type="dxa"/>
            <w:vAlign w:val="bottom"/>
          </w:tcPr>
          <w:p>
            <w:pPr>
              <w:spacing w:after="0"/>
              <w:rPr>
                <w:sz w:val="16"/>
                <w:szCs w:val="16"/>
                <w:color w:val="auto"/>
              </w:rPr>
            </w:pPr>
          </w:p>
        </w:tc>
        <w:tc>
          <w:tcPr>
            <w:tcW w:w="2120" w:type="dxa"/>
            <w:vAlign w:val="bottom"/>
            <w:gridSpan w:val="2"/>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Hurley Doddy</w:t>
            </w:r>
          </w:p>
        </w:tc>
        <w:tc>
          <w:tcPr>
            <w:tcW w:w="124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top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154,500</w:t>
            </w:r>
          </w:p>
        </w:tc>
        <w:tc>
          <w:tcPr>
            <w:tcW w:w="8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154,500</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Richard Higginbotham</w:t>
            </w:r>
          </w:p>
        </w:tc>
        <w:tc>
          <w:tcPr>
            <w:tcW w:w="1240" w:type="dxa"/>
            <w:vAlign w:val="bottom"/>
          </w:tcPr>
          <w:p>
            <w:pPr>
              <w:spacing w:after="0"/>
              <w:rPr>
                <w:sz w:val="15"/>
                <w:szCs w:val="15"/>
                <w:color w:val="auto"/>
              </w:rPr>
            </w:pPr>
          </w:p>
        </w:tc>
        <w:tc>
          <w:tcPr>
            <w:tcW w:w="2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167,000</w:t>
            </w:r>
          </w:p>
        </w:tc>
        <w:tc>
          <w:tcPr>
            <w:tcW w:w="620" w:type="dxa"/>
            <w:vAlign w:val="bottom"/>
          </w:tcPr>
          <w:p>
            <w:pPr>
              <w:spacing w:after="0"/>
              <w:rPr>
                <w:sz w:val="15"/>
                <w:szCs w:val="15"/>
                <w:color w:val="auto"/>
              </w:rPr>
            </w:pPr>
          </w:p>
        </w:tc>
        <w:tc>
          <w:tcPr>
            <w:tcW w:w="2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167,000</w:t>
            </w:r>
          </w:p>
        </w:tc>
      </w:tr>
      <w:tr>
        <w:trPr>
          <w:trHeight w:val="180"/>
        </w:trPr>
        <w:tc>
          <w:tcPr>
            <w:tcW w:w="20" w:type="dxa"/>
            <w:vAlign w:val="bottom"/>
          </w:tcPr>
          <w:p>
            <w:pPr>
              <w:spacing w:after="0"/>
              <w:rPr>
                <w:sz w:val="15"/>
                <w:szCs w:val="15"/>
                <w:color w:val="auto"/>
              </w:rPr>
            </w:pPr>
          </w:p>
        </w:tc>
        <w:tc>
          <w:tcPr>
            <w:tcW w:w="2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Judy Slotkin</w:t>
            </w:r>
          </w:p>
        </w:tc>
        <w:tc>
          <w:tcPr>
            <w:tcW w:w="124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172,000</w:t>
            </w:r>
          </w:p>
        </w:tc>
        <w:tc>
          <w:tcPr>
            <w:tcW w:w="62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172,000</w:t>
            </w:r>
          </w:p>
        </w:tc>
      </w:tr>
      <w:tr>
        <w:trPr>
          <w:trHeight w:val="180"/>
        </w:trPr>
        <w:tc>
          <w:tcPr>
            <w:tcW w:w="20" w:type="dxa"/>
            <w:vAlign w:val="bottom"/>
          </w:tcPr>
          <w:p>
            <w:pPr>
              <w:spacing w:after="0"/>
              <w:rPr>
                <w:sz w:val="15"/>
                <w:szCs w:val="15"/>
                <w:color w:val="auto"/>
              </w:rPr>
            </w:pPr>
          </w:p>
        </w:tc>
        <w:tc>
          <w:tcPr>
            <w:tcW w:w="2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Ronald Tanemura</w:t>
            </w:r>
          </w:p>
        </w:tc>
        <w:tc>
          <w:tcPr>
            <w:tcW w:w="1240" w:type="dxa"/>
            <w:vAlign w:val="bottom"/>
          </w:tcPr>
          <w:p>
            <w:pPr>
              <w:spacing w:after="0"/>
              <w:rPr>
                <w:sz w:val="15"/>
                <w:szCs w:val="15"/>
                <w:color w:val="auto"/>
              </w:rPr>
            </w:pPr>
          </w:p>
        </w:tc>
        <w:tc>
          <w:tcPr>
            <w:tcW w:w="2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157,000</w:t>
            </w:r>
          </w:p>
        </w:tc>
        <w:tc>
          <w:tcPr>
            <w:tcW w:w="620" w:type="dxa"/>
            <w:vAlign w:val="bottom"/>
          </w:tcPr>
          <w:p>
            <w:pPr>
              <w:spacing w:after="0"/>
              <w:rPr>
                <w:sz w:val="15"/>
                <w:szCs w:val="15"/>
                <w:color w:val="auto"/>
              </w:rPr>
            </w:pPr>
          </w:p>
        </w:tc>
        <w:tc>
          <w:tcPr>
            <w:tcW w:w="2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157,000</w:t>
            </w:r>
          </w:p>
        </w:tc>
      </w:tr>
      <w:tr>
        <w:trPr>
          <w:trHeight w:val="180"/>
        </w:trPr>
        <w:tc>
          <w:tcPr>
            <w:tcW w:w="20" w:type="dxa"/>
            <w:vAlign w:val="bottom"/>
          </w:tcPr>
          <w:p>
            <w:pPr>
              <w:spacing w:after="0"/>
              <w:rPr>
                <w:sz w:val="15"/>
                <w:szCs w:val="15"/>
                <w:color w:val="auto"/>
              </w:rPr>
            </w:pPr>
          </w:p>
        </w:tc>
        <w:tc>
          <w:tcPr>
            <w:tcW w:w="2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John D. Hershey</w:t>
            </w:r>
          </w:p>
        </w:tc>
        <w:tc>
          <w:tcPr>
            <w:tcW w:w="124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62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4,500</w:t>
            </w:r>
          </w:p>
        </w:tc>
      </w:tr>
    </w:tbl>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compensation is paid to our trustees who are “interested persons,” as such term is defined in Section 2(a)(19) of the 1940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Compensation Committee Interlocks and Insider Participation</w:t>
      </w:r>
    </w:p>
    <w:p>
      <w:pPr>
        <w:spacing w:after="0" w:line="190"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have a compensation committee of our Board and our Board does not make determinations regarding compensation of executive officers because we do not directly pay any compensation to our executive officers.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Policies and Practices Related to the Timing of Equity Awards</w:t>
      </w:r>
    </w:p>
    <w:p>
      <w:pPr>
        <w:spacing w:after="0" w:line="190" w:lineRule="exact"/>
        <w:rPr>
          <w:sz w:val="20"/>
          <w:szCs w:val="20"/>
          <w:color w:val="auto"/>
        </w:rPr>
      </w:pPr>
    </w:p>
    <w:p>
      <w:pPr>
        <w:ind w:right="2340" w:firstLine="228"/>
        <w:spacing w:after="0" w:line="243" w:lineRule="auto"/>
        <w:rPr>
          <w:sz w:val="20"/>
          <w:szCs w:val="20"/>
          <w:color w:val="auto"/>
        </w:rPr>
      </w:pPr>
      <w:r>
        <w:rPr>
          <w:rFonts w:ascii="Times New Roman" w:cs="Times New Roman" w:eastAsia="Times New Roman" w:hAnsi="Times New Roman"/>
          <w:sz w:val="16"/>
          <w:szCs w:val="16"/>
          <w:color w:val="auto"/>
        </w:rPr>
        <w:t>We do not grant options, and accordingly, we have no policy, program, practice, or plan pertaining to the timing of stock option grants with respect to the release of material non-public information. Furthermore, given that we do not directly compensate our executive officers, we also have not timed the release of material non-public information for the purpose of affecting the value of executive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SHAREHOLDER MATTERS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sets forth, as of February 13, 2026, the beneficial ownership of each person known to us to beneficially own 5% or more of the outstanding shares, all of our trustees and named executive officers, individually, and all of our trustees and officers together as a group. Percentage of beneficial ownership is based on 150,578,335 shares outstanding as of February 13, 2026.</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To our knowledge, as of February 13, 2026, there were no persons that owned 25% or more of our outstanding voting securities and no person would be deemed to control us, as such term is defined in the 1940 Act.</w:t>
      </w:r>
    </w:p>
    <w:p>
      <w:pPr>
        <w:spacing w:after="0" w:line="155"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the shares. Ownership information for those persons who beneficially own 5% or more of our shares is based upon Schedule 13D or Schedule 13G filings by such persons with the SEC and other information obtained from such persons, if available.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ownership information is as of the date of the applicable filing and may no longer be accurate.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840" w:type="dxa"/>
            <w:vAlign w:val="bottom"/>
          </w:tcPr>
          <w:p>
            <w:pPr>
              <w:jc w:val="center"/>
              <w:ind w:left="1882"/>
              <w:spacing w:after="0"/>
              <w:rPr>
                <w:sz w:val="20"/>
                <w:szCs w:val="20"/>
                <w:color w:val="auto"/>
              </w:rPr>
            </w:pPr>
            <w:r>
              <w:rPr>
                <w:rFonts w:ascii="Times New Roman" w:cs="Times New Roman" w:eastAsia="Times New Roman" w:hAnsi="Times New Roman"/>
                <w:sz w:val="16"/>
                <w:szCs w:val="16"/>
                <w:b w:val="1"/>
                <w:bCs w:val="1"/>
                <w:color w:val="auto"/>
                <w:w w:val="97"/>
              </w:rPr>
              <w:t>Type of Ownership</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80"/>
        </w:trPr>
        <w:tc>
          <w:tcPr>
            <w:tcW w:w="20" w:type="dxa"/>
            <w:vAlign w:val="bottom"/>
          </w:tcPr>
          <w:p>
            <w:pPr>
              <w:spacing w:after="0"/>
              <w:rPr>
                <w:sz w:val="15"/>
                <w:szCs w:val="15"/>
                <w:color w:val="auto"/>
              </w:rPr>
            </w:pPr>
          </w:p>
        </w:tc>
        <w:tc>
          <w:tcPr>
            <w:tcW w:w="4280" w:type="dxa"/>
            <w:vAlign w:val="bottom"/>
            <w:tcBorders>
              <w:top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0"/>
                <w:szCs w:val="20"/>
                <w:b w:val="1"/>
                <w:bCs w:val="1"/>
                <w:color w:val="auto"/>
                <w:vertAlign w:val="superscript"/>
              </w:rPr>
              <w:t>(1)</w:t>
            </w:r>
          </w:p>
        </w:tc>
        <w:tc>
          <w:tcPr>
            <w:tcW w:w="38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Robert (“Bo”) Stanley</w:t>
            </w:r>
          </w:p>
        </w:tc>
        <w:tc>
          <w:tcPr>
            <w:tcW w:w="3840" w:type="dxa"/>
            <w:vAlign w:val="bottom"/>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44,246</w:t>
            </w:r>
            <w:r>
              <w:rPr>
                <w:rFonts w:ascii="Times New Roman" w:cs="Times New Roman" w:eastAsia="Times New Roman" w:hAnsi="Times New Roman"/>
                <w:sz w:val="20"/>
                <w:szCs w:val="20"/>
                <w:color w:val="auto"/>
                <w:vertAlign w:val="superscript"/>
              </w:rPr>
              <w:t>(2)</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Joshua Easterly</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71,544</w:t>
            </w:r>
            <w:r>
              <w:rPr>
                <w:rFonts w:ascii="Times New Roman" w:cs="Times New Roman" w:eastAsia="Times New Roman" w:hAnsi="Times New Roman"/>
                <w:sz w:val="20"/>
                <w:szCs w:val="20"/>
                <w:color w:val="auto"/>
                <w:vertAlign w:val="superscript"/>
              </w:rPr>
              <w:t>(3)</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Jennifer Gordon</w:t>
            </w:r>
          </w:p>
        </w:tc>
        <w:tc>
          <w:tcPr>
            <w:tcW w:w="3840" w:type="dxa"/>
            <w:vAlign w:val="bottom"/>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12,890</w:t>
            </w:r>
            <w:r>
              <w:rPr>
                <w:rFonts w:ascii="Times New Roman" w:cs="Times New Roman" w:eastAsia="Times New Roman" w:hAnsi="Times New Roman"/>
                <w:sz w:val="20"/>
                <w:szCs w:val="20"/>
                <w:color w:val="auto"/>
                <w:vertAlign w:val="superscript"/>
              </w:rPr>
              <w:t>(4)</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David Stiepleman</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27,998</w:t>
            </w:r>
            <w:r>
              <w:rPr>
                <w:rFonts w:ascii="Times New Roman" w:cs="Times New Roman" w:eastAsia="Times New Roman" w:hAnsi="Times New Roman"/>
                <w:sz w:val="20"/>
                <w:szCs w:val="20"/>
                <w:color w:val="auto"/>
                <w:vertAlign w:val="superscript"/>
              </w:rPr>
              <w:t>(5)</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Independent Trustees</w:t>
            </w:r>
            <w:r>
              <w:rPr>
                <w:rFonts w:ascii="Times New Roman" w:cs="Times New Roman" w:eastAsia="Times New Roman" w:hAnsi="Times New Roman"/>
                <w:sz w:val="20"/>
                <w:szCs w:val="20"/>
                <w:b w:val="1"/>
                <w:bCs w:val="1"/>
                <w:color w:val="auto"/>
                <w:vertAlign w:val="superscript"/>
              </w:rPr>
              <w:t>(1)</w:t>
            </w:r>
          </w:p>
        </w:tc>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Richard Higginbotham</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8,846</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Hurley Doddy</w:t>
            </w:r>
          </w:p>
        </w:tc>
        <w:tc>
          <w:tcPr>
            <w:tcW w:w="3840" w:type="dxa"/>
            <w:vAlign w:val="bottom"/>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10,984</w:t>
            </w:r>
          </w:p>
        </w:tc>
        <w:tc>
          <w:tcPr>
            <w:tcW w:w="10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Judy Slotkin</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10,984</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276"/>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Ronald Tanemura</w:t>
            </w:r>
          </w:p>
        </w:tc>
        <w:tc>
          <w:tcPr>
            <w:tcW w:w="3840" w:type="dxa"/>
            <w:vAlign w:val="bottom"/>
          </w:tcPr>
          <w:p>
            <w:pPr>
              <w:jc w:val="center"/>
              <w:ind w:left="1882"/>
              <w:spacing w:after="0"/>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John D. Hershey</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Named Executive Officers Who Are Not Trustees</w:t>
            </w:r>
            <w:r>
              <w:rPr>
                <w:rFonts w:ascii="Times New Roman" w:cs="Times New Roman" w:eastAsia="Times New Roman" w:hAnsi="Times New Roman"/>
                <w:sz w:val="20"/>
                <w:szCs w:val="20"/>
                <w:b w:val="1"/>
                <w:bCs w:val="1"/>
                <w:color w:val="auto"/>
                <w:vertAlign w:val="superscript"/>
              </w:rPr>
              <w:t>(1)</w:t>
            </w:r>
          </w:p>
        </w:tc>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Ian Simmonds</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25,780</w:t>
            </w:r>
            <w:r>
              <w:rPr>
                <w:rFonts w:ascii="Times New Roman" w:cs="Times New Roman" w:eastAsia="Times New Roman" w:hAnsi="Times New Roman"/>
                <w:sz w:val="20"/>
                <w:szCs w:val="20"/>
                <w:color w:val="auto"/>
                <w:vertAlign w:val="superscript"/>
              </w:rPr>
              <w:t>(6)</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Graf</w:t>
            </w:r>
          </w:p>
        </w:tc>
        <w:tc>
          <w:tcPr>
            <w:tcW w:w="3840" w:type="dxa"/>
            <w:vAlign w:val="bottom"/>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5"/>
                <w:szCs w:val="15"/>
                <w:color w:val="auto"/>
              </w:rPr>
              <w:t>8,591</w:t>
            </w:r>
            <w:r>
              <w:rPr>
                <w:rFonts w:ascii="Times New Roman" w:cs="Times New Roman" w:eastAsia="Times New Roman" w:hAnsi="Times New Roman"/>
                <w:sz w:val="20"/>
                <w:szCs w:val="20"/>
                <w:color w:val="auto"/>
                <w:vertAlign w:val="superscript"/>
              </w:rPr>
              <w:t>(7)</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Anton Brett</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w:t>
            </w:r>
          </w:p>
        </w:tc>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State of Michigan Retirement System</w:t>
            </w:r>
            <w:r>
              <w:rPr>
                <w:rFonts w:ascii="Times New Roman" w:cs="Times New Roman" w:eastAsia="Times New Roman" w:hAnsi="Times New Roman"/>
                <w:sz w:val="20"/>
                <w:szCs w:val="20"/>
                <w:color w:val="auto"/>
                <w:vertAlign w:val="superscript"/>
              </w:rPr>
              <w:t>(8)</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12,888,879</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8.56%</w:t>
            </w:r>
          </w:p>
        </w:tc>
      </w:tr>
      <w:tr>
        <w:trPr>
          <w:trHeight w:val="180"/>
        </w:trPr>
        <w:tc>
          <w:tcPr>
            <w:tcW w:w="2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Sixth Street Lending Partners Note Issuer, LLC</w:t>
            </w:r>
            <w:r>
              <w:rPr>
                <w:rFonts w:ascii="Times New Roman" w:cs="Times New Roman" w:eastAsia="Times New Roman" w:hAnsi="Times New Roman"/>
                <w:sz w:val="20"/>
                <w:szCs w:val="20"/>
                <w:color w:val="auto"/>
                <w:vertAlign w:val="superscript"/>
              </w:rPr>
              <w:t>(9)</w:t>
            </w:r>
          </w:p>
        </w:tc>
        <w:tc>
          <w:tcPr>
            <w:tcW w:w="3840" w:type="dxa"/>
            <w:vAlign w:val="bottom"/>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10,471,527</w:t>
            </w:r>
          </w:p>
        </w:tc>
        <w:tc>
          <w:tcPr>
            <w:tcW w:w="10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6.95%</w:t>
            </w:r>
          </w:p>
        </w:tc>
      </w:tr>
      <w:tr>
        <w:trPr>
          <w:trHeight w:val="180"/>
        </w:trPr>
        <w:tc>
          <w:tcPr>
            <w:tcW w:w="2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Flourish Investment Corporation</w:t>
            </w:r>
            <w:r>
              <w:rPr>
                <w:rFonts w:ascii="Times New Roman" w:cs="Times New Roman" w:eastAsia="Times New Roman" w:hAnsi="Times New Roman"/>
                <w:sz w:val="20"/>
                <w:szCs w:val="20"/>
                <w:color w:val="auto"/>
                <w:vertAlign w:val="superscript"/>
              </w:rPr>
              <w:t>(10)</w:t>
            </w:r>
          </w:p>
        </w:tc>
        <w:tc>
          <w:tcPr>
            <w:tcW w:w="3840" w:type="dxa"/>
            <w:vAlign w:val="bottom"/>
            <w:shd w:val="clear" w:color="auto" w:fill="CFF0FC"/>
          </w:tcPr>
          <w:p>
            <w:pPr>
              <w:jc w:val="center"/>
              <w:ind w:left="1882"/>
              <w:spacing w:after="0" w:line="180" w:lineRule="exact"/>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8,705,567</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5.78%</w:t>
            </w:r>
          </w:p>
        </w:tc>
      </w:tr>
      <w:tr>
        <w:trPr>
          <w:trHeight w:val="285"/>
        </w:trPr>
        <w:tc>
          <w:tcPr>
            <w:tcW w:w="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The Public Institution for Social Security</w:t>
            </w:r>
            <w:r>
              <w:rPr>
                <w:rFonts w:ascii="Times New Roman" w:cs="Times New Roman" w:eastAsia="Times New Roman" w:hAnsi="Times New Roman"/>
                <w:sz w:val="21"/>
                <w:szCs w:val="21"/>
                <w:color w:val="auto"/>
                <w:vertAlign w:val="superscript"/>
              </w:rPr>
              <w:t>(11)</w:t>
            </w:r>
          </w:p>
        </w:tc>
        <w:tc>
          <w:tcPr>
            <w:tcW w:w="3840" w:type="dxa"/>
            <w:vAlign w:val="bottom"/>
          </w:tcPr>
          <w:p>
            <w:pPr>
              <w:jc w:val="center"/>
              <w:ind w:left="1882"/>
              <w:spacing w:after="0"/>
              <w:rPr>
                <w:sz w:val="20"/>
                <w:szCs w:val="20"/>
                <w:color w:val="auto"/>
              </w:rPr>
            </w:pPr>
            <w:r>
              <w:rPr>
                <w:rFonts w:ascii="Times New Roman" w:cs="Times New Roman" w:eastAsia="Times New Roman" w:hAnsi="Times New Roman"/>
                <w:sz w:val="16"/>
                <w:szCs w:val="16"/>
                <w:color w:val="auto"/>
                <w:w w:val="96"/>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10,311,099</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6.85%</w:t>
            </w:r>
          </w:p>
        </w:tc>
      </w:tr>
      <w:tr>
        <w:trPr>
          <w:trHeight w:val="27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40" w:type="dxa"/>
            <w:vAlign w:val="bottom"/>
          </w:tcPr>
          <w:p>
            <w:pPr>
              <w:jc w:val="right"/>
              <w:ind w:right="2702"/>
              <w:spacing w:after="0"/>
              <w:rPr>
                <w:sz w:val="20"/>
                <w:szCs w:val="20"/>
                <w:color w:val="auto"/>
              </w:rPr>
            </w:pPr>
            <w:r>
              <w:rPr>
                <w:rFonts w:ascii="Times New Roman" w:cs="Times New Roman" w:eastAsia="Times New Roman" w:hAnsi="Times New Roman"/>
                <w:sz w:val="16"/>
                <w:szCs w:val="16"/>
                <w:color w:val="auto"/>
              </w:rPr>
              <w:t>99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4"/>
        </w:trPr>
        <w:tc>
          <w:tcPr>
            <w:tcW w:w="20" w:type="dxa"/>
            <w:vAlign w:val="bottom"/>
          </w:tcPr>
          <w:p>
            <w:pPr>
              <w:spacing w:after="0"/>
              <w:rPr>
                <w:sz w:val="24"/>
                <w:szCs w:val="24"/>
                <w:color w:val="auto"/>
              </w:rPr>
            </w:pPr>
          </w:p>
        </w:tc>
        <w:tc>
          <w:tcPr>
            <w:tcW w:w="4280" w:type="dxa"/>
            <w:vAlign w:val="bottom"/>
            <w:tcBorders>
              <w:bottom w:val="single" w:sz="8" w:color="EEEEEE"/>
            </w:tcBorders>
          </w:tcPr>
          <w:p>
            <w:pPr>
              <w:spacing w:after="0"/>
              <w:rPr>
                <w:sz w:val="24"/>
                <w:szCs w:val="24"/>
                <w:color w:val="auto"/>
              </w:rPr>
            </w:pPr>
          </w:p>
        </w:tc>
        <w:tc>
          <w:tcPr>
            <w:tcW w:w="38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0" w:name="page141"/>
    <w:bookmarkEnd w:id="140"/>
    <w:p>
      <w:pPr>
        <w:spacing w:after="0"/>
        <w:tabs>
          <w:tab w:leader="none" w:pos="6620" w:val="left"/>
          <w:tab w:leader="none" w:pos="8440" w:val="left"/>
          <w:tab w:leader="none" w:pos="9700" w:val="left"/>
        </w:tabs>
        <w:rPr>
          <w:sz w:val="20"/>
          <w:szCs w:val="20"/>
          <w:color w:val="auto"/>
        </w:rPr>
      </w:pPr>
      <w:r>
        <w:rPr>
          <w:rFonts w:ascii="Times New Roman" w:cs="Times New Roman" w:eastAsia="Times New Roman" w:hAnsi="Times New Roman"/>
          <w:sz w:val="16"/>
          <w:szCs w:val="16"/>
          <w:b w:val="1"/>
          <w:bCs w:val="1"/>
          <w:color w:val="auto"/>
        </w:rPr>
        <w:t>All Officers and Trustees as a group (18 persons)</w:t>
      </w:r>
      <w:r>
        <w:rPr>
          <w:sz w:val="20"/>
          <w:szCs w:val="20"/>
          <w:color w:val="auto"/>
        </w:rPr>
        <w:tab/>
      </w:r>
      <w:r>
        <w:rPr>
          <w:rFonts w:ascii="Times New Roman" w:cs="Times New Roman" w:eastAsia="Times New Roman" w:hAnsi="Times New Roman"/>
          <w:sz w:val="16"/>
          <w:szCs w:val="16"/>
          <w:color w:val="auto"/>
        </w:rPr>
        <w:t>Record/Beneficial</w:t>
      </w:r>
      <w:r>
        <w:rPr>
          <w:sz w:val="20"/>
          <w:szCs w:val="20"/>
          <w:color w:val="auto"/>
        </w:rPr>
        <w:tab/>
      </w:r>
      <w:r>
        <w:rPr>
          <w:rFonts w:ascii="Times New Roman" w:cs="Times New Roman" w:eastAsia="Times New Roman" w:hAnsi="Times New Roman"/>
          <w:sz w:val="16"/>
          <w:szCs w:val="16"/>
          <w:color w:val="auto"/>
        </w:rPr>
        <w:t>11,104,751</w:t>
      </w:r>
      <w:r>
        <w:rPr>
          <w:sz w:val="20"/>
          <w:szCs w:val="20"/>
          <w:color w:val="auto"/>
        </w:rPr>
        <w:tab/>
      </w:r>
      <w:r>
        <w:rPr>
          <w:rFonts w:ascii="Times New Roman" w:cs="Times New Roman" w:eastAsia="Times New Roman" w:hAnsi="Times New Roman"/>
          <w:sz w:val="14"/>
          <w:szCs w:val="14"/>
          <w:color w:val="auto"/>
        </w:rPr>
        <w:t>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6707505"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70" w:lineRule="exact"/>
        <w:rPr>
          <w:sz w:val="20"/>
          <w:szCs w:val="20"/>
          <w:color w:val="auto"/>
        </w:rPr>
      </w:pPr>
    </w:p>
    <w:p>
      <w:pPr>
        <w:ind w:left="400" w:hanging="394"/>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address for all of the Company’s officers and trustees is c/o Sixth Street Lending Partners, 2100 McKinney Avenue, Suite 1500, Dallas TX 75201.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(2)Such shares are held indirectly through entities for which Mr. Stanley has pass through voting power and no dispositive power.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(3)Such shares are held indirectly through entities for which Mr. Easterly has pass through voting power and no dispositive power.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(4)Such shares are held indirectly through entities for which Ms. Gordon has pass through voting power and no dispositive power.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(5)Such shares are held indirectly through entities for which Mr. Stiepleman has pass through voting power and no dispositive power.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(6)Such shares are held indirectly through entities for which Mr. Simmonds has pass through voting power and no dispositive power.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(7)Such shares are held indirectly through an entity for which Mr. Graf has pass through voting power and no dispositive power.</w:t>
      </w:r>
    </w:p>
    <w:p>
      <w:pPr>
        <w:spacing w:after="0" w:line="18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(8)The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12,888,879 shares.</w:t>
      </w:r>
    </w:p>
    <w:p>
      <w:pPr>
        <w:spacing w:after="0" w:line="6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(9)The principal address for Sixth Street Lending Partners Note Issuer, LLC (“Note Issuer”) is 2100 McKinney Avenue, Suite 1500, Dallas, Texas 75201. Information obtained from a Schedule 13D filed by Note Issuer with the SEC, reporting share ownership as of December 17, 2024. Based on that filing and other information obtained from such person, Note Issuer maintains the sole power to vote or dispose of 10,471,527 shares.</w:t>
      </w:r>
    </w:p>
    <w:p>
      <w:pPr>
        <w:spacing w:after="0" w:line="6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(10)The principal address for Flourish Investment Corporation (“Flourish”) is New Poly Plaza, No.1 Chaoyangmen Beidajie, Dongcheng District, Beijing 100010, People’s Republic of China. Information obtained from a Schedule 13G filed by Flourish with the SEC, reporting share ownership as of December 17, 2024. Based on that filing and other information obtained from such person, Flourish maintains the sole power to vote or dispose of 8,705,567 shares.</w:t>
      </w:r>
    </w:p>
    <w:p>
      <w:pPr>
        <w:spacing w:after="0" w:line="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(11)The principal address for The Public Institution for Social Security (“PIFSS”) is AlMurqab, Al- 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10,311,099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do not have any equity compensation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 AND RELATED TRANSACTION, AND TRUSTEE INDEPENDENCE</w:t>
      </w:r>
    </w:p>
    <w:p>
      <w:pPr>
        <w:spacing w:after="0" w:line="176" w:lineRule="exact"/>
        <w:rPr>
          <w:sz w:val="20"/>
          <w:szCs w:val="20"/>
          <w:color w:val="auto"/>
        </w:rPr>
      </w:pPr>
    </w:p>
    <w:p>
      <w:pPr>
        <w:ind w:right="5260"/>
        <w:spacing w:after="0" w:line="416" w:lineRule="auto"/>
        <w:rPr>
          <w:sz w:val="20"/>
          <w:szCs w:val="20"/>
          <w:color w:val="auto"/>
        </w:rPr>
      </w:pPr>
      <w:r>
        <w:rPr>
          <w:rFonts w:ascii="Times New Roman" w:cs="Times New Roman" w:eastAsia="Times New Roman" w:hAnsi="Times New Roman"/>
          <w:sz w:val="16"/>
          <w:szCs w:val="16"/>
          <w:b w:val="1"/>
          <w:bCs w:val="1"/>
          <w:color w:val="auto"/>
        </w:rPr>
        <w:t>(a) Transactions with Related Persons, Promoters and Certain Control Persons Advisory Agreement; Administration Agreement</w:t>
      </w: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 xml:space="preserve">We have entered into the Investment Advisory Agreement with the Adviser pursuant to which we will pay Management Fees and Incentive Fees to the Adviser and the Administration Agreement with the Administrator. In addition, pursuant to the Investment Advisory Agreement and the Administration Agreement, we will reimburse the Adviser and Administrator for certain expenses as they occur. See “ </w:t>
      </w:r>
      <w:r>
        <w:rPr>
          <w:rFonts w:ascii="Times New Roman" w:cs="Times New Roman" w:eastAsia="Times New Roman" w:hAnsi="Times New Roman"/>
          <w:sz w:val="16"/>
          <w:szCs w:val="16"/>
          <w:i w:val="1"/>
          <w:iCs w:val="1"/>
          <w:color w:val="auto"/>
        </w:rPr>
        <w:t>ITEM 1. BUSINESS— Management Agreements</w:t>
      </w:r>
      <w:r>
        <w:rPr>
          <w:rFonts w:ascii="Times New Roman" w:cs="Times New Roman" w:eastAsia="Times New Roman" w:hAnsi="Times New Roman"/>
          <w:sz w:val="16"/>
          <w:szCs w:val="16"/>
          <w:color w:val="auto"/>
        </w:rPr>
        <w:t>.” Each of the Investment Advisory Agreement and the Administration Agreement has been approved by the Board of Trustees. Unless earlier terminated, each of the Investment Advisory Agreement and the Administration Agreement will remain in effect for a period of two years from the date it first becomes effective and will remain in effect from year-to -year thereafter if approved annually by a majority of the Board of Trustees, including a majority of Independent Trustees, or by the holders of a majority of our outstanding voting securities.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5" w:right="70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Co-Investment Relief</w:t>
      </w:r>
    </w:p>
    <w:p>
      <w:pPr>
        <w:spacing w:after="0" w:line="9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The Adviser has received an exemptive order from the SEC that permits us, among other things, to co-invest with certain other persons, including certain affiliates of the Adviser and certain funds managed and controlled by the Adviser and its affiliates, subject to certain terms and conditions. Pursuant to such order, the Board of Trustees may establish Board Criteria clearly defining co-investment opportunities in which the Company will have the opportunity to participate with one or more Sixth Street managed funds that target similar assets. If an investment falls within the Board Criteria, the Sixth Street must offer an opportunity for the Company to participate. The Company may determine to participate or not to participate, depending on whether the Adviser determines that the investment is appropriate for the Company (e.g., based on investment strategy). If the Adviser determines that such investment is not appropriate for us, the investment will not be allocated to us, but the Adviser will be required to report such investment and the rationale for its determination for us to not participate in the investment to the Board of Trustees at the next quarterly board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 Agreement</w:t>
      </w:r>
    </w:p>
    <w:p>
      <w:pPr>
        <w:spacing w:after="0" w:line="9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have entered into a License Agreement with Austin IP, LLC that grants us a non-exclusive, royalty-free license to use the mark “Sixth Street” and any derivative thereof.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Transactions with Promoters and Certain Control Persons</w:t>
      </w:r>
    </w:p>
    <w:p>
      <w:pPr>
        <w:spacing w:after="0" w:line="94" w:lineRule="exact"/>
        <w:rPr>
          <w:sz w:val="20"/>
          <w:szCs w:val="20"/>
          <w:color w:val="auto"/>
        </w:rPr>
      </w:pPr>
    </w:p>
    <w:p>
      <w:pPr>
        <w:ind w:right="380" w:firstLine="228"/>
        <w:spacing w:after="0" w:line="241" w:lineRule="auto"/>
        <w:rPr>
          <w:sz w:val="20"/>
          <w:szCs w:val="20"/>
          <w:color w:val="auto"/>
        </w:rPr>
      </w:pPr>
      <w:r>
        <w:rPr>
          <w:rFonts w:ascii="Times New Roman" w:cs="Times New Roman" w:eastAsia="Times New Roman" w:hAnsi="Times New Roman"/>
          <w:sz w:val="16"/>
          <w:szCs w:val="16"/>
          <w:color w:val="auto"/>
        </w:rPr>
        <w:t>The Adviser may be deemed a promoter of the Company. We have entered into the Investment Advisory Agreement with the Adviser and the Administration Agreement with the Administrator. The Adviser, for its services to us, is entitled to receive management fees and incentive fees in addition to the reimbursement of certain expenses. The Administrator, for its services to us, is entitled to receive reimbursement of certain expenses. In addition, under the Investment Advisory Agreement and Administration Agreement, to the extent permitted by applicable law and in the discretion of our Board, we have indemnified the Adviser and the Administrator and certain of their affiliates. See “</w:t>
      </w:r>
      <w:r>
        <w:rPr>
          <w:rFonts w:ascii="Times New Roman" w:cs="Times New Roman" w:eastAsia="Times New Roman" w:hAnsi="Times New Roman"/>
          <w:sz w:val="16"/>
          <w:szCs w:val="16"/>
          <w:i w:val="1"/>
          <w:iCs w:val="1"/>
          <w:color w:val="auto"/>
        </w:rPr>
        <w:t>ITEM 1. BUSINESS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 of Policy Regarding Transactions with Related Persons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Board conducts quarterly reviews of any potential related party transactions brought to its attention and, during these reviews, it will consider any conflicts of interest brought to its attention pursuant to the Company’s compliance policies and procedures. Each of the Company’s trustees and officers is subject to the Company’s Code of Ethics, which places restrictions on related party transactions, and is instructed and periodically reminded to inform the Company’s Chief Compliance Officer or her designee of any potential related party transactions. In addition, each such trustee and executive officer completes a questionnaire on an annual basis designed to elicit information about any potential related party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Trustee Independence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information regarding the independence of our trustees, see “</w:t>
      </w:r>
      <w:r>
        <w:rPr>
          <w:rFonts w:ascii="Times New Roman" w:cs="Times New Roman" w:eastAsia="Times New Roman" w:hAnsi="Times New Roman"/>
          <w:sz w:val="16"/>
          <w:szCs w:val="16"/>
          <w:i w:val="1"/>
          <w:iCs w:val="1"/>
          <w:color w:val="auto"/>
        </w:rPr>
        <w:t>ITEM 10. TRUSTEES, EXECUTIVE OFFICERS AND CORPORATE GOVERNANCE.</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4"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audit committee and the independent trustees of our Board have selected KPMG LLP to serve as the independent registered public accounting firm for Company for the fiscal years ending December 31, 2025 and December 31, 2024.</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KPMG LLP has advised us that neither the firm nor any present member or associate of it has any material financial interest, direct or indirect, in us or our affiliates.</w:t>
      </w:r>
    </w:p>
    <w:p>
      <w:pPr>
        <w:spacing w:after="0" w:line="137" w:lineRule="exact"/>
        <w:rPr>
          <w:sz w:val="20"/>
          <w:szCs w:val="20"/>
          <w:color w:val="auto"/>
        </w:rPr>
      </w:pPr>
    </w:p>
    <w:tbl>
      <w:tblPr>
        <w:tblLayout w:type="fixed"/>
        <w:tblInd w:w="1220" w:type="dxa"/>
        <w:tblCellMar>
          <w:top w:w="0" w:type="dxa"/>
          <w:left w:w="0" w:type="dxa"/>
          <w:bottom w:w="0" w:type="dxa"/>
          <w:right w:w="0" w:type="dxa"/>
        </w:tblCellMar>
      </w:tblPr>
      <w:tr>
        <w:trPr>
          <w:trHeight w:val="211"/>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260" w:type="dxa"/>
            <w:vAlign w:val="bottom"/>
          </w:tcPr>
          <w:p>
            <w:pPr>
              <w:spacing w:after="0"/>
              <w:rPr>
                <w:sz w:val="18"/>
                <w:szCs w:val="18"/>
                <w:color w:val="auto"/>
              </w:rPr>
            </w:pP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r>
      <w:tr>
        <w:trPr>
          <w:trHeight w:val="180"/>
        </w:trPr>
        <w:tc>
          <w:tcPr>
            <w:tcW w:w="2020" w:type="dxa"/>
            <w:vAlign w:val="bottom"/>
            <w:tcBorders>
              <w:top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Audit Fees</w:t>
            </w:r>
          </w:p>
        </w:tc>
        <w:tc>
          <w:tcPr>
            <w:tcW w:w="260" w:type="dxa"/>
            <w:vAlign w:val="bottom"/>
            <w:tcBorders>
              <w:top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Borders>
              <w:top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1,100.0</w:t>
            </w:r>
          </w:p>
        </w:tc>
        <w:tc>
          <w:tcPr>
            <w:tcW w:w="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Borders>
              <w:top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1,025.0</w:t>
            </w:r>
          </w:p>
        </w:tc>
        <w:tc>
          <w:tcPr>
            <w:tcW w:w="60" w:type="dxa"/>
            <w:vAlign w:val="bottom"/>
            <w:shd w:val="clear" w:color="auto" w:fill="CFF0FC"/>
          </w:tcPr>
          <w:p>
            <w:pPr>
              <w:spacing w:after="0"/>
              <w:rPr>
                <w:sz w:val="15"/>
                <w:szCs w:val="15"/>
                <w:color w:val="auto"/>
              </w:rPr>
            </w:pPr>
          </w:p>
        </w:tc>
      </w:tr>
      <w:tr>
        <w:trPr>
          <w:trHeight w:val="180"/>
        </w:trPr>
        <w:tc>
          <w:tcPr>
            <w:tcW w:w="2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Audit-Related Fees</w:t>
            </w:r>
          </w:p>
        </w:tc>
        <w:tc>
          <w:tcPr>
            <w:tcW w:w="260" w:type="dxa"/>
            <w:vAlign w:val="bottom"/>
          </w:tcPr>
          <w:p>
            <w:pPr>
              <w:spacing w:after="0"/>
              <w:rPr>
                <w:sz w:val="15"/>
                <w:szCs w:val="15"/>
                <w:color w:val="auto"/>
              </w:rPr>
            </w:pPr>
          </w:p>
        </w:tc>
        <w:tc>
          <w:tcPr>
            <w:tcW w:w="2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345.0</w:t>
            </w:r>
          </w:p>
        </w:tc>
      </w:tr>
      <w:tr>
        <w:trPr>
          <w:trHeight w:val="180"/>
        </w:trPr>
        <w:tc>
          <w:tcPr>
            <w:tcW w:w="2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Fees</w:t>
            </w:r>
          </w:p>
        </w:tc>
        <w:tc>
          <w:tcPr>
            <w:tcW w:w="260" w:type="dxa"/>
            <w:vAlign w:val="bottom"/>
            <w:shd w:val="clear" w:color="auto" w:fill="CFF0FC"/>
          </w:tcPr>
          <w:p>
            <w:pPr>
              <w:spacing w:after="0"/>
              <w:rPr>
                <w:sz w:val="15"/>
                <w:szCs w:val="15"/>
                <w:color w:val="auto"/>
              </w:rPr>
            </w:pPr>
          </w:p>
        </w:tc>
        <w:tc>
          <w:tcPr>
            <w:tcW w:w="2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112.0</w:t>
            </w:r>
          </w:p>
        </w:tc>
        <w:tc>
          <w:tcPr>
            <w:tcW w:w="260" w:type="dxa"/>
            <w:vAlign w:val="bottom"/>
            <w:shd w:val="clear" w:color="auto" w:fill="CFF0FC"/>
          </w:tcPr>
          <w:p>
            <w:pPr>
              <w:spacing w:after="0"/>
              <w:rPr>
                <w:sz w:val="15"/>
                <w:szCs w:val="15"/>
                <w:color w:val="auto"/>
              </w:rPr>
            </w:pPr>
          </w:p>
        </w:tc>
        <w:tc>
          <w:tcPr>
            <w:tcW w:w="27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111.0</w:t>
            </w:r>
          </w:p>
        </w:tc>
      </w:tr>
      <w:tr>
        <w:trPr>
          <w:trHeight w:val="180"/>
        </w:trPr>
        <w:tc>
          <w:tcPr>
            <w:tcW w:w="2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All Other Fees</w:t>
            </w:r>
          </w:p>
        </w:tc>
        <w:tc>
          <w:tcPr>
            <w:tcW w:w="260" w:type="dxa"/>
            <w:vAlign w:val="bottom"/>
          </w:tcPr>
          <w:p>
            <w:pPr>
              <w:spacing w:after="0"/>
              <w:rPr>
                <w:sz w:val="15"/>
                <w:szCs w:val="15"/>
                <w:color w:val="auto"/>
              </w:rPr>
            </w:pPr>
          </w:p>
        </w:tc>
        <w:tc>
          <w:tcPr>
            <w:tcW w:w="2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27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02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Fees</w:t>
            </w: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1,262.0</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1,481.0</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177"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Audit fees consist of fees billed for professional services rendered for the audit of our year-end consolidated financial statements and reviews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filed with the SEC on Forms 10-K and 10-Q.</w:t>
      </w:r>
    </w:p>
    <w:p>
      <w:pPr>
        <w:spacing w:after="0" w:line="54" w:lineRule="exact"/>
        <w:rPr>
          <w:sz w:val="20"/>
          <w:szCs w:val="20"/>
          <w:color w:val="auto"/>
        </w:rPr>
      </w:pPr>
    </w:p>
    <w:p>
      <w:pPr>
        <w:ind w:right="12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Audit- Related Fees </w:t>
      </w:r>
      <w:r>
        <w:rPr>
          <w:rFonts w:ascii="Times New Roman" w:cs="Times New Roman" w:eastAsia="Times New Roman" w:hAnsi="Times New Roman"/>
          <w:sz w:val="16"/>
          <w:szCs w:val="16"/>
          <w:color w:val="auto"/>
        </w:rPr>
        <w:t>: Audit-related services consist of fees billed for assurance and related services that are reasonably related to the performance of the audit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review of our financial statements and are not reported under “Audit Fees”. These services include, among other things, providing comfort letters, consents and review of documents filed with the SEC, as well as attest services that are not required by statute or regulation and consultations concerning financial accounting and reporting standards.</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2" w:name="page143"/>
    <w:bookmarkEnd w:id="142"/>
    <w:p>
      <w:pPr>
        <w:ind w:right="18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Tax Services Fees</w:t>
      </w:r>
      <w:r>
        <w:rPr>
          <w:rFonts w:ascii="Times New Roman" w:cs="Times New Roman" w:eastAsia="Times New Roman" w:hAnsi="Times New Roman"/>
          <w:sz w:val="16"/>
          <w:szCs w:val="16"/>
          <w:color w:val="auto"/>
        </w:rPr>
        <w:t>: Tax services fees consist of fees billed for professional tax services. These services also include assistance regarding federal, state, and local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compliance.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All Other Fees</w:t>
      </w:r>
      <w:r>
        <w:rPr>
          <w:rFonts w:ascii="Times New Roman" w:cs="Times New Roman" w:eastAsia="Times New Roman" w:hAnsi="Times New Roman"/>
          <w:sz w:val="16"/>
          <w:szCs w:val="16"/>
          <w:color w:val="auto"/>
        </w:rPr>
        <w:t>: Other fees would include fees for products and services other than the services reported above.</w:t>
      </w:r>
    </w:p>
    <w:p>
      <w:pPr>
        <w:spacing w:after="0" w:line="94" w:lineRule="exact"/>
        <w:rPr>
          <w:sz w:val="20"/>
          <w:szCs w:val="20"/>
          <w:color w:val="auto"/>
        </w:rPr>
      </w:pPr>
    </w:p>
    <w:p>
      <w:pPr>
        <w:ind w:right="720" w:firstLine="228"/>
        <w:spacing w:after="0" w:line="259" w:lineRule="auto"/>
        <w:rPr>
          <w:sz w:val="20"/>
          <w:szCs w:val="20"/>
          <w:color w:val="auto"/>
        </w:rPr>
      </w:pPr>
      <w:r>
        <w:rPr>
          <w:rFonts w:ascii="Times New Roman" w:cs="Times New Roman" w:eastAsia="Times New Roman" w:hAnsi="Times New Roman"/>
          <w:sz w:val="16"/>
          <w:szCs w:val="16"/>
          <w:color w:val="auto"/>
        </w:rPr>
        <w:t>The Audit Committee of our Board operates under a written charter adopted by the Board. The Audit Committee is currently composed of Messrs. Doddy, Higginbotham, Tanemura, Hershey, and Ms. Slotkin.</w:t>
      </w:r>
    </w:p>
    <w:p>
      <w:pPr>
        <w:spacing w:after="0" w:line="5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Policy</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68"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Any requests for audit, audit-related, tax and other services that have not received general pre- 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with Management</w:t>
      </w:r>
    </w:p>
    <w:p>
      <w:pPr>
        <w:spacing w:after="0" w:line="94"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and Discussion with Independent Registered Public Accounting Firm</w:t>
      </w:r>
    </w:p>
    <w:p>
      <w:pPr>
        <w:spacing w:after="0" w:line="94" w:lineRule="exact"/>
        <w:rPr>
          <w:sz w:val="20"/>
          <w:szCs w:val="20"/>
          <w:color w:val="auto"/>
        </w:rPr>
      </w:pPr>
    </w:p>
    <w:p>
      <w:pPr>
        <w:jc w:val="both"/>
        <w:ind w:right="360" w:firstLine="228"/>
        <w:spacing w:after="0" w:line="243" w:lineRule="auto"/>
        <w:rPr>
          <w:sz w:val="20"/>
          <w:szCs w:val="20"/>
          <w:color w:val="auto"/>
        </w:rPr>
      </w:pPr>
      <w:r>
        <w:rPr>
          <w:rFonts w:ascii="Times New Roman" w:cs="Times New Roman" w:eastAsia="Times New Roman" w:hAnsi="Times New Roman"/>
          <w:sz w:val="16"/>
          <w:szCs w:val="16"/>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71" w:lineRule="exact"/>
        <w:rPr>
          <w:sz w:val="20"/>
          <w:szCs w:val="20"/>
          <w:color w:val="auto"/>
        </w:rPr>
      </w:pPr>
    </w:p>
    <w:p>
      <w:pPr>
        <w:ind w:right="40" w:firstLine="228"/>
        <w:spacing w:after="0" w:line="276" w:lineRule="auto"/>
        <w:rPr>
          <w:sz w:val="20"/>
          <w:szCs w:val="20"/>
          <w:color w:val="auto"/>
        </w:rPr>
      </w:pPr>
      <w:r>
        <w:rPr>
          <w:rFonts w:ascii="Times New Roman" w:cs="Times New Roman" w:eastAsia="Times New Roman" w:hAnsi="Times New Roman"/>
          <w:sz w:val="14"/>
          <w:szCs w:val="14"/>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i w:val="1"/>
          <w:iCs w:val="1"/>
          <w:color w:val="auto"/>
        </w:rPr>
        <w:t>Conclusion</w:t>
      </w:r>
    </w:p>
    <w:p>
      <w:pPr>
        <w:spacing w:after="0" w:line="9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Audit Committee also recommended the selection of KPMG LLP to serve as the independent registered public accounting firm for the year ended December 31, 2025.</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09" w:right="70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documents are filed as part of this Annual Report:</w:t>
      </w:r>
    </w:p>
    <w:p>
      <w:pPr>
        <w:spacing w:after="0" w:line="92" w:lineRule="exact"/>
        <w:rPr>
          <w:sz w:val="20"/>
          <w:szCs w:val="20"/>
          <w:color w:val="auto"/>
        </w:rPr>
      </w:pPr>
    </w:p>
    <w:p>
      <w:pPr>
        <w:ind w:left="280" w:right="240"/>
        <w:spacing w:after="0" w:line="259" w:lineRule="auto"/>
        <w:rPr>
          <w:sz w:val="20"/>
          <w:szCs w:val="20"/>
          <w:color w:val="auto"/>
        </w:rPr>
      </w:pPr>
      <w:r>
        <w:rPr>
          <w:rFonts w:ascii="Times New Roman" w:cs="Times New Roman" w:eastAsia="Times New Roman" w:hAnsi="Times New Roman"/>
          <w:sz w:val="16"/>
          <w:szCs w:val="16"/>
          <w:color w:val="auto"/>
        </w:rPr>
        <w:t>(1)Financial Statements—Financial statements are included in Item 8. See the Index to the consolidated financial statements on page F-1 of this annual report on Form 10-K.</w:t>
      </w:r>
    </w:p>
    <w:p>
      <w:pPr>
        <w:spacing w:after="0" w:line="59" w:lineRule="exact"/>
        <w:rPr>
          <w:sz w:val="20"/>
          <w:szCs w:val="20"/>
          <w:color w:val="auto"/>
        </w:rPr>
      </w:pPr>
    </w:p>
    <w:p>
      <w:pPr>
        <w:ind w:left="280" w:right="440"/>
        <w:spacing w:after="0" w:line="331" w:lineRule="auto"/>
        <w:rPr>
          <w:sz w:val="20"/>
          <w:szCs w:val="20"/>
          <w:color w:val="auto"/>
        </w:rPr>
      </w:pPr>
      <w:r>
        <w:rPr>
          <w:rFonts w:ascii="Times New Roman" w:cs="Times New Roman" w:eastAsia="Times New Roman" w:hAnsi="Times New Roman"/>
          <w:sz w:val="14"/>
          <w:szCs w:val="14"/>
          <w:color w:val="auto"/>
        </w:rPr>
        <w:t>(2)Financial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(3)Exhibits—The following is a list of all exhibits filed as a part of this annual report on Form 10-K, including those incorporated by reference.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w:t>
            </w:r>
          </w:p>
        </w:tc>
        <w:tc>
          <w:tcPr>
            <w:tcW w:w="9420" w:type="dxa"/>
            <w:vAlign w:val="bottom"/>
            <w:gridSpan w:val="22"/>
          </w:tcPr>
          <w:p>
            <w:pPr>
              <w:spacing w:after="0"/>
              <w:rPr>
                <w:rFonts w:ascii="Times New Roman" w:cs="Times New Roman" w:eastAsia="Times New Roman" w:hAnsi="Times New Roman"/>
                <w:sz w:val="16"/>
                <w:szCs w:val="16"/>
                <w:color w:val="0000FF"/>
                <w:w w:val="99"/>
              </w:rPr>
            </w:pPr>
            <w:hyperlink r:id="rId180">
              <w:r>
                <w:rPr>
                  <w:rFonts w:ascii="Times New Roman" w:cs="Times New Roman" w:eastAsia="Times New Roman" w:hAnsi="Times New Roman"/>
                  <w:sz w:val="16"/>
                  <w:szCs w:val="16"/>
                  <w:color w:val="0000FF"/>
                  <w:w w:val="99"/>
                </w:rPr>
                <w:t>Second Amended and Restated Declaration of Trust (incorporated by reference to Exhibit 3.1 to the Company’s Registration Statement on Form 10</w:t>
              </w:r>
            </w:hyperlink>
          </w:p>
        </w:tc>
      </w:tr>
      <w:tr>
        <w:trPr>
          <w:trHeight w:val="160"/>
        </w:trPr>
        <w:tc>
          <w:tcPr>
            <w:tcW w:w="1140" w:type="dxa"/>
            <w:vAlign w:val="bottom"/>
          </w:tcPr>
          <w:p>
            <w:pPr>
              <w:spacing w:after="0"/>
              <w:rPr>
                <w:sz w:val="13"/>
                <w:szCs w:val="13"/>
                <w:color w:val="auto"/>
              </w:rPr>
            </w:pPr>
          </w:p>
        </w:tc>
        <w:tc>
          <w:tcPr>
            <w:tcW w:w="162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7"/>
              </w:rPr>
            </w:pPr>
            <w:hyperlink r:id="rId180">
              <w:r>
                <w:rPr>
                  <w:rFonts w:ascii="Times New Roman" w:cs="Times New Roman" w:eastAsia="Times New Roman" w:hAnsi="Times New Roman"/>
                  <w:sz w:val="16"/>
                  <w:szCs w:val="16"/>
                  <w:color w:val="0000FF"/>
                  <w:w w:val="97"/>
                </w:rPr>
                <w:t>filed on August 22, 2022)</w:t>
              </w:r>
            </w:hyperlink>
          </w:p>
        </w:tc>
        <w:tc>
          <w:tcPr>
            <w:tcW w:w="7640" w:type="dxa"/>
            <w:vAlign w:val="bottom"/>
            <w:tcBorders>
              <w:top w:val="single" w:sz="8" w:color="0000EE"/>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4"/>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3.2</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Bylaws (incorporated by reference to Exhibit 3.2 to the Company’s Registration Statement on Form 10 filed on June 28, 2022)</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2"/>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4.1</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Form of Subscription Agreement (incorporated by reference to Exhibit 4.1 to the Company’s Registration Statement on Form 10 filed on June 28,</w:t>
              </w:r>
            </w:hyperlink>
          </w:p>
        </w:tc>
      </w:tr>
      <w:tr>
        <w:trPr>
          <w:trHeight w:val="160"/>
        </w:trPr>
        <w:tc>
          <w:tcPr>
            <w:tcW w:w="114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6"/>
              </w:rPr>
            </w:pPr>
            <w:hyperlink r:id="rId182">
              <w:r>
                <w:rPr>
                  <w:rFonts w:ascii="Times New Roman" w:cs="Times New Roman" w:eastAsia="Times New Roman" w:hAnsi="Times New Roman"/>
                  <w:sz w:val="16"/>
                  <w:szCs w:val="16"/>
                  <w:color w:val="0000FF"/>
                  <w:w w:val="96"/>
                </w:rPr>
                <w:t>2022)</w:t>
              </w:r>
            </w:hyperlink>
          </w:p>
        </w:tc>
        <w:tc>
          <w:tcPr>
            <w:tcW w:w="46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552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4"/>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4.2</w:t>
            </w:r>
          </w:p>
        </w:tc>
        <w:tc>
          <w:tcPr>
            <w:tcW w:w="8940" w:type="dxa"/>
            <w:vAlign w:val="bottom"/>
            <w:tcBorders>
              <w:bottom w:val="single" w:sz="8" w:color="0000EE"/>
            </w:tcBorders>
            <w:gridSpan w:val="15"/>
          </w:tcPr>
          <w:p>
            <w:pPr>
              <w:spacing w:after="0"/>
              <w:rPr>
                <w:rFonts w:ascii="Times New Roman" w:cs="Times New Roman" w:eastAsia="Times New Roman" w:hAnsi="Times New Roman"/>
                <w:sz w:val="16"/>
                <w:szCs w:val="16"/>
                <w:color w:val="0000FF"/>
                <w:w w:val="97"/>
              </w:rPr>
            </w:pPr>
            <w:hyperlink r:id="rId183">
              <w:r>
                <w:rPr>
                  <w:rFonts w:ascii="Times New Roman" w:cs="Times New Roman" w:eastAsia="Times New Roman" w:hAnsi="Times New Roman"/>
                  <w:sz w:val="16"/>
                  <w:szCs w:val="16"/>
                  <w:color w:val="0000FF"/>
                  <w:w w:val="97"/>
                </w:rPr>
                <w:t>Description of Securities (incorporated by reference to Exhibit 4.2 to the Company's Annual Report on Form 10-K filed on February 16, 2024)</w:t>
              </w:r>
            </w:hyperlink>
          </w:p>
        </w:tc>
        <w:tc>
          <w:tcPr>
            <w:tcW w:w="480" w:type="dxa"/>
            <w:vAlign w:val="bottom"/>
            <w:gridSpan w:val="7"/>
          </w:tcPr>
          <w:p>
            <w:pPr>
              <w:spacing w:after="0"/>
              <w:rPr>
                <w:sz w:val="24"/>
                <w:szCs w:val="24"/>
                <w:color w:val="auto"/>
              </w:rPr>
            </w:pPr>
          </w:p>
        </w:tc>
      </w:tr>
      <w:tr>
        <w:trPr>
          <w:trHeight w:val="352"/>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4.3</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Indenture, dated as of March 11, 2024, between Sixth Street Lending Partners and U.S. Bank Trust Company, National Association, as Trustee</w:t>
              </w:r>
            </w:hyperlink>
          </w:p>
        </w:tc>
      </w:tr>
      <w:tr>
        <w:trPr>
          <w:trHeight w:val="160"/>
        </w:trPr>
        <w:tc>
          <w:tcPr>
            <w:tcW w:w="1140" w:type="dxa"/>
            <w:vAlign w:val="bottom"/>
          </w:tcPr>
          <w:p>
            <w:pPr>
              <w:spacing w:after="0"/>
              <w:rPr>
                <w:sz w:val="13"/>
                <w:szCs w:val="13"/>
                <w:color w:val="auto"/>
              </w:rPr>
            </w:pPr>
          </w:p>
        </w:tc>
        <w:tc>
          <w:tcPr>
            <w:tcW w:w="71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r:id="rId184">
              <w:r>
                <w:rPr>
                  <w:rFonts w:ascii="Times New Roman" w:cs="Times New Roman" w:eastAsia="Times New Roman" w:hAnsi="Times New Roman"/>
                  <w:sz w:val="16"/>
                  <w:szCs w:val="16"/>
                  <w:color w:val="0000FF"/>
                  <w:w w:val="97"/>
                </w:rPr>
                <w:t>(incorporated by reference to Exhibit 4.1 to the Company’s Current Report on Form 8-K, filed on March 15, 2024)</w:t>
              </w:r>
            </w:hyperlink>
          </w:p>
        </w:tc>
        <w:tc>
          <w:tcPr>
            <w:tcW w:w="1800" w:type="dxa"/>
            <w:vAlign w:val="bottom"/>
            <w:tcBorders>
              <w:top w:val="single" w:sz="8" w:color="0000EE"/>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4"/>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4.4</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First Supplemental Indenture, dated as of March 11, 2024, between Sixth Street Lending Partners and U.S. Bank Trust Company, National</w:t>
              </w:r>
            </w:hyperlink>
          </w:p>
        </w:tc>
      </w:tr>
      <w:tr>
        <w:trPr>
          <w:trHeight w:val="160"/>
        </w:trPr>
        <w:tc>
          <w:tcPr>
            <w:tcW w:w="1140" w:type="dxa"/>
            <w:vAlign w:val="bottom"/>
          </w:tcPr>
          <w:p>
            <w:pPr>
              <w:spacing w:after="0"/>
              <w:rPr>
                <w:sz w:val="13"/>
                <w:szCs w:val="13"/>
                <w:color w:val="auto"/>
              </w:rPr>
            </w:pPr>
          </w:p>
        </w:tc>
        <w:tc>
          <w:tcPr>
            <w:tcW w:w="870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185">
              <w:r>
                <w:rPr>
                  <w:rFonts w:ascii="Times New Roman" w:cs="Times New Roman" w:eastAsia="Times New Roman" w:hAnsi="Times New Roman"/>
                  <w:sz w:val="16"/>
                  <w:szCs w:val="16"/>
                  <w:color w:val="0000FF"/>
                  <w:w w:val="97"/>
                </w:rPr>
                <w:t>Association, as Trustee (incorporated by reference to Exhibit 4.2 to the Company’s Current Report on Form 8-K, filed on March 15, 2024)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4.5</w:t>
            </w:r>
          </w:p>
        </w:tc>
        <w:tc>
          <w:tcPr>
            <w:tcW w:w="9420" w:type="dxa"/>
            <w:vAlign w:val="bottom"/>
            <w:gridSpan w:val="22"/>
          </w:tcPr>
          <w:p>
            <w:pPr>
              <w:spacing w:after="0"/>
              <w:rPr>
                <w:rFonts w:ascii="Times New Roman" w:cs="Times New Roman" w:eastAsia="Times New Roman" w:hAnsi="Times New Roman"/>
                <w:sz w:val="16"/>
                <w:szCs w:val="16"/>
                <w:color w:val="0000FF"/>
                <w:w w:val="98"/>
              </w:rPr>
            </w:pPr>
            <w:hyperlink r:id="rId185">
              <w:r>
                <w:rPr>
                  <w:rFonts w:ascii="Times New Roman" w:cs="Times New Roman" w:eastAsia="Times New Roman" w:hAnsi="Times New Roman"/>
                  <w:sz w:val="16"/>
                  <w:szCs w:val="16"/>
                  <w:color w:val="0000FF"/>
                  <w:w w:val="98"/>
                </w:rPr>
                <w:t>Form of 6.500% Notes Due 2029 (included in Exhibit 4.2 to the Company’s Current Report on Form 8-K, filed on March 15, 2024 and incorporated</w:t>
              </w:r>
            </w:hyperlink>
          </w:p>
        </w:tc>
      </w:tr>
      <w:tr>
        <w:trPr>
          <w:trHeight w:val="160"/>
        </w:trPr>
        <w:tc>
          <w:tcPr>
            <w:tcW w:w="1140" w:type="dxa"/>
            <w:vAlign w:val="bottom"/>
          </w:tcPr>
          <w:p>
            <w:pPr>
              <w:spacing w:after="0"/>
              <w:rPr>
                <w:sz w:val="13"/>
                <w:szCs w:val="13"/>
                <w:color w:val="auto"/>
              </w:rPr>
            </w:pPr>
          </w:p>
        </w:tc>
        <w:tc>
          <w:tcPr>
            <w:tcW w:w="8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185">
              <w:r>
                <w:rPr>
                  <w:rFonts w:ascii="Times New Roman" w:cs="Times New Roman" w:eastAsia="Times New Roman" w:hAnsi="Times New Roman"/>
                  <w:sz w:val="16"/>
                  <w:szCs w:val="16"/>
                  <w:color w:val="0000FF"/>
                  <w:w w:val="96"/>
                </w:rPr>
                <w:t>by reference)</w:t>
              </w:r>
            </w:hyperlink>
          </w:p>
        </w:tc>
        <w:tc>
          <w:tcPr>
            <w:tcW w:w="846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4.6</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Second Supplemental Indenture, dated as of June 17, 2024, between Sixth Street Lending Partners and U.S. Bank Trust Company, National</w:t>
              </w:r>
            </w:hyperlink>
          </w:p>
        </w:tc>
      </w:tr>
      <w:tr>
        <w:trPr>
          <w:trHeight w:val="160"/>
        </w:trPr>
        <w:tc>
          <w:tcPr>
            <w:tcW w:w="1140" w:type="dxa"/>
            <w:vAlign w:val="bottom"/>
          </w:tcPr>
          <w:p>
            <w:pPr>
              <w:spacing w:after="0"/>
              <w:rPr>
                <w:sz w:val="13"/>
                <w:szCs w:val="13"/>
                <w:color w:val="auto"/>
              </w:rPr>
            </w:pPr>
          </w:p>
        </w:tc>
        <w:tc>
          <w:tcPr>
            <w:tcW w:w="876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w w:val="99"/>
              </w:rPr>
            </w:pPr>
            <w:hyperlink r:id="rId186">
              <w:r>
                <w:rPr>
                  <w:rFonts w:ascii="Times New Roman" w:cs="Times New Roman" w:eastAsia="Times New Roman" w:hAnsi="Times New Roman"/>
                  <w:sz w:val="16"/>
                  <w:szCs w:val="16"/>
                  <w:color w:val="0000FF"/>
                  <w:w w:val="99"/>
                </w:rPr>
                <w:t>Association, as Trustee (incorporated by reference to Exhibit 4.3 to the Company’s Current Report on Form 8-K, filed on June 17, 2024)</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8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4.7</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Third Supplemental Indenture, dated as of September 16, 2024, between Sixth Street Lending Partners and U.S. Bank Trust Company, National</w:t>
              </w:r>
            </w:hyperlink>
          </w:p>
        </w:tc>
      </w:tr>
      <w:tr>
        <w:trPr>
          <w:trHeight w:val="160"/>
        </w:trPr>
        <w:tc>
          <w:tcPr>
            <w:tcW w:w="1140" w:type="dxa"/>
            <w:vAlign w:val="bottom"/>
          </w:tcPr>
          <w:p>
            <w:pPr>
              <w:spacing w:after="0"/>
              <w:rPr>
                <w:sz w:val="13"/>
                <w:szCs w:val="13"/>
                <w:color w:val="auto"/>
              </w:rPr>
            </w:pPr>
          </w:p>
        </w:tc>
        <w:tc>
          <w:tcPr>
            <w:tcW w:w="894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FF"/>
                <w:w w:val="97"/>
              </w:rPr>
            </w:pPr>
            <w:hyperlink r:id="rId187">
              <w:r>
                <w:rPr>
                  <w:rFonts w:ascii="Times New Roman" w:cs="Times New Roman" w:eastAsia="Times New Roman" w:hAnsi="Times New Roman"/>
                  <w:sz w:val="16"/>
                  <w:szCs w:val="16"/>
                  <w:color w:val="0000FF"/>
                  <w:w w:val="97"/>
                </w:rPr>
                <w:t>Association, as Trustee (incorporated by reference to Exhibit 4.2 to the Company’s Current Report on Form 8-K, filed on September 20, 2024)</w:t>
              </w:r>
            </w:hyperlink>
          </w:p>
        </w:tc>
        <w:tc>
          <w:tcPr>
            <w:tcW w:w="80" w:type="dxa"/>
            <w:vAlign w:val="bottom"/>
            <w:tcBorders>
              <w:top w:val="single" w:sz="8" w:color="0000EE"/>
            </w:tcBorders>
            <w:gridSpan w:val="2"/>
          </w:tcPr>
          <w:p>
            <w:pPr>
              <w:spacing w:after="0"/>
              <w:rPr>
                <w:sz w:val="13"/>
                <w:szCs w:val="13"/>
                <w:color w:val="auto"/>
              </w:rPr>
            </w:pPr>
          </w:p>
        </w:tc>
        <w:tc>
          <w:tcPr>
            <w:tcW w:w="3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4.8</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Form of 5.750% Note Due 2030 (included in Exhibit 4.2 to the Company’s Current Report on Form 8-K, filed on September 20, 2024 and</w:t>
              </w:r>
            </w:hyperlink>
          </w:p>
        </w:tc>
      </w:tr>
      <w:tr>
        <w:trPr>
          <w:trHeight w:val="160"/>
        </w:trPr>
        <w:tc>
          <w:tcPr>
            <w:tcW w:w="1140" w:type="dxa"/>
            <w:vAlign w:val="bottom"/>
          </w:tcPr>
          <w:p>
            <w:pPr>
              <w:spacing w:after="0"/>
              <w:rPr>
                <w:sz w:val="13"/>
                <w:szCs w:val="13"/>
                <w:color w:val="auto"/>
              </w:rPr>
            </w:pPr>
          </w:p>
        </w:tc>
        <w:tc>
          <w:tcPr>
            <w:tcW w:w="16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r:id="rId187">
              <w:r>
                <w:rPr>
                  <w:rFonts w:ascii="Times New Roman" w:cs="Times New Roman" w:eastAsia="Times New Roman" w:hAnsi="Times New Roman"/>
                  <w:sz w:val="16"/>
                  <w:szCs w:val="16"/>
                  <w:color w:val="0000FF"/>
                  <w:w w:val="96"/>
                </w:rPr>
                <w:t>incorporated by reference)</w:t>
              </w:r>
            </w:hyperlink>
          </w:p>
        </w:tc>
        <w:tc>
          <w:tcPr>
            <w:tcW w:w="7020" w:type="dxa"/>
            <w:vAlign w:val="bottom"/>
            <w:tcBorders>
              <w:top w:val="single" w:sz="8" w:color="0000EE"/>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4.9</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Fourth Supplemental Indenture, dated as of January 13, 2025, between Sixth Street Lending Partners and U.S. Bank Trust Company, National</w:t>
              </w:r>
            </w:hyperlink>
          </w:p>
        </w:tc>
      </w:tr>
      <w:tr>
        <w:trPr>
          <w:trHeight w:val="160"/>
        </w:trPr>
        <w:tc>
          <w:tcPr>
            <w:tcW w:w="1140" w:type="dxa"/>
            <w:vAlign w:val="bottom"/>
          </w:tcPr>
          <w:p>
            <w:pPr>
              <w:spacing w:after="0"/>
              <w:rPr>
                <w:sz w:val="13"/>
                <w:szCs w:val="13"/>
                <w:color w:val="auto"/>
              </w:rPr>
            </w:pPr>
          </w:p>
        </w:tc>
        <w:tc>
          <w:tcPr>
            <w:tcW w:w="89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9"/>
              </w:rPr>
            </w:pPr>
            <w:hyperlink r:id="rId188">
              <w:r>
                <w:rPr>
                  <w:rFonts w:ascii="Times New Roman" w:cs="Times New Roman" w:eastAsia="Times New Roman" w:hAnsi="Times New Roman"/>
                  <w:sz w:val="16"/>
                  <w:szCs w:val="16"/>
                  <w:color w:val="0000FF"/>
                  <w:w w:val="99"/>
                </w:rPr>
                <w:t>Association, as Trustee (incorporated by reference to Exhibit 4.2 to the Company’s Current Report on Form 8-K, filed on January 17, 2025)</w:t>
              </w:r>
            </w:hyperlink>
          </w:p>
        </w:tc>
        <w:tc>
          <w:tcPr>
            <w:tcW w:w="40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74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4.10</w:t>
            </w:r>
          </w:p>
        </w:tc>
        <w:tc>
          <w:tcPr>
            <w:tcW w:w="9420" w:type="dxa"/>
            <w:vAlign w:val="bottom"/>
            <w:gridSpan w:val="22"/>
          </w:tcPr>
          <w:p>
            <w:pPr>
              <w:spacing w:after="0"/>
              <w:rPr>
                <w:rFonts w:ascii="Times New Roman" w:cs="Times New Roman" w:eastAsia="Times New Roman" w:hAnsi="Times New Roman"/>
                <w:sz w:val="16"/>
                <w:szCs w:val="16"/>
                <w:color w:val="0000FF"/>
                <w:w w:val="98"/>
              </w:rPr>
            </w:pPr>
            <w:hyperlink r:id="rId188">
              <w:r>
                <w:rPr>
                  <w:rFonts w:ascii="Times New Roman" w:cs="Times New Roman" w:eastAsia="Times New Roman" w:hAnsi="Times New Roman"/>
                  <w:sz w:val="16"/>
                  <w:szCs w:val="16"/>
                  <w:color w:val="0000FF"/>
                  <w:w w:val="98"/>
                </w:rPr>
                <w:t>Form of 6.125% Note Due 2030 (included in Exhibit 4.2 to the Company’s Current Report on Form 8-K, filed on January 17, 2025 and incorporated</w:t>
              </w:r>
            </w:hyperlink>
          </w:p>
        </w:tc>
      </w:tr>
      <w:tr>
        <w:trPr>
          <w:trHeight w:val="160"/>
        </w:trPr>
        <w:tc>
          <w:tcPr>
            <w:tcW w:w="1140" w:type="dxa"/>
            <w:vAlign w:val="bottom"/>
          </w:tcPr>
          <w:p>
            <w:pPr>
              <w:spacing w:after="0"/>
              <w:rPr>
                <w:sz w:val="13"/>
                <w:szCs w:val="13"/>
                <w:color w:val="auto"/>
              </w:rPr>
            </w:pPr>
          </w:p>
        </w:tc>
        <w:tc>
          <w:tcPr>
            <w:tcW w:w="8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188">
              <w:r>
                <w:rPr>
                  <w:rFonts w:ascii="Times New Roman" w:cs="Times New Roman" w:eastAsia="Times New Roman" w:hAnsi="Times New Roman"/>
                  <w:sz w:val="16"/>
                  <w:szCs w:val="16"/>
                  <w:color w:val="0000FF"/>
                  <w:w w:val="96"/>
                </w:rPr>
                <w:t>by reference)</w:t>
              </w:r>
            </w:hyperlink>
          </w:p>
        </w:tc>
        <w:tc>
          <w:tcPr>
            <w:tcW w:w="8480" w:type="dxa"/>
            <w:vAlign w:val="bottom"/>
            <w:tcBorders>
              <w:top w:val="single" w:sz="8" w:color="0000EE"/>
            </w:tcBorders>
            <w:gridSpan w:val="19"/>
          </w:tcPr>
          <w:p>
            <w:pPr>
              <w:spacing w:after="0"/>
              <w:rPr>
                <w:sz w:val="13"/>
                <w:szCs w:val="13"/>
                <w:color w:val="auto"/>
              </w:rPr>
            </w:pPr>
          </w:p>
        </w:tc>
        <w:tc>
          <w:tcPr>
            <w:tcW w:w="100" w:type="dxa"/>
            <w:vAlign w:val="bottom"/>
          </w:tcPr>
          <w:p>
            <w:pPr>
              <w:spacing w:after="0"/>
              <w:rPr>
                <w:sz w:val="13"/>
                <w:szCs w:val="13"/>
                <w:color w:val="auto"/>
              </w:rPr>
            </w:pPr>
          </w:p>
        </w:tc>
      </w:tr>
      <w:tr>
        <w:trPr>
          <w:trHeight w:val="340"/>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10.1</w:t>
            </w:r>
          </w:p>
        </w:tc>
        <w:tc>
          <w:tcPr>
            <w:tcW w:w="9420" w:type="dxa"/>
            <w:vAlign w:val="bottom"/>
            <w:gridSpan w:val="22"/>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Advisory Agreement (incorporated by reference to Exhibit 10.1 to the Company’s Registration Statement on Form 10 filed on June 28, 2022)</w:t>
              </w:r>
            </w:hyperlink>
          </w:p>
        </w:tc>
      </w:tr>
      <w:tr>
        <w:trPr>
          <w:trHeight w:val="770"/>
        </w:trPr>
        <w:tc>
          <w:tcPr>
            <w:tcW w:w="1140" w:type="dxa"/>
            <w:vAlign w:val="bottom"/>
          </w:tcPr>
          <w:p>
            <w:pPr>
              <w:spacing w:after="0"/>
              <w:rPr>
                <w:sz w:val="24"/>
                <w:szCs w:val="24"/>
                <w:color w:val="auto"/>
              </w:rPr>
            </w:pPr>
          </w:p>
        </w:tc>
        <w:tc>
          <w:tcPr>
            <w:tcW w:w="7180" w:type="dxa"/>
            <w:vAlign w:val="bottom"/>
            <w:tcBorders>
              <w:top w:val="single" w:sz="8" w:color="0000EE"/>
            </w:tcBorders>
            <w:gridSpan w:val="5"/>
          </w:tcPr>
          <w:p>
            <w:pPr>
              <w:ind w:left="4020"/>
              <w:spacing w:after="0"/>
              <w:rPr>
                <w:sz w:val="20"/>
                <w:szCs w:val="20"/>
                <w:color w:val="auto"/>
              </w:rPr>
            </w:pPr>
            <w:r>
              <w:rPr>
                <w:rFonts w:ascii="Times New Roman" w:cs="Times New Roman" w:eastAsia="Times New Roman" w:hAnsi="Times New Roman"/>
                <w:sz w:val="16"/>
                <w:szCs w:val="16"/>
                <w:color w:val="auto"/>
              </w:rPr>
              <w:t>104</w:t>
            </w: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4"/>
        </w:trPr>
        <w:tc>
          <w:tcPr>
            <w:tcW w:w="11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552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922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7"/>
              </w:rPr>
            </w:pPr>
            <w:hyperlink r:id="rId191">
              <w:r>
                <w:rPr>
                  <w:rFonts w:ascii="Times New Roman" w:cs="Times New Roman" w:eastAsia="Times New Roman" w:hAnsi="Times New Roman"/>
                  <w:sz w:val="16"/>
                  <w:szCs w:val="16"/>
                  <w:color w:val="0000FF"/>
                  <w:w w:val="97"/>
                </w:rPr>
                <w:t>Administration Agreement (incorporated by reference to Exhibit 10.2 to the Company’s Registration Statement on Form 10 filed on June 28, 2022)</w:t>
              </w:r>
            </w:hyperlink>
          </w:p>
        </w:tc>
        <w:tc>
          <w:tcPr>
            <w:tcW w:w="120" w:type="dxa"/>
            <w:vAlign w:val="bottom"/>
            <w:gridSpan w:val="6"/>
          </w:tcPr>
          <w:p>
            <w:pPr>
              <w:spacing w:after="0"/>
              <w:rPr>
                <w:sz w:val="16"/>
                <w:szCs w:val="16"/>
                <w:color w:val="auto"/>
              </w:rPr>
            </w:pPr>
          </w:p>
        </w:tc>
      </w:tr>
      <w:tr>
        <w:trPr>
          <w:trHeight w:val="53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34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192">
              <w:r>
                <w:rPr>
                  <w:rFonts w:ascii="Times New Roman" w:cs="Times New Roman" w:eastAsia="Times New Roman" w:hAnsi="Times New Roman"/>
                  <w:sz w:val="16"/>
                  <w:szCs w:val="16"/>
                  <w:color w:val="0000FF"/>
                  <w:w w:val="97"/>
                </w:rPr>
                <w:t>Trademark and License Agreement (incorporated by reference to Exhibit 10.3 to the Company’s Registration Statement on Form 10 filed on June 28,</w:t>
              </w:r>
            </w:hyperlink>
          </w:p>
        </w:tc>
      </w:tr>
      <w:tr>
        <w:trPr>
          <w:trHeight w:val="160"/>
        </w:trPr>
        <w:tc>
          <w:tcPr>
            <w:tcW w:w="1040" w:type="dxa"/>
            <w:vAlign w:val="bottom"/>
          </w:tcPr>
          <w:p>
            <w:pPr>
              <w:spacing w:after="0"/>
              <w:rPr>
                <w:sz w:val="13"/>
                <w:szCs w:val="13"/>
                <w:color w:val="auto"/>
              </w:rPr>
            </w:pPr>
          </w:p>
        </w:tc>
        <w:tc>
          <w:tcPr>
            <w:tcW w:w="38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FF"/>
                <w:w w:val="96"/>
              </w:rPr>
            </w:pPr>
            <w:hyperlink r:id="rId192">
              <w:r>
                <w:rPr>
                  <w:rFonts w:ascii="Times New Roman" w:cs="Times New Roman" w:eastAsia="Times New Roman" w:hAnsi="Times New Roman"/>
                  <w:sz w:val="16"/>
                  <w:szCs w:val="16"/>
                  <w:color w:val="0000FF"/>
                  <w:w w:val="96"/>
                </w:rPr>
                <w:t>2022)</w:t>
              </w:r>
            </w:hyperlink>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34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193">
              <w:r>
                <w:rPr>
                  <w:rFonts w:ascii="Times New Roman" w:cs="Times New Roman" w:eastAsia="Times New Roman" w:hAnsi="Times New Roman"/>
                  <w:sz w:val="16"/>
                  <w:szCs w:val="16"/>
                  <w:color w:val="0000FF"/>
                  <w:w w:val="97"/>
                </w:rPr>
                <w:t>Dividend Reinvestment Plan (incorporated by reference to Exhibit 10.4 to the Company’s Registration Statement on Form 10 filed on June 28, 2022)</w:t>
              </w:r>
            </w:hyperlink>
          </w:p>
        </w:tc>
      </w:tr>
      <w:tr>
        <w:trPr>
          <w:trHeight w:val="54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934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194">
              <w:r>
                <w:rPr>
                  <w:rFonts w:ascii="Times New Roman" w:cs="Times New Roman" w:eastAsia="Times New Roman" w:hAnsi="Times New Roman"/>
                  <w:sz w:val="16"/>
                  <w:szCs w:val="16"/>
                  <w:color w:val="0000FF"/>
                  <w:w w:val="97"/>
                </w:rPr>
                <w:t>Expense Support and Conditional Reimbursement Agreement (incorporated by reference to Exhibit 10.5 to the Company’s Registration Statement on</w:t>
              </w:r>
            </w:hyperlink>
          </w:p>
        </w:tc>
      </w:tr>
      <w:tr>
        <w:trPr>
          <w:trHeight w:val="160"/>
        </w:trPr>
        <w:tc>
          <w:tcPr>
            <w:tcW w:w="1040" w:type="dxa"/>
            <w:vAlign w:val="bottom"/>
          </w:tcPr>
          <w:p>
            <w:pPr>
              <w:spacing w:after="0"/>
              <w:rPr>
                <w:sz w:val="13"/>
                <w:szCs w:val="13"/>
                <w:color w:val="auto"/>
              </w:rPr>
            </w:pPr>
          </w:p>
        </w:tc>
        <w:tc>
          <w:tcPr>
            <w:tcW w:w="9340" w:type="dxa"/>
            <w:vAlign w:val="bottom"/>
            <w:gridSpan w:val="19"/>
          </w:tcPr>
          <w:p>
            <w:pPr>
              <w:spacing w:after="0" w:line="160"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Form 10 filed on June 28, 2022)</w:t>
              </w:r>
            </w:hyperlink>
          </w:p>
        </w:tc>
      </w:tr>
      <w:tr>
        <w:trPr>
          <w:trHeight w:val="20"/>
        </w:trPr>
        <w:tc>
          <w:tcPr>
            <w:tcW w:w="10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934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195">
              <w:r>
                <w:rPr>
                  <w:rFonts w:ascii="Times New Roman" w:cs="Times New Roman" w:eastAsia="Times New Roman" w:hAnsi="Times New Roman"/>
                  <w:sz w:val="16"/>
                  <w:szCs w:val="16"/>
                  <w:color w:val="0000FF"/>
                  <w:w w:val="97"/>
                </w:rPr>
                <w:t>Fund of Funds Agreement (incorporated by reference to Exhibit 10.6 to the Company’s Registration Statement on Form 10 filed on August 22, 2022)</w:t>
              </w:r>
            </w:hyperlink>
          </w:p>
        </w:tc>
      </w:tr>
      <w:tr>
        <w:trPr>
          <w:trHeight w:val="53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918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r:id="rId196">
              <w:r>
                <w:rPr>
                  <w:rFonts w:ascii="Times New Roman" w:cs="Times New Roman" w:eastAsia="Times New Roman" w:hAnsi="Times New Roman"/>
                  <w:sz w:val="16"/>
                  <w:szCs w:val="16"/>
                  <w:color w:val="0000FF"/>
                  <w:w w:val="97"/>
                </w:rPr>
                <w:t>Senior Secured Revolving Credit Agreement, dated January 19, 2023, between Sixth Street Lending Partners, the Lenders and Issuing Banks party</w:t>
              </w:r>
            </w:hyperlink>
          </w:p>
        </w:tc>
        <w:tc>
          <w:tcPr>
            <w:tcW w:w="160" w:type="dxa"/>
            <w:vAlign w:val="bottom"/>
            <w:gridSpan w:val="7"/>
          </w:tcPr>
          <w:p>
            <w:pPr>
              <w:spacing w:after="0"/>
              <w:rPr>
                <w:sz w:val="24"/>
                <w:szCs w:val="24"/>
                <w:color w:val="auto"/>
              </w:rPr>
            </w:pPr>
          </w:p>
        </w:tc>
      </w:tr>
      <w:tr>
        <w:trPr>
          <w:trHeight w:val="160"/>
        </w:trPr>
        <w:tc>
          <w:tcPr>
            <w:tcW w:w="1040" w:type="dxa"/>
            <w:vAlign w:val="bottom"/>
          </w:tcPr>
          <w:p>
            <w:pPr>
              <w:spacing w:after="0"/>
              <w:rPr>
                <w:sz w:val="13"/>
                <w:szCs w:val="13"/>
                <w:color w:val="auto"/>
              </w:rPr>
            </w:pPr>
          </w:p>
        </w:tc>
        <w:tc>
          <w:tcPr>
            <w:tcW w:w="9340" w:type="dxa"/>
            <w:vAlign w:val="bottom"/>
            <w:gridSpan w:val="19"/>
          </w:tcPr>
          <w:p>
            <w:pPr>
              <w:spacing w:after="0" w:line="160" w:lineRule="exact"/>
              <w:rPr>
                <w:rFonts w:ascii="Times New Roman" w:cs="Times New Roman" w:eastAsia="Times New Roman" w:hAnsi="Times New Roman"/>
                <w:sz w:val="16"/>
                <w:szCs w:val="16"/>
                <w:color w:val="0000FF"/>
                <w:w w:val="98"/>
              </w:rPr>
            </w:pPr>
            <w:hyperlink r:id="rId196">
              <w:r>
                <w:rPr>
                  <w:rFonts w:ascii="Times New Roman" w:cs="Times New Roman" w:eastAsia="Times New Roman" w:hAnsi="Times New Roman"/>
                  <w:sz w:val="16"/>
                  <w:szCs w:val="16"/>
                  <w:color w:val="0000FF"/>
                  <w:w w:val="98"/>
                </w:rPr>
                <w:t>thereto and Truist Bank as Administrative Agent. (incorporated by reference to Exhibit 10.1 to the Company’s Current Report on Form 8-K filed on</w:t>
              </w:r>
            </w:hyperlink>
          </w:p>
        </w:tc>
      </w:tr>
      <w:tr>
        <w:trPr>
          <w:trHeight w:val="160"/>
        </w:trPr>
        <w:tc>
          <w:tcPr>
            <w:tcW w:w="1040" w:type="dxa"/>
            <w:vAlign w:val="bottom"/>
          </w:tcPr>
          <w:p>
            <w:pPr>
              <w:spacing w:after="0"/>
              <w:rPr>
                <w:sz w:val="13"/>
                <w:szCs w:val="13"/>
                <w:color w:val="auto"/>
              </w:rPr>
            </w:pPr>
          </w:p>
        </w:tc>
        <w:tc>
          <w:tcPr>
            <w:tcW w:w="93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January 24,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9340" w:type="dxa"/>
            <w:vAlign w:val="bottom"/>
            <w:gridSpan w:val="19"/>
          </w:tcPr>
          <w:p>
            <w:pPr>
              <w:spacing w:after="0"/>
              <w:rPr>
                <w:rFonts w:ascii="Times New Roman" w:cs="Times New Roman" w:eastAsia="Times New Roman" w:hAnsi="Times New Roman"/>
                <w:sz w:val="16"/>
                <w:szCs w:val="16"/>
                <w:color w:val="0000FF"/>
                <w:w w:val="98"/>
              </w:rPr>
            </w:pPr>
            <w:hyperlink r:id="rId197">
              <w:r>
                <w:rPr>
                  <w:rFonts w:ascii="Times New Roman" w:cs="Times New Roman" w:eastAsia="Times New Roman" w:hAnsi="Times New Roman"/>
                  <w:sz w:val="16"/>
                  <w:szCs w:val="16"/>
                  <w:color w:val="0000FF"/>
                  <w:w w:val="98"/>
                </w:rPr>
                <w:t>First Amendment to Senior Secured Revolving Credit Agreement, dated as of February 8, 2024, among Sixth Street Lending Partners, as Borrower,</w:t>
              </w:r>
            </w:hyperlink>
          </w:p>
        </w:tc>
      </w:tr>
      <w:tr>
        <w:trPr>
          <w:trHeight w:val="160"/>
        </w:trPr>
        <w:tc>
          <w:tcPr>
            <w:tcW w:w="1040" w:type="dxa"/>
            <w:vAlign w:val="bottom"/>
          </w:tcPr>
          <w:p>
            <w:pPr>
              <w:spacing w:after="0"/>
              <w:rPr>
                <w:sz w:val="13"/>
                <w:szCs w:val="13"/>
                <w:color w:val="auto"/>
              </w:rPr>
            </w:pPr>
          </w:p>
        </w:tc>
        <w:tc>
          <w:tcPr>
            <w:tcW w:w="92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w w:val="97"/>
              </w:rPr>
            </w:pPr>
            <w:hyperlink r:id="rId197">
              <w:r>
                <w:rPr>
                  <w:rFonts w:ascii="Times New Roman" w:cs="Times New Roman" w:eastAsia="Times New Roman" w:hAnsi="Times New Roman"/>
                  <w:sz w:val="16"/>
                  <w:szCs w:val="16"/>
                  <w:color w:val="0000FF"/>
                  <w:w w:val="97"/>
                </w:rPr>
                <w:t>the Lenders and Issuing Banks party thereto and Truist Bank, as Administrative Agent (incorporated by reference to the Registrant’s Current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40" w:type="dxa"/>
            <w:vAlign w:val="bottom"/>
          </w:tcPr>
          <w:p>
            <w:pPr>
              <w:spacing w:after="0"/>
              <w:rPr>
                <w:sz w:val="13"/>
                <w:szCs w:val="13"/>
                <w:color w:val="auto"/>
              </w:rPr>
            </w:pPr>
          </w:p>
        </w:tc>
        <w:tc>
          <w:tcPr>
            <w:tcW w:w="93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on Form 8-K, filed on February 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9340" w:type="dxa"/>
            <w:vAlign w:val="bottom"/>
            <w:gridSpan w:val="19"/>
          </w:tcPr>
          <w:p>
            <w:pPr>
              <w:spacing w:after="0"/>
              <w:rPr>
                <w:rFonts w:ascii="Times New Roman" w:cs="Times New Roman" w:eastAsia="Times New Roman" w:hAnsi="Times New Roman"/>
                <w:sz w:val="16"/>
                <w:szCs w:val="16"/>
                <w:color w:val="0000FF"/>
                <w:w w:val="99"/>
              </w:rPr>
            </w:pPr>
            <w:hyperlink r:id="rId198">
              <w:r>
                <w:rPr>
                  <w:rFonts w:ascii="Times New Roman" w:cs="Times New Roman" w:eastAsia="Times New Roman" w:hAnsi="Times New Roman"/>
                  <w:sz w:val="16"/>
                  <w:szCs w:val="16"/>
                  <w:color w:val="0000FF"/>
                  <w:w w:val="99"/>
                </w:rPr>
                <w:t>Third Amendment to Senior Secured Revolving Credit Agreement, dated as of March 4, 2025, among Sixth Street Lending Partners, as Borrower,</w:t>
              </w:r>
            </w:hyperlink>
          </w:p>
        </w:tc>
      </w:tr>
      <w:tr>
        <w:trPr>
          <w:trHeight w:val="160"/>
        </w:trPr>
        <w:tc>
          <w:tcPr>
            <w:tcW w:w="1040" w:type="dxa"/>
            <w:vAlign w:val="bottom"/>
          </w:tcPr>
          <w:p>
            <w:pPr>
              <w:spacing w:after="0"/>
              <w:rPr>
                <w:sz w:val="13"/>
                <w:szCs w:val="13"/>
                <w:color w:val="auto"/>
              </w:rPr>
            </w:pPr>
          </w:p>
        </w:tc>
        <w:tc>
          <w:tcPr>
            <w:tcW w:w="91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6"/>
              </w:rPr>
            </w:pPr>
            <w:hyperlink r:id="rId198">
              <w:r>
                <w:rPr>
                  <w:rFonts w:ascii="Times New Roman" w:cs="Times New Roman" w:eastAsia="Times New Roman" w:hAnsi="Times New Roman"/>
                  <w:sz w:val="16"/>
                  <w:szCs w:val="16"/>
                  <w:color w:val="0000FF"/>
                  <w:w w:val="96"/>
                </w:rPr>
                <w:t>the Lenders and Issuing Banks party thereto and Truist Bank, as Administrative Agent (incorporated by reference to Exhibit 10.1 to the Company’s</w:t>
              </w:r>
            </w:hyperlink>
          </w:p>
        </w:tc>
        <w:tc>
          <w:tcPr>
            <w:tcW w:w="80" w:type="dxa"/>
            <w:vAlign w:val="bottom"/>
            <w:tcBorders>
              <w:bottom w:val="single" w:sz="8" w:color="0000EE"/>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40" w:type="dxa"/>
            <w:vAlign w:val="bottom"/>
          </w:tcPr>
          <w:p>
            <w:pPr>
              <w:spacing w:after="0"/>
              <w:rPr>
                <w:sz w:val="13"/>
                <w:szCs w:val="13"/>
                <w:color w:val="auto"/>
              </w:rPr>
            </w:pPr>
          </w:p>
        </w:tc>
        <w:tc>
          <w:tcPr>
            <w:tcW w:w="9240" w:type="dxa"/>
            <w:vAlign w:val="bottom"/>
            <w:gridSpan w:val="14"/>
          </w:tcPr>
          <w:p>
            <w:pPr>
              <w:spacing w:after="0" w:line="160"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Quarterly Report on Form 10-Q filed on May 2, 2025)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9340" w:type="dxa"/>
            <w:vAlign w:val="bottom"/>
            <w:gridSpan w:val="19"/>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Fourth Amendment to Senior Secured Credit Agreement, dated as of September 23, 2025, among Sixth Street Lending Partners, as Borrower, the</w:t>
              </w:r>
            </w:hyperlink>
          </w:p>
        </w:tc>
      </w:tr>
      <w:tr>
        <w:trPr>
          <w:trHeight w:val="160"/>
        </w:trPr>
        <w:tc>
          <w:tcPr>
            <w:tcW w:w="1040" w:type="dxa"/>
            <w:vAlign w:val="bottom"/>
          </w:tcPr>
          <w:p>
            <w:pPr>
              <w:spacing w:after="0"/>
              <w:rPr>
                <w:sz w:val="13"/>
                <w:szCs w:val="13"/>
                <w:color w:val="auto"/>
              </w:rPr>
            </w:pPr>
          </w:p>
        </w:tc>
        <w:tc>
          <w:tcPr>
            <w:tcW w:w="91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Lenders and Issuing Banks party thereto and Truist Bank, as Administrative Agent (incorporated by reference to Exhibit 10.1 to the Company's</w:t>
              </w:r>
            </w:hyperlink>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40" w:type="dxa"/>
            <w:vAlign w:val="bottom"/>
          </w:tcPr>
          <w:p>
            <w:pPr>
              <w:spacing w:after="0"/>
              <w:rPr>
                <w:sz w:val="13"/>
                <w:szCs w:val="13"/>
                <w:color w:val="auto"/>
              </w:rPr>
            </w:pPr>
          </w:p>
        </w:tc>
        <w:tc>
          <w:tcPr>
            <w:tcW w:w="382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199">
              <w:r>
                <w:rPr>
                  <w:rFonts w:ascii="Times New Roman" w:cs="Times New Roman" w:eastAsia="Times New Roman" w:hAnsi="Times New Roman"/>
                  <w:sz w:val="16"/>
                  <w:szCs w:val="16"/>
                  <w:color w:val="0000FF"/>
                  <w:w w:val="97"/>
                </w:rPr>
                <w:t>Quarterly Report on Form 10-Q, filed on November 5, 2025)</w:t>
              </w:r>
            </w:hyperlink>
          </w:p>
        </w:tc>
        <w:tc>
          <w:tcPr>
            <w:tcW w:w="5180" w:type="dxa"/>
            <w:vAlign w:val="bottom"/>
            <w:tcBorders>
              <w:top w:val="single" w:sz="8" w:color="0000EE"/>
            </w:tcBorders>
          </w:tcPr>
          <w:p>
            <w:pPr>
              <w:spacing w:after="0"/>
              <w:rPr>
                <w:sz w:val="13"/>
                <w:szCs w:val="13"/>
                <w:color w:val="auto"/>
              </w:rPr>
            </w:pPr>
          </w:p>
        </w:tc>
        <w:tc>
          <w:tcPr>
            <w:tcW w:w="2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4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9340" w:type="dxa"/>
            <w:vAlign w:val="bottom"/>
            <w:gridSpan w:val="19"/>
          </w:tcPr>
          <w:p>
            <w:pPr>
              <w:spacing w:after="0"/>
              <w:rPr>
                <w:rFonts w:ascii="Times New Roman" w:cs="Times New Roman" w:eastAsia="Times New Roman" w:hAnsi="Times New Roman"/>
                <w:sz w:val="16"/>
                <w:szCs w:val="16"/>
                <w:color w:val="0000FF"/>
                <w:w w:val="98"/>
              </w:rPr>
            </w:pPr>
            <w:hyperlink r:id="rId200">
              <w:r>
                <w:rPr>
                  <w:rFonts w:ascii="Times New Roman" w:cs="Times New Roman" w:eastAsia="Times New Roman" w:hAnsi="Times New Roman"/>
                  <w:sz w:val="16"/>
                  <w:szCs w:val="16"/>
                  <w:color w:val="0000FF"/>
                  <w:w w:val="98"/>
                </w:rPr>
                <w:t>Statement of Policy on Insider Trading for Sixth Street Lending Partners (incorporated by reference to Exhibit 19.1 to the Company's Annual report</w:t>
              </w:r>
            </w:hyperlink>
          </w:p>
        </w:tc>
      </w:tr>
      <w:tr>
        <w:trPr>
          <w:trHeight w:val="160"/>
        </w:trPr>
        <w:tc>
          <w:tcPr>
            <w:tcW w:w="1040" w:type="dxa"/>
            <w:vAlign w:val="bottom"/>
          </w:tcPr>
          <w:p>
            <w:pPr>
              <w:spacing w:after="0"/>
              <w:rPr>
                <w:sz w:val="13"/>
                <w:szCs w:val="13"/>
                <w:color w:val="auto"/>
              </w:rPr>
            </w:pPr>
          </w:p>
        </w:tc>
        <w:tc>
          <w:tcPr>
            <w:tcW w:w="266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r:id="rId200">
              <w:r>
                <w:rPr>
                  <w:rFonts w:ascii="Times New Roman" w:cs="Times New Roman" w:eastAsia="Times New Roman" w:hAnsi="Times New Roman"/>
                  <w:sz w:val="16"/>
                  <w:szCs w:val="16"/>
                  <w:color w:val="0000FF"/>
                  <w:w w:val="97"/>
                </w:rPr>
                <w:t>on Form 10-K filed on February 14, 2025)</w:t>
              </w:r>
            </w:hyperlink>
          </w:p>
        </w:tc>
        <w:tc>
          <w:tcPr>
            <w:tcW w:w="6620" w:type="dxa"/>
            <w:vAlign w:val="bottom"/>
            <w:tcBorders>
              <w:top w:val="single" w:sz="8" w:color="0000EE"/>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5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82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Subsidiaries of Sixth Street Lending Partners</w:t>
              </w:r>
            </w:hyperlink>
          </w:p>
        </w:tc>
        <w:tc>
          <w:tcPr>
            <w:tcW w:w="6520" w:type="dxa"/>
            <w:vAlign w:val="bottom"/>
            <w:gridSpan w:val="13"/>
          </w:tcPr>
          <w:p>
            <w:pPr>
              <w:spacing w:after="0"/>
              <w:rPr>
                <w:sz w:val="24"/>
                <w:szCs w:val="24"/>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40" w:type="dxa"/>
            <w:vAlign w:val="bottom"/>
            <w:gridSpan w:val="19"/>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r>
      <w:tr>
        <w:trPr>
          <w:trHeight w:val="35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30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-4702175</wp:posOffset>
            </wp:positionV>
            <wp:extent cx="76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6593205</wp:posOffset>
            </wp:positionH>
            <wp:positionV relativeFrom="paragraph">
              <wp:posOffset>-3985895</wp:posOffset>
            </wp:positionV>
            <wp:extent cx="762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363" w:lineRule="exact"/>
        <w:rPr>
          <w:sz w:val="20"/>
          <w:szCs w:val="20"/>
          <w:color w:val="auto"/>
        </w:rPr>
      </w:pPr>
    </w:p>
    <w:p>
      <w:pPr>
        <w:ind w:left="1050" w:hanging="1050"/>
        <w:spacing w:after="0"/>
        <w:tabs>
          <w:tab w:leader="none" w:pos="1050" w:val="left"/>
        </w:tabs>
        <w:numPr>
          <w:ilvl w:val="0"/>
          <w:numId w:val="16"/>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-8890</wp:posOffset>
            </wp:positionV>
            <wp:extent cx="55486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5548630" cy="7620"/>
                    </a:xfrm>
                    <a:prstGeom prst="rect">
                      <a:avLst/>
                    </a:prstGeom>
                    <a:noFill/>
                  </pic:spPr>
                </pic:pic>
              </a:graphicData>
            </a:graphic>
          </wp:anchor>
        </w:drawing>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54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Report of Independent Registered Public Accounting Firm on Supplemental Information</w:t>
              </w:r>
            </w:hyperlink>
          </w:p>
        </w:tc>
        <w:tc>
          <w:tcPr>
            <w:tcW w:w="3640" w:type="dxa"/>
            <w:vAlign w:val="bottom"/>
          </w:tcPr>
          <w:p>
            <w:pPr>
              <w:spacing w:after="0"/>
              <w:rPr>
                <w:sz w:val="16"/>
                <w:szCs w:val="16"/>
                <w:color w:val="auto"/>
              </w:rPr>
            </w:pPr>
          </w:p>
        </w:tc>
      </w:tr>
      <w:tr>
        <w:trPr>
          <w:trHeight w:val="36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w:t>
            </w:r>
          </w:p>
        </w:tc>
      </w:tr>
      <w:tr>
        <w:trPr>
          <w:trHeight w:val="180"/>
        </w:trPr>
        <w:tc>
          <w:tcPr>
            <w:tcW w:w="1040" w:type="dxa"/>
            <w:vAlign w:val="bottom"/>
          </w:tcPr>
          <w:p>
            <w:pPr>
              <w:spacing w:after="0"/>
              <w:rPr>
                <w:sz w:val="15"/>
                <w:szCs w:val="15"/>
                <w:color w:val="auto"/>
              </w:rPr>
            </w:pPr>
          </w:p>
        </w:tc>
        <w:tc>
          <w:tcPr>
            <w:tcW w:w="9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Inline XBRL document.</w:t>
            </w:r>
          </w:p>
        </w:tc>
      </w:tr>
      <w:tr>
        <w:trPr>
          <w:trHeight w:val="19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ind w:left="1050" w:hanging="1050"/>
        <w:spacing w:after="0"/>
        <w:tabs>
          <w:tab w:leader="none" w:pos="105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330" w:lineRule="exact"/>
        <w:rPr>
          <w:rFonts w:ascii="Times New Roman" w:cs="Times New Roman" w:eastAsia="Times New Roman" w:hAnsi="Times New Roman"/>
          <w:sz w:val="16"/>
          <w:szCs w:val="16"/>
          <w:color w:val="auto"/>
        </w:rPr>
      </w:pPr>
    </w:p>
    <w:p>
      <w:pPr>
        <w:ind w:left="507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419735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90"/>
          </w:cols>
          <w:pgMar w:left="750" w:top="1322" w:right="76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1"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Annual Report to be signed on its behalf by the undersigned, thereunto duly authorized.</w:t>
      </w:r>
    </w:p>
    <w:p>
      <w:pPr>
        <w:spacing w:after="0" w:line="165"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6"/>
          <w:szCs w:val="16"/>
          <w:color w:val="auto"/>
        </w:rPr>
        <w:t>Date: February 13, 2026</w:t>
      </w:r>
      <w:r>
        <w:rPr>
          <w:sz w:val="20"/>
          <w:szCs w:val="20"/>
          <w:color w:val="auto"/>
        </w:rPr>
        <w:tab/>
      </w:r>
      <w:r>
        <w:rPr>
          <w:rFonts w:ascii="Times New Roman" w:cs="Times New Roman" w:eastAsia="Times New Roman" w:hAnsi="Times New Roman"/>
          <w:sz w:val="14"/>
          <w:szCs w:val="14"/>
          <w:b w:val="1"/>
          <w:bCs w:val="1"/>
          <w:color w:val="auto"/>
        </w:rPr>
        <w:t>SIXTH STREET LENDING PARTNERS</w:t>
      </w:r>
    </w:p>
    <w:p>
      <w:pPr>
        <w:spacing w:after="0" w:line="2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/s/ Robert (“Bo”) Stanley</w:t>
      </w:r>
    </w:p>
    <w:p>
      <w:pPr>
        <w:spacing w:after="0" w:line="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9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13,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ind w:left="19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612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5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(“Bo”) Stanley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Trustee (Principal Executive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Robert (“Bo”) Stanley</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Ian Simmonds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Ian Simmonds</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Graf</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Deputy Chief Financial Officer (Principal Accounting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Michael Graf</w:t>
            </w:r>
          </w:p>
        </w:tc>
        <w:tc>
          <w:tcPr>
            <w:tcW w:w="6120" w:type="dxa"/>
            <w:vAlign w:val="bottom"/>
          </w:tcPr>
          <w:p>
            <w:pPr>
              <w:spacing w:after="0"/>
              <w:rPr>
                <w:sz w:val="16"/>
                <w:szCs w:val="16"/>
                <w:color w:val="auto"/>
              </w:rPr>
            </w:pPr>
          </w:p>
        </w:tc>
      </w:tr>
      <w:tr>
        <w:trPr>
          <w:trHeight w:val="37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 and Chairman of the Board of Trustees</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Joshua Easterly</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Judy Slotkin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 and Chairman of the Audit Committee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Judy Slotkin</w:t>
            </w:r>
          </w:p>
        </w:tc>
        <w:tc>
          <w:tcPr>
            <w:tcW w:w="6120" w:type="dxa"/>
            <w:vAlign w:val="bottom"/>
          </w:tcPr>
          <w:p>
            <w:pPr>
              <w:spacing w:after="0"/>
              <w:rPr>
                <w:sz w:val="16"/>
                <w:szCs w:val="16"/>
                <w:color w:val="auto"/>
              </w:rPr>
            </w:pPr>
          </w:p>
        </w:tc>
      </w:tr>
      <w:tr>
        <w:trPr>
          <w:trHeight w:val="421"/>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Jennifer Gordon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Jennifer Gordon</w:t>
            </w:r>
          </w:p>
        </w:tc>
        <w:tc>
          <w:tcPr>
            <w:tcW w:w="6120" w:type="dxa"/>
            <w:vAlign w:val="bottom"/>
          </w:tcPr>
          <w:p>
            <w:pPr>
              <w:spacing w:after="0"/>
              <w:rPr>
                <w:sz w:val="16"/>
                <w:szCs w:val="16"/>
                <w:color w:val="auto"/>
              </w:rPr>
            </w:pPr>
          </w:p>
        </w:tc>
      </w:tr>
      <w:tr>
        <w:trPr>
          <w:trHeight w:val="37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A. Higginbotham</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Richard A. Higginbotham</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Hurley Doddy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Hurley Doddy</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Stiepleman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David Stiepleman</w:t>
            </w:r>
          </w:p>
        </w:tc>
        <w:tc>
          <w:tcPr>
            <w:tcW w:w="6120" w:type="dxa"/>
            <w:vAlign w:val="bottom"/>
          </w:tcPr>
          <w:p>
            <w:pPr>
              <w:spacing w:after="0"/>
              <w:rPr>
                <w:sz w:val="16"/>
                <w:szCs w:val="16"/>
                <w:color w:val="auto"/>
              </w:rPr>
            </w:pPr>
          </w:p>
        </w:tc>
      </w:tr>
      <w:tr>
        <w:trPr>
          <w:trHeight w:val="34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K. Tanemura</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Ronald K. Tanemura</w:t>
            </w:r>
          </w:p>
        </w:tc>
        <w:tc>
          <w:tcPr>
            <w:tcW w:w="6120" w:type="dxa"/>
            <w:vAlign w:val="bottom"/>
          </w:tcPr>
          <w:p>
            <w:pPr>
              <w:spacing w:after="0"/>
              <w:rPr>
                <w:sz w:val="16"/>
                <w:szCs w:val="16"/>
                <w:color w:val="auto"/>
              </w:rPr>
            </w:pPr>
          </w:p>
        </w:tc>
      </w:tr>
      <w:tr>
        <w:trPr>
          <w:trHeight w:val="361"/>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D. Hershey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John D. Hershey</w:t>
            </w:r>
          </w:p>
        </w:tc>
        <w:tc>
          <w:tcPr>
            <w:tcW w:w="6120" w:type="dxa"/>
            <w:vAlign w:val="bottom"/>
          </w:tcPr>
          <w:p>
            <w:pPr>
              <w:spacing w:after="0"/>
              <w:rPr>
                <w:sz w:val="16"/>
                <w:szCs w:val="16"/>
                <w:color w:val="auto"/>
              </w:rPr>
            </w:pPr>
          </w:p>
        </w:tc>
      </w:tr>
      <w:tr>
        <w:trPr>
          <w:trHeight w:val="719"/>
        </w:trPr>
        <w:tc>
          <w:tcPr>
            <w:tcW w:w="4440" w:type="dxa"/>
            <w:vAlign w:val="bottom"/>
          </w:tcPr>
          <w:p>
            <w:pPr>
              <w:spacing w:after="0"/>
              <w:rPr>
                <w:sz w:val="24"/>
                <w:szCs w:val="24"/>
                <w:color w:val="auto"/>
              </w:rPr>
            </w:pPr>
          </w:p>
        </w:tc>
        <w:tc>
          <w:tcPr>
            <w:tcW w:w="6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107</w:t>
            </w:r>
          </w:p>
        </w:tc>
      </w:tr>
      <w:tr>
        <w:trPr>
          <w:trHeight w:val="674"/>
        </w:trPr>
        <w:tc>
          <w:tcPr>
            <w:tcW w:w="4440" w:type="dxa"/>
            <w:vAlign w:val="bottom"/>
            <w:tcBorders>
              <w:bottom w:val="single" w:sz="8" w:color="EEEEEE"/>
            </w:tcBorders>
          </w:tcPr>
          <w:p>
            <w:pPr>
              <w:spacing w:after="0"/>
              <w:rPr>
                <w:sz w:val="24"/>
                <w:szCs w:val="24"/>
                <w:color w:val="auto"/>
              </w:rPr>
            </w:pPr>
          </w:p>
        </w:tc>
        <w:tc>
          <w:tcPr>
            <w:tcW w:w="6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772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SUBSIDIARIES OF SIXTH STREET LENDING PARTNERS</w:t>
            </w:r>
          </w:p>
        </w:tc>
      </w:tr>
      <w:tr>
        <w:trPr>
          <w:trHeight w:val="33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159"/>
        </w:trPr>
        <w:tc>
          <w:tcPr>
            <w:tcW w:w="28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SSLP Lending, LLC</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2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Sixth Street LP Holding II, LLC</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Sixth Street Lending Partners Sub, LLC</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310"/>
        </w:trPr>
        <w:tc>
          <w:tcPr>
            <w:tcW w:w="2840" w:type="dxa"/>
            <w:vAlign w:val="bottom"/>
            <w:tcBorders>
              <w:bottom w:val="single" w:sz="8" w:color="EEEEEE"/>
            </w:tcBorders>
          </w:tcPr>
          <w:p>
            <w:pPr>
              <w:spacing w:after="0"/>
              <w:rPr>
                <w:sz w:val="24"/>
                <w:szCs w:val="24"/>
                <w:color w:val="auto"/>
              </w:rPr>
            </w:pPr>
          </w:p>
        </w:tc>
        <w:tc>
          <w:tcPr>
            <w:tcW w:w="24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(“Bo”) Stanley,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2025, of Sixth Street Lending Partners;</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2026</w:t>
      </w:r>
    </w:p>
    <w:p>
      <w:pPr>
        <w:spacing w:after="0" w:line="200" w:lineRule="exact"/>
        <w:rPr>
          <w:sz w:val="20"/>
          <w:szCs w:val="20"/>
          <w:color w:val="auto"/>
        </w:rPr>
      </w:pPr>
    </w:p>
    <w:p>
      <w:pPr>
        <w:ind w:left="5820"/>
        <w:spacing w:after="0"/>
        <w:tabs>
          <w:tab w:leader="none" w:pos="6160" w:val="left"/>
        </w:tabs>
        <w:rPr>
          <w:sz w:val="20"/>
          <w:szCs w:val="20"/>
          <w:color w:val="auto"/>
        </w:rPr>
      </w:pPr>
      <w:r>
        <w:rPr>
          <w:rFonts w:ascii="Times New Roman" w:cs="Times New Roman" w:eastAsia="Times New Roman" w:hAnsi="Times New Roman"/>
          <w:sz w:val="16"/>
          <w:szCs w:val="16"/>
          <w:color w:val="auto"/>
        </w:rPr>
        <w:t>By:</w:t>
        <w:tab/>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2"/>
          <w:szCs w:val="12"/>
          <w:color w:val="auto"/>
        </w:rPr>
        <w:t>O</w:t>
      </w:r>
      <w:r>
        <w:rPr>
          <w:rFonts w:ascii="Times New Roman" w:cs="Times New Roman" w:eastAsia="Times New Roman" w:hAnsi="Times New Roman"/>
          <w:sz w:val="16"/>
          <w:szCs w:val="16"/>
          <w:color w:val="auto"/>
        </w:rPr>
        <w:t>”) S</w:t>
      </w:r>
      <w:r>
        <w:rPr>
          <w:rFonts w:ascii="Times New Roman" w:cs="Times New Roman" w:eastAsia="Times New Roman" w:hAnsi="Times New Roman"/>
          <w:sz w:val="12"/>
          <w:szCs w:val="12"/>
          <w:color w:val="auto"/>
        </w:rPr>
        <w:t>TANLEY</w:t>
      </w:r>
    </w:p>
    <w:p>
      <w:pPr>
        <w:spacing w:after="0" w:line="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Robert (“Bo”) Stanley</w:t>
      </w:r>
    </w:p>
    <w:p>
      <w:pPr>
        <w:ind w:left="61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629285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2025, of Sixth Street Lending Partners;</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2026</w:t>
      </w:r>
    </w:p>
    <w:p>
      <w:pPr>
        <w:spacing w:after="0" w:line="200" w:lineRule="exact"/>
        <w:rPr>
          <w:sz w:val="20"/>
          <w:szCs w:val="20"/>
          <w:color w:val="auto"/>
        </w:rPr>
      </w:pPr>
    </w:p>
    <w:p>
      <w:pPr>
        <w:ind w:left="5820"/>
        <w:spacing w:after="0"/>
        <w:tabs>
          <w:tab w:leader="none" w:pos="6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IMMONDS</w:t>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Ian Simmonds</w:t>
      </w:r>
    </w:p>
    <w:p>
      <w:pPr>
        <w:ind w:left="61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720725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 K of Sixth Street Lending Partners (the “Company”) for the annual period ended December 31, 2025,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as applicable, of the Securities Exchange Act of 1934;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R</w:t>
      </w:r>
      <w:r>
        <w:rPr>
          <w:rFonts w:ascii="Times New Roman" w:cs="Times New Roman" w:eastAsia="Times New Roman" w:hAnsi="Times New Roman"/>
          <w:sz w:val="12"/>
          <w:szCs w:val="12"/>
          <w:color w:val="auto"/>
        </w:rPr>
        <w:t>OBERT (</w:t>
      </w:r>
      <w:r>
        <w:rPr>
          <w:rFonts w:ascii="Times New Roman" w:cs="Times New Roman" w:eastAsia="Times New Roman" w:hAnsi="Times New Roman"/>
          <w:sz w:val="16"/>
          <w:szCs w:val="16"/>
          <w:color w:val="auto"/>
        </w:rPr>
        <w:t>“B</w:t>
      </w:r>
      <w:r>
        <w:rPr>
          <w:rFonts w:ascii="Times New Roman" w:cs="Times New Roman" w:eastAsia="Times New Roman" w:hAnsi="Times New Roman"/>
          <w:sz w:val="12"/>
          <w:szCs w:val="12"/>
          <w:color w:val="auto"/>
        </w:rPr>
        <w:t>O</w:t>
      </w:r>
      <w:r>
        <w:rPr>
          <w:rFonts w:ascii="Times New Roman" w:cs="Times New Roman" w:eastAsia="Times New Roman" w:hAnsi="Times New Roman"/>
          <w:sz w:val="16"/>
          <w:szCs w:val="16"/>
          <w:color w:val="auto"/>
        </w:rPr>
        <w:t>”) S</w:t>
      </w:r>
      <w:r>
        <w:rPr>
          <w:rFonts w:ascii="Times New Roman" w:cs="Times New Roman" w:eastAsia="Times New Roman" w:hAnsi="Times New Roman"/>
          <w:sz w:val="12"/>
          <w:szCs w:val="12"/>
          <w:color w:val="auto"/>
        </w:rPr>
        <w:t>TANLEY</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Robert (“Bo”) Stanley</w:t>
      </w:r>
    </w:p>
    <w:p>
      <w:pPr>
        <w:spacing w:after="0" w:line="3"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2026</w:t>
      </w:r>
    </w:p>
    <w:p>
      <w:pPr>
        <w:spacing w:after="0" w:line="28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I</w:t>
      </w:r>
      <w:r>
        <w:rPr>
          <w:rFonts w:ascii="Times New Roman" w:cs="Times New Roman" w:eastAsia="Times New Roman" w:hAnsi="Times New Roman"/>
          <w:sz w:val="12"/>
          <w:szCs w:val="12"/>
          <w:color w:val="auto"/>
        </w:rPr>
        <w:t>AN</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2"/>
          <w:szCs w:val="12"/>
          <w:color w:val="auto"/>
        </w:rPr>
        <w:t>IMMONDS</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Ian Simmonds</w:t>
      </w:r>
    </w:p>
    <w:p>
      <w:pPr>
        <w:spacing w:after="0" w:line="3"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 of Independent Registered Public Accounting Firm on Supplemental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Trustees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Sixth Street Lending Partners:</w:t>
      </w:r>
    </w:p>
    <w:p>
      <w:pPr>
        <w:spacing w:after="0" w:line="138"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We have audited, in accordance with the standards of the Public Company Accounting Oversight Board (United States) (the PCAOB), the consolidated financial statements of Sixth Street Lending Partners and subsidiaries (the Company) as of December 31, 2025 and 2024, and for each of the years in the three-year period ended December 31, 2025, and our report dated February 13, 2026 expressed an unqualified opinion on those consolidated financial statements.</w:t>
      </w:r>
    </w:p>
    <w:p>
      <w:pPr>
        <w:spacing w:after="0" w:line="12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have also previously audited, in accordance with the standards of the PCAOB, the consolidated balance sheets of the Company, including the consolidated schedules of investments, as of December 31, 2023 and 2022, and the related consolidated statements of operations, changes in net assets, and cash flows for the period from April 5, 2022 (inception) to December 31, 2022 (none of which is presented herein), and we expressed unqualified opinions on those consolidated financial statements. The senior securities information included in Part II, Item 5 of the Annual Report on Form 10-K of the Company as of December 31, 2025,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1065530</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3" w:name="page154"/>
    <w:bookmarkEnd w:id="15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32"/>
    </w:lvl>
  </w:abstractNum>
  <w:abstractNum w:abstractNumId="16">
    <w:nsid w:val="25E45D32"/>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180" Type="http://schemas.openxmlformats.org/officeDocument/2006/relationships/hyperlink" Target="https://www.sec.gov/Archives/edgar/data/1925309/000119312522226504/d260658dex31.htm" TargetMode="External"/><Relationship Id="rId181" Type="http://schemas.openxmlformats.org/officeDocument/2006/relationships/hyperlink" Target="https://www.sec.gov/Archives/edgar/data/1925309/000119312522183512/d260658dex32.htm" TargetMode="External"/><Relationship Id="rId182" Type="http://schemas.openxmlformats.org/officeDocument/2006/relationships/hyperlink" Target="https://www.sec.gov/Archives/edgar/data/1925309/000119312522183512/d260658dex41.htm" TargetMode="External"/><Relationship Id="rId183" Type="http://schemas.openxmlformats.org/officeDocument/2006/relationships/hyperlink" Target="https://www.sec.gov/Archives/edgar/data/1925309/000095017024016336/ck0001925309-ex4_2.htm" TargetMode="External"/><Relationship Id="rId184" Type="http://schemas.openxmlformats.org/officeDocument/2006/relationships/hyperlink" Target="https://www.sec.gov/Archives/edgar/data/1925309/000119312524069137/d813134dex41.htm" TargetMode="External"/><Relationship Id="rId185" Type="http://schemas.openxmlformats.org/officeDocument/2006/relationships/hyperlink" Target="https://www.sec.gov/Archives/edgar/data/1925309/000119312524069137/d813134dex42.htm" TargetMode="External"/><Relationship Id="rId186" Type="http://schemas.openxmlformats.org/officeDocument/2006/relationships/hyperlink" Target="https://www.sec.gov/Archives/edgar/data/1925309/000119312524165652/d859581dex43.htm" TargetMode="External"/><Relationship Id="rId187" Type="http://schemas.openxmlformats.org/officeDocument/2006/relationships/hyperlink" Target="https://www.sec.gov/Archives/edgar/data/1925309/000119312524222899/d887743dex42.htm" TargetMode="External"/><Relationship Id="rId188" Type="http://schemas.openxmlformats.org/officeDocument/2006/relationships/hyperlink" Target="https://www.sec.gov/Archives/edgar/data/1925309/000119312525008441/d854887dex42.htm" TargetMode="External"/><Relationship Id="rId189" Type="http://schemas.openxmlformats.org/officeDocument/2006/relationships/hyperlink" Target="https://www.sec.gov/Archives/edgar/data/1925309/000119312522183512/d260658dex101.htm" TargetMode="External"/><Relationship Id="rId191" Type="http://schemas.openxmlformats.org/officeDocument/2006/relationships/hyperlink" Target="https://www.sec.gov/Archives/edgar/data/1925309/000119312522183512/d260658dex102.htm" TargetMode="External"/><Relationship Id="rId192" Type="http://schemas.openxmlformats.org/officeDocument/2006/relationships/hyperlink" Target="https://www.sec.gov/Archives/edgar/data/1925309/000119312522183512/d260658dex103.htm" TargetMode="External"/><Relationship Id="rId193" Type="http://schemas.openxmlformats.org/officeDocument/2006/relationships/hyperlink" Target="https://www.sec.gov/Archives/edgar/data/1925309/000119312522183512/d260658dex104.htm" TargetMode="External"/><Relationship Id="rId194" Type="http://schemas.openxmlformats.org/officeDocument/2006/relationships/hyperlink" Target="https://www.sec.gov/Archives/edgar/data/1925309/000119312522183512/d260658dex105.htm" TargetMode="External"/><Relationship Id="rId195" Type="http://schemas.openxmlformats.org/officeDocument/2006/relationships/hyperlink" Target="https://www.sec.gov/Archives/edgar/data/1925309/000119312522226504/d260658dex106.htm" TargetMode="External"/><Relationship Id="rId196" Type="http://schemas.openxmlformats.org/officeDocument/2006/relationships/hyperlink" Target="https://www.sec.gov/Archives/edgar/data/1925309/000119312523014261/d426575dex101.htm" TargetMode="External"/><Relationship Id="rId197" Type="http://schemas.openxmlformats.org/officeDocument/2006/relationships/hyperlink" Target="https://www.sec.gov/Archives/edgar/data/1925309/000119312524030209/d734650dex101.htm" TargetMode="External"/><Relationship Id="rId198" Type="http://schemas.openxmlformats.org/officeDocument/2006/relationships/hyperlink" Target="https://www.sec.gov/Archives/edgar/data/1925309/000095017025062722/ck0001925309-ex10_1.htm" TargetMode="External"/><Relationship Id="rId199" Type="http://schemas.openxmlformats.org/officeDocument/2006/relationships/hyperlink" Target="https://www.sec.gov/Archives/edgar/data/1925309/000119312525266848/ck0001925309-ex10_1.htm" TargetMode="External"/><Relationship Id="rId200" Type="http://schemas.openxmlformats.org/officeDocument/2006/relationships/hyperlink" Target="https://www.sec.gov/Archives/edgar/data/1925309/000095017025021144/ck0001925309-ex1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2026-02-13T15:20:10Z</dcterms:created>
  <dcterms:modified xsi:type="dcterms:W3CDTF">2026-02-13T15:20:10Z</dcterms:modified>
</cp:coreProperties>
</file>