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SIXTH STREET LENDING PARTNERS</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shares of beneficial interest, par value $0.001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Ricardo Davidovich, Esq.</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Haynes and Boone, LLP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30 Rockefeller Plaza</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26th Floor</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New York, NY 10112</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(212) 835-4837</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December 22,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12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68"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4" w:lineRule="exact"/>
        <w:rPr>
          <w:sz w:val="24"/>
          <w:szCs w:val="24"/>
          <w:color w:val="auto"/>
        </w:rPr>
      </w:pPr>
    </w:p>
    <w:p>
      <w:pPr>
        <w:ind w:left="424" w:hanging="424"/>
        <w:spacing w:after="0" w:line="208" w:lineRule="auto"/>
        <w:tabs>
          <w:tab w:leader="none" w:pos="424" w:val="left"/>
        </w:tabs>
        <w:numPr>
          <w:ilvl w:val="0"/>
          <w:numId w:val="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N/A</w:t>
      </w:r>
    </w:p>
    <w:p>
      <w:pPr>
        <w:spacing w:after="0" w:line="266" w:lineRule="exact"/>
        <w:rPr>
          <w:sz w:val="20"/>
          <w:szCs w:val="20"/>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Institution for Social Security</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33"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Kuwait</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5,343,214</w:t>
            </w:r>
          </w:p>
        </w:tc>
        <w:tc>
          <w:tcPr>
            <w:tcW w:w="0" w:type="dxa"/>
            <w:vAlign w:val="bottom"/>
          </w:tcPr>
          <w:p>
            <w:pPr>
              <w:spacing w:after="0"/>
              <w:rPr>
                <w:sz w:val="1"/>
                <w:szCs w:val="1"/>
                <w:color w:val="auto"/>
              </w:rPr>
            </w:pPr>
          </w:p>
        </w:tc>
      </w:tr>
      <w:tr>
        <w:trPr>
          <w:trHeight w:val="67"/>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5,343,214</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right="7300" w:hanging="516"/>
        <w:spacing w:after="0" w:line="395" w:lineRule="auto"/>
        <w:tabs>
          <w:tab w:leader="none" w:pos="174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0</w:t>
      </w:r>
    </w:p>
    <w:p>
      <w:pPr>
        <w:ind w:left="664" w:right="5460" w:hanging="507"/>
        <w:spacing w:after="0" w:line="406" w:lineRule="auto"/>
        <w:tabs>
          <w:tab w:leader="none" w:pos="65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5,343,214</w:t>
      </w:r>
    </w:p>
    <w:p>
      <w:pPr>
        <w:spacing w:after="0" w:line="1"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11"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2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3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8.16% (1)</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EP</w:t>
      </w:r>
    </w:p>
    <w:p>
      <w:pPr>
        <w:spacing w:after="0" w:line="252" w:lineRule="exact"/>
        <w:rPr>
          <w:rFonts w:ascii="Times New Roman" w:cs="Times New Roman" w:eastAsia="Times New Roman" w:hAnsi="Times New Roman"/>
          <w:sz w:val="18"/>
          <w:szCs w:val="18"/>
          <w:color w:val="auto"/>
        </w:rPr>
      </w:pPr>
    </w:p>
    <w:p>
      <w:pPr>
        <w:ind w:left="4" w:right="380" w:hanging="4"/>
        <w:spacing w:after="0" w:line="282" w:lineRule="auto"/>
        <w:tabs>
          <w:tab w:leader="none" w:pos="25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65,478,775 Shares outstanding as of December 22, 2023, as disclosed by the Issuer to the Reporting Person in connection with the December Issuance (as defined below).</w:t>
      </w:r>
    </w:p>
    <w:p>
      <w:pPr>
        <w:sectPr>
          <w:pgSz w:w="11900" w:h="16838" w:orient="portrait"/>
          <w:cols w:equalWidth="0" w:num="1">
            <w:col w:w="10904"/>
          </w:cols>
          <w:pgMar w:left="436" w:top="270" w:right="559" w:bottom="1440" w:gutter="0" w:footer="0" w:header="0"/>
        </w:sectPr>
      </w:pPr>
    </w:p>
    <w:bookmarkStart w:id="2" w:name="page3"/>
    <w:bookmarkEnd w:id="2"/>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Amendment to Schedule 13D (as amended, this “</w:t>
      </w:r>
      <w:r>
        <w:rPr>
          <w:rFonts w:ascii="Times New Roman" w:cs="Times New Roman" w:eastAsia="Times New Roman" w:hAnsi="Times New Roman"/>
          <w:sz w:val="18"/>
          <w:szCs w:val="18"/>
          <w:b w:val="1"/>
          <w:bCs w:val="1"/>
          <w:i w:val="1"/>
          <w:iCs w:val="1"/>
          <w:color w:val="auto"/>
        </w:rPr>
        <w:t>Schedule 13D</w:t>
      </w:r>
      <w:r>
        <w:rPr>
          <w:rFonts w:ascii="Times New Roman" w:cs="Times New Roman" w:eastAsia="Times New Roman" w:hAnsi="Times New Roman"/>
          <w:sz w:val="18"/>
          <w:szCs w:val="18"/>
          <w:color w:val="auto"/>
        </w:rPr>
        <w:t>”) is being filed by the Reporting Person to amend the Schedule 13D related to common shares of beneficial interest, par value $0.001 per share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Sixth Street Lending Partners, a Delaware statutory trust (the “</w:t>
      </w:r>
      <w:r>
        <w:rPr>
          <w:rFonts w:ascii="Times New Roman" w:cs="Times New Roman" w:eastAsia="Times New Roman" w:hAnsi="Times New Roman"/>
          <w:sz w:val="18"/>
          <w:szCs w:val="18"/>
          <w:b w:val="1"/>
          <w:bCs w:val="1"/>
          <w:i w:val="1"/>
          <w:iCs w:val="1"/>
          <w:color w:val="auto"/>
        </w:rPr>
        <w:t>Issuer</w:t>
      </w:r>
      <w:r>
        <w:rPr>
          <w:rFonts w:ascii="Times New Roman" w:cs="Times New Roman" w:eastAsia="Times New Roman" w:hAnsi="Times New Roman"/>
          <w:sz w:val="18"/>
          <w:szCs w:val="18"/>
          <w:color w:val="auto"/>
        </w:rPr>
        <w:t>”), initially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December 22, 2022.</w:t>
      </w:r>
    </w:p>
    <w:p>
      <w:pPr>
        <w:spacing w:after="0" w:line="17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This Amendment to Schedule 13D is being filed to update the aggregate percentage of Shares owned by the Reporting Person, which changed primarily due to the Issuer’s issuance of additional Shares on December 22, 2023 (the “</w:t>
      </w:r>
      <w:r>
        <w:rPr>
          <w:rFonts w:ascii="Times New Roman" w:cs="Times New Roman" w:eastAsia="Times New Roman" w:hAnsi="Times New Roman"/>
          <w:sz w:val="18"/>
          <w:szCs w:val="18"/>
          <w:b w:val="1"/>
          <w:bCs w:val="1"/>
          <w:i w:val="1"/>
          <w:iCs w:val="1"/>
          <w:color w:val="auto"/>
        </w:rPr>
        <w:t>December Issuance</w:t>
      </w:r>
      <w:r>
        <w:rPr>
          <w:rFonts w:ascii="Times New Roman" w:cs="Times New Roman" w:eastAsia="Times New Roman" w:hAnsi="Times New Roman"/>
          <w:sz w:val="18"/>
          <w:szCs w:val="18"/>
          <w:color w:val="auto"/>
        </w:rPr>
        <w:t>”), rather than as a result of any acquisition or disposition of Shares by the Reporting Person. Based on 65,478,775 Shares outstanding as of December 22, 2023, as disclosed by the Issuer to the Reporting Person in connection with the December Issuance, such December Issuance contributed to a decrease of over one percent (1%) in the aggregate percentage ownership reported by the Reporting Person in the Amendment to Schedule 13D filed on November 24, 2023.</w:t>
      </w:r>
    </w:p>
    <w:p>
      <w:pPr>
        <w:spacing w:after="0" w:line="183"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Each capitalized term used and not defined herein shall have the meaning assigned to such term in the Schedule 13D. Except as otherwise provided herein, each Item of the Schedule 13D remains unchanged.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Item 5 is hereby amended and restated in its entirety as follows: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in Items 3 and 4 of this Schedule 13D is hereby incorporated herein by reference.</w:t>
      </w:r>
    </w:p>
    <w:p>
      <w:pPr>
        <w:spacing w:after="0" w:line="117" w:lineRule="exact"/>
        <w:rPr>
          <w:sz w:val="20"/>
          <w:szCs w:val="20"/>
          <w:color w:val="auto"/>
        </w:rPr>
      </w:pPr>
    </w:p>
    <w:p>
      <w:pPr>
        <w:ind w:right="300" w:firstLine="436"/>
        <w:spacing w:after="0" w:line="282"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and percentage of the class of securities identified pursuant to Item 1 beneficially owned by the Reporting Person is stated in Items 11 and 13 on the cover page(s) hereto.</w:t>
      </w:r>
    </w:p>
    <w:p>
      <w:pPr>
        <w:spacing w:after="0" w:line="162"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The Reporting Person declares that neither the filing of this Schedule 13D nor anything herein shall be construed as an admission that such person is, for the purposes of Section 13(d) or 13(g) of the Act or any other purpose, the beneficial owner of any securities covered by this Schedule 13D.</w:t>
      </w:r>
    </w:p>
    <w:p>
      <w:pPr>
        <w:spacing w:after="0" w:line="140"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Reporting Person declares that neither the filing of this Schedule 13D nor anything herein shall be construed as an admission that the Reporting Person is, for the purposes of Section 13(d) or 13(g) of the Act or any other purpose, (i) acting (or has agreed or is agreeing to act) with any other person as a partnership, limited partnership, syndicate or other group for the purpose of acquiring, holding or disposing of securities of the Issuer or otherwise with respect to the Issuer or any securities of the Issuer or (ii) a member of any syndicate or group with respect to the Issuer or any securities of the Issuer.</w:t>
      </w:r>
    </w:p>
    <w:p>
      <w:pPr>
        <w:spacing w:after="0" w:line="75" w:lineRule="exact"/>
        <w:rPr>
          <w:sz w:val="20"/>
          <w:szCs w:val="20"/>
          <w:color w:val="auto"/>
        </w:rPr>
      </w:pPr>
    </w:p>
    <w:p>
      <w:pPr>
        <w:ind w:left="700" w:hanging="264"/>
        <w:spacing w:after="0"/>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Reporting Person has:</w:t>
      </w:r>
    </w:p>
    <w:p>
      <w:pPr>
        <w:spacing w:after="0" w:line="130" w:lineRule="exact"/>
        <w:rPr>
          <w:rFonts w:ascii="Times New Roman" w:cs="Times New Roman" w:eastAsia="Times New Roman" w:hAnsi="Times New Roman"/>
          <w:sz w:val="18"/>
          <w:szCs w:val="18"/>
          <w:color w:val="auto"/>
        </w:rPr>
      </w:pPr>
    </w:p>
    <w:p>
      <w:pPr>
        <w:jc w:val="both"/>
        <w:ind w:left="1420" w:right="6720" w:hanging="439"/>
        <w:spacing w:after="0" w:line="383" w:lineRule="auto"/>
        <w:tabs>
          <w:tab w:leader="none" w:pos="140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See Item 7 on the cover page(s) hereto.</w:t>
      </w:r>
    </w:p>
    <w:p>
      <w:pPr>
        <w:ind w:left="1420" w:right="6540" w:hanging="439"/>
        <w:spacing w:after="0" w:line="383" w:lineRule="auto"/>
        <w:tabs>
          <w:tab w:leader="none" w:pos="140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See Item 8 on the cover page(s) hereto.</w:t>
      </w:r>
    </w:p>
    <w:p>
      <w:pPr>
        <w:ind w:left="1420" w:right="5820" w:hanging="439"/>
        <w:spacing w:after="0" w:line="383" w:lineRule="auto"/>
        <w:tabs>
          <w:tab w:leader="none" w:pos="140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Item 9 on the cover page(s) hereto.</w:t>
      </w:r>
    </w:p>
    <w:p>
      <w:pPr>
        <w:ind w:left="1420" w:right="5640" w:hanging="439"/>
        <w:spacing w:after="0" w:line="407" w:lineRule="auto"/>
        <w:tabs>
          <w:tab w:leader="none" w:pos="140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Item 10 on the cover page(s) hereto.</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the date hereof, the Reporting Person owns only the Shares of the Issuer as set forth in this Item 5.</w:t>
      </w:r>
    </w:p>
    <w:p>
      <w:pPr>
        <w:sectPr>
          <w:pgSz w:w="11900" w:h="16838" w:orient="portrait"/>
          <w:cols w:equalWidth="0" w:num="1">
            <w:col w:w="10960"/>
          </w:cols>
          <w:pgMar w:left="440" w:top="266" w:right="499" w:bottom="1440" w:gutter="0" w:footer="0" w:header="0"/>
        </w:sectPr>
      </w:pPr>
    </w:p>
    <w:bookmarkStart w:id="3" w:name="page4"/>
    <w:bookmarkEnd w:id="3"/>
    <w:p>
      <w:pPr>
        <w:ind w:left="-436" w:firstLine="436"/>
        <w:spacing w:after="0" w:line="282" w:lineRule="auto"/>
        <w:tabs>
          <w:tab w:leader="none" w:pos="24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as set forth in this Schedule 13D, there have been no transactions in the class of securities reported on that were effected by the Reporting Person during the past sixty days or since the most recent filing of Schedule 13D, whichever is less.</w:t>
      </w:r>
    </w:p>
    <w:p>
      <w:pPr>
        <w:spacing w:after="0" w:line="5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1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204"/>
          </w:cols>
          <w:pgMar w:left="876" w:top="270" w:right="8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27, 2023</w:t>
            </w:r>
          </w:p>
        </w:tc>
        <w:tc>
          <w:tcPr>
            <w:tcW w:w="7520" w:type="dxa"/>
            <w:vAlign w:val="bottom"/>
            <w:gridSpan w:val="3"/>
          </w:tcPr>
          <w:p>
            <w:pPr>
              <w:ind w:left="1660"/>
              <w:spacing w:after="0"/>
              <w:rPr>
                <w:sz w:val="20"/>
                <w:szCs w:val="20"/>
                <w:color w:val="auto"/>
              </w:rPr>
            </w:pPr>
            <w:r>
              <w:rPr>
                <w:rFonts w:ascii="Times New Roman" w:cs="Times New Roman" w:eastAsia="Times New Roman" w:hAnsi="Times New Roman"/>
                <w:sz w:val="18"/>
                <w:szCs w:val="18"/>
                <w:b w:val="1"/>
                <w:bCs w:val="1"/>
                <w:color w:val="auto"/>
              </w:rPr>
              <w:t>THE PUBLIC INSTITUTION FOR SOCIAL SECURITY</w:t>
            </w:r>
          </w:p>
        </w:tc>
      </w:tr>
      <w:tr>
        <w:trPr>
          <w:trHeight w:val="432"/>
        </w:trPr>
        <w:tc>
          <w:tcPr>
            <w:tcW w:w="3500" w:type="dxa"/>
            <w:vAlign w:val="bottom"/>
          </w:tcPr>
          <w:p>
            <w:pPr>
              <w:spacing w:after="0"/>
              <w:rPr>
                <w:sz w:val="24"/>
                <w:szCs w:val="24"/>
                <w:color w:val="auto"/>
              </w:rPr>
            </w:pPr>
          </w:p>
        </w:tc>
        <w:tc>
          <w:tcPr>
            <w:tcW w:w="752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By:/s/ Ricardo Davidovich</w:t>
            </w:r>
          </w:p>
        </w:tc>
      </w:tr>
      <w:tr>
        <w:trPr>
          <w:trHeight w:val="205"/>
        </w:trPr>
        <w:tc>
          <w:tcPr>
            <w:tcW w:w="350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8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Ricardo Davidovich</w:t>
            </w:r>
          </w:p>
        </w:tc>
      </w:tr>
      <w:tr>
        <w:trPr>
          <w:trHeight w:val="234"/>
        </w:trPr>
        <w:tc>
          <w:tcPr>
            <w:tcW w:w="35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41B71EFB"/>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79E2A9E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2"/>
    </w:lvl>
    <w:lvl w:ilvl="1">
      <w:lvlJc w:val="left"/>
      <w:lvlText w:val="(%2)"/>
      <w:numFmt w:val="lowerRoman"/>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2023-12-27T16:39:29Z</dcterms:created>
  <dcterms:modified xsi:type="dcterms:W3CDTF">2023-12-27T16:39:29Z</dcterms:modified>
</cp:coreProperties>
</file>