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9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2)</w:t>
      </w:r>
      <w:r>
        <w:rPr>
          <w:rFonts w:ascii="Times New Roman" w:cs="Times New Roman" w:eastAsia="Times New Roman" w:hAnsi="Times New Roman"/>
          <w:sz w:val="29"/>
          <w:szCs w:val="29"/>
          <w:color w:val="auto"/>
          <w:vertAlign w:val="superscript"/>
        </w:rPr>
        <w:t>*</w:t>
      </w:r>
    </w:p>
    <w:p>
      <w:pPr>
        <w:spacing w:after="0" w:line="1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SIXTH STREET LENDING PARTNERS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Common shares of beneficial interest, par value $0.001 per share</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 w:lineRule="exact"/>
        <w:rPr>
          <w:sz w:val="24"/>
          <w:szCs w:val="24"/>
          <w:color w:val="auto"/>
        </w:rPr>
      </w:pPr>
    </w:p>
    <w:p>
      <w:pPr>
        <w:jc w:val="both"/>
        <w:ind w:left="220" w:right="9720" w:hanging="5"/>
        <w:spacing w:after="0" w:line="220" w:lineRule="exact"/>
        <w:tabs>
          <w:tab w:leader="none" w:pos="472" w:val="left"/>
        </w:tabs>
        <w:numPr>
          <w:ilvl w:val="1"/>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Rule 13d-1(b)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Rule 13d-1(c)</w:t>
      </w:r>
    </w:p>
    <w:p>
      <w:pPr>
        <w:ind w:left="460" w:hanging="245"/>
        <w:spacing w:after="0"/>
        <w:tabs>
          <w:tab w:leader="none" w:pos="4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8" w:lineRule="exact"/>
        <w:rPr>
          <w:rFonts w:ascii="MS PGothic" w:cs="MS PGothic" w:eastAsia="MS PGothic" w:hAnsi="MS PGothic"/>
          <w:sz w:val="18"/>
          <w:szCs w:val="18"/>
          <w:color w:val="auto"/>
        </w:rPr>
      </w:pPr>
    </w:p>
    <w:p>
      <w:pPr>
        <w:spacing w:after="0" w:line="216" w:lineRule="auto"/>
        <w:rPr>
          <w:rFonts w:ascii="MS PGothic" w:cs="MS PGothic" w:eastAsia="MS PGothic" w:hAnsi="MS PGothic"/>
          <w:sz w:val="18"/>
          <w:szCs w:val="18"/>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8"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70" w:right="379" w:bottom="1440" w:gutter="0" w:footer="0" w:header="0"/>
        </w:sectPr>
      </w:pPr>
    </w:p>
    <w:bookmarkStart w:id="1" w:name="page2"/>
    <w:bookmarkEnd w:id="1"/>
    <w:p>
      <w:pPr>
        <w:spacing w:after="0"/>
        <w:tabs>
          <w:tab w:leader="none" w:pos="5100" w:val="left"/>
          <w:tab w:leader="none" w:pos="10400" w:val="left"/>
        </w:tabs>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b w:val="1"/>
          <w:bCs w:val="1"/>
          <w:u w:val="single" w:color="auto"/>
          <w:color w:val="auto"/>
        </w:rPr>
        <w:t>N/A</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8</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w:t>
            </w: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34"/>
        </w:trPr>
        <w:tc>
          <w:tcPr>
            <w:tcW w:w="840" w:type="dxa"/>
            <w:vAlign w:val="bottom"/>
            <w:vMerge w:val="continue"/>
          </w:tcPr>
          <w:p>
            <w:pPr>
              <w:spacing w:after="0"/>
              <w:rPr>
                <w:sz w:val="20"/>
                <w:szCs w:val="20"/>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Qatar Investment Authority</w:t>
            </w:r>
          </w:p>
        </w:tc>
        <w:tc>
          <w:tcPr>
            <w:tcW w:w="0" w:type="dxa"/>
            <w:vAlign w:val="bottom"/>
          </w:tcPr>
          <w:p>
            <w:pPr>
              <w:spacing w:after="0"/>
              <w:rPr>
                <w:sz w:val="1"/>
                <w:szCs w:val="1"/>
                <w:color w:val="auto"/>
              </w:rPr>
            </w:pPr>
          </w:p>
        </w:tc>
      </w:tr>
      <w:tr>
        <w:trPr>
          <w:trHeight w:val="108"/>
        </w:trPr>
        <w:tc>
          <w:tcPr>
            <w:tcW w:w="840" w:type="dxa"/>
            <w:vAlign w:val="bottom"/>
            <w:tcBorders>
              <w:bottom w:val="single" w:sz="8" w:color="auto"/>
            </w:tcBorders>
          </w:tcPr>
          <w:p>
            <w:pPr>
              <w:spacing w:after="0"/>
              <w:rPr>
                <w:sz w:val="9"/>
                <w:szCs w:val="9"/>
                <w:color w:val="auto"/>
              </w:rPr>
            </w:pPr>
          </w:p>
        </w:tc>
        <w:tc>
          <w:tcPr>
            <w:tcW w:w="10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8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w:t>
            </w:r>
          </w:p>
        </w:tc>
        <w:tc>
          <w:tcPr>
            <w:tcW w:w="10400" w:type="dxa"/>
            <w:vAlign w:val="bottom"/>
          </w:tcPr>
          <w:p>
            <w:pPr>
              <w:ind w:left="46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162"/>
        </w:trPr>
        <w:tc>
          <w:tcPr>
            <w:tcW w:w="840" w:type="dxa"/>
            <w:vAlign w:val="bottom"/>
            <w:vMerge w:val="continue"/>
          </w:tcPr>
          <w:p>
            <w:pPr>
              <w:spacing w:after="0"/>
              <w:rPr>
                <w:sz w:val="14"/>
                <w:szCs w:val="14"/>
                <w:color w:val="auto"/>
              </w:rPr>
            </w:pPr>
          </w:p>
        </w:tc>
        <w:tc>
          <w:tcPr>
            <w:tcW w:w="10400" w:type="dxa"/>
            <w:vAlign w:val="bottom"/>
            <w:vMerge w:val="restart"/>
          </w:tcPr>
          <w:p>
            <w:pPr>
              <w:ind w:left="4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4"/>
        </w:trPr>
        <w:tc>
          <w:tcPr>
            <w:tcW w:w="840" w:type="dxa"/>
            <w:vAlign w:val="bottom"/>
          </w:tcPr>
          <w:p>
            <w:pPr>
              <w:spacing w:after="0"/>
              <w:rPr>
                <w:sz w:val="4"/>
                <w:szCs w:val="4"/>
                <w:color w:val="auto"/>
              </w:rPr>
            </w:pPr>
          </w:p>
        </w:tc>
        <w:tc>
          <w:tcPr>
            <w:tcW w:w="10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5"/>
        </w:trPr>
        <w:tc>
          <w:tcPr>
            <w:tcW w:w="840" w:type="dxa"/>
            <w:vAlign w:val="bottom"/>
          </w:tcPr>
          <w:p>
            <w:pPr>
              <w:spacing w:after="0"/>
              <w:rPr>
                <w:sz w:val="24"/>
                <w:szCs w:val="24"/>
                <w:color w:val="auto"/>
              </w:rPr>
            </w:pPr>
          </w:p>
        </w:tc>
        <w:tc>
          <w:tcPr>
            <w:tcW w:w="10400" w:type="dxa"/>
            <w:vAlign w:val="bottom"/>
          </w:tcPr>
          <w:p>
            <w:pPr>
              <w:ind w:left="4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-772160</wp:posOffset>
            </wp:positionV>
            <wp:extent cx="7132320" cy="14744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474470"/>
                    </a:xfrm>
                    <a:prstGeom prst="rect">
                      <a:avLst/>
                    </a:prstGeom>
                    <a:noFill/>
                  </pic:spPr>
                </pic:pic>
              </a:graphicData>
            </a:graphic>
          </wp:anchor>
        </w:drawing>
      </w:r>
    </w:p>
    <w:p>
      <w:pPr>
        <w:ind w:left="1300" w:hanging="1011"/>
        <w:spacing w:after="0"/>
        <w:tabs>
          <w:tab w:leader="none" w:pos="13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19" w:lineRule="exact"/>
        <w:rPr>
          <w:sz w:val="20"/>
          <w:szCs w:val="20"/>
          <w:color w:val="auto"/>
        </w:rPr>
      </w:pPr>
    </w:p>
    <w:p>
      <w:pPr>
        <w:ind w:left="1300" w:right="6260" w:hanging="1011"/>
        <w:spacing w:after="0" w:line="215" w:lineRule="auto"/>
        <w:tabs>
          <w:tab w:leader="none" w:pos="1300" w:val="left"/>
        </w:tabs>
        <w:numPr>
          <w:ilvl w:val="0"/>
          <w:numId w:val="3"/>
        </w:numPr>
        <w:rPr>
          <w:rFonts w:ascii="Times New Roman" w:cs="Times New Roman" w:eastAsia="Times New Roman" w:hAnsi="Times New Roman"/>
          <w:sz w:val="36"/>
          <w:szCs w:val="36"/>
          <w:b w:val="1"/>
          <w:bCs w:val="1"/>
          <w:color w:val="auto"/>
          <w:vertAlign w:val="subscript"/>
        </w:rPr>
      </w:pPr>
      <w:r>
        <w:rPr>
          <w:rFonts w:ascii="Times New Roman" w:cs="Times New Roman" w:eastAsia="Times New Roman" w:hAnsi="Times New Roman"/>
          <w:sz w:val="18"/>
          <w:szCs w:val="18"/>
          <w:color w:val="auto"/>
        </w:rPr>
        <w:t>CITIZENSHIP OR PLACE OF ORGANIZATION Qatar</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320" w:type="dxa"/>
            <w:vAlign w:val="bottom"/>
            <w:tcBorders>
              <w:top w:val="single" w:sz="8" w:color="auto"/>
              <w:right w:val="single" w:sz="8" w:color="auto"/>
            </w:tcBorders>
          </w:tcPr>
          <w:p>
            <w:pPr>
              <w:spacing w:after="0"/>
              <w:rPr>
                <w:sz w:val="21"/>
                <w:szCs w:val="21"/>
                <w:color w:val="auto"/>
              </w:rPr>
            </w:pPr>
          </w:p>
        </w:tc>
        <w:tc>
          <w:tcPr>
            <w:tcW w:w="540" w:type="dxa"/>
            <w:vAlign w:val="bottom"/>
            <w:tcBorders>
              <w:top w:val="single" w:sz="8" w:color="auto"/>
              <w:right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w:t>
            </w:r>
          </w:p>
        </w:tc>
        <w:tc>
          <w:tcPr>
            <w:tcW w:w="9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98"/>
        </w:trPr>
        <w:tc>
          <w:tcPr>
            <w:tcW w:w="1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540" w:type="dxa"/>
            <w:vAlign w:val="bottom"/>
            <w:tcBorders>
              <w:right w:val="single" w:sz="8" w:color="auto"/>
            </w:tcBorders>
            <w:vMerge w:val="continue"/>
          </w:tcPr>
          <w:p>
            <w:pPr>
              <w:spacing w:after="0"/>
              <w:rPr>
                <w:sz w:val="17"/>
                <w:szCs w:val="17"/>
                <w:color w:val="auto"/>
              </w:rPr>
            </w:pPr>
          </w:p>
        </w:tc>
        <w:tc>
          <w:tcPr>
            <w:tcW w:w="9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2,842,595</w:t>
            </w:r>
          </w:p>
        </w:tc>
        <w:tc>
          <w:tcPr>
            <w:tcW w:w="0" w:type="dxa"/>
            <w:vAlign w:val="bottom"/>
          </w:tcPr>
          <w:p>
            <w:pPr>
              <w:spacing w:after="0"/>
              <w:rPr>
                <w:sz w:val="1"/>
                <w:szCs w:val="1"/>
                <w:color w:val="auto"/>
              </w:rPr>
            </w:pPr>
          </w:p>
        </w:tc>
      </w:tr>
      <w:tr>
        <w:trPr>
          <w:trHeight w:val="216"/>
        </w:trPr>
        <w:tc>
          <w:tcPr>
            <w:tcW w:w="1320" w:type="dxa"/>
            <w:vAlign w:val="bottom"/>
            <w:tcBorders>
              <w:right w:val="single" w:sz="8" w:color="auto"/>
            </w:tcBorders>
            <w:vMerge w:val="continue"/>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9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32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SHARES</w:t>
            </w:r>
          </w:p>
        </w:tc>
        <w:tc>
          <w:tcPr>
            <w:tcW w:w="540" w:type="dxa"/>
            <w:vAlign w:val="bottom"/>
            <w:tcBorders>
              <w:right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w:t>
            </w:r>
          </w:p>
        </w:tc>
        <w:tc>
          <w:tcPr>
            <w:tcW w:w="9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7"/>
              </w:rPr>
              <w:t>BENEFICIALLY</w:t>
            </w:r>
          </w:p>
        </w:tc>
        <w:tc>
          <w:tcPr>
            <w:tcW w:w="540" w:type="dxa"/>
            <w:vAlign w:val="bottom"/>
            <w:tcBorders>
              <w:right w:val="single" w:sz="8" w:color="auto"/>
            </w:tcBorders>
            <w:vMerge w:val="continue"/>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OWNED BY</w:t>
            </w:r>
          </w:p>
        </w:tc>
        <w:tc>
          <w:tcPr>
            <w:tcW w:w="540" w:type="dxa"/>
            <w:vAlign w:val="bottom"/>
            <w:tcBorders>
              <w:bottom w:val="single" w:sz="8" w:color="auto"/>
              <w:right w:val="single" w:sz="8" w:color="auto"/>
            </w:tcBorders>
          </w:tcPr>
          <w:p>
            <w:pPr>
              <w:spacing w:after="0"/>
              <w:rPr>
                <w:sz w:val="20"/>
                <w:szCs w:val="20"/>
                <w:color w:val="auto"/>
              </w:rPr>
            </w:pPr>
          </w:p>
        </w:tc>
        <w:tc>
          <w:tcPr>
            <w:tcW w:w="9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- 0 -</w:t>
            </w:r>
          </w:p>
        </w:tc>
        <w:tc>
          <w:tcPr>
            <w:tcW w:w="0" w:type="dxa"/>
            <w:vAlign w:val="bottom"/>
          </w:tcPr>
          <w:p>
            <w:pPr>
              <w:spacing w:after="0"/>
              <w:rPr>
                <w:sz w:val="1"/>
                <w:szCs w:val="1"/>
                <w:color w:val="auto"/>
              </w:rPr>
            </w:pPr>
          </w:p>
        </w:tc>
      </w:tr>
      <w:tr>
        <w:trPr>
          <w:trHeight w:val="178"/>
        </w:trPr>
        <w:tc>
          <w:tcPr>
            <w:tcW w:w="132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540" w:type="dxa"/>
            <w:vAlign w:val="bottom"/>
            <w:tcBorders>
              <w:right w:val="single" w:sz="8" w:color="auto"/>
            </w:tcBorders>
          </w:tcPr>
          <w:p>
            <w:pPr>
              <w:spacing w:after="0"/>
              <w:rPr>
                <w:sz w:val="15"/>
                <w:szCs w:val="15"/>
                <w:color w:val="auto"/>
              </w:rPr>
            </w:pPr>
          </w:p>
        </w:tc>
        <w:tc>
          <w:tcPr>
            <w:tcW w:w="93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REPORTING</w:t>
            </w:r>
          </w:p>
        </w:tc>
        <w:tc>
          <w:tcPr>
            <w:tcW w:w="54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w:t>
            </w: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PERSON</w:t>
            </w:r>
          </w:p>
        </w:tc>
        <w:tc>
          <w:tcPr>
            <w:tcW w:w="540" w:type="dxa"/>
            <w:vAlign w:val="bottom"/>
            <w:tcBorders>
              <w:right w:val="single" w:sz="8" w:color="auto"/>
            </w:tcBorders>
          </w:tcPr>
          <w:p>
            <w:pPr>
              <w:spacing w:after="0"/>
              <w:rPr>
                <w:sz w:val="18"/>
                <w:szCs w:val="18"/>
                <w:color w:val="auto"/>
              </w:rPr>
            </w:pPr>
          </w:p>
        </w:tc>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2,842,595</w:t>
            </w:r>
          </w:p>
        </w:tc>
        <w:tc>
          <w:tcPr>
            <w:tcW w:w="0" w:type="dxa"/>
            <w:vAlign w:val="bottom"/>
          </w:tcPr>
          <w:p>
            <w:pPr>
              <w:spacing w:after="0"/>
              <w:rPr>
                <w:sz w:val="1"/>
                <w:szCs w:val="1"/>
                <w:color w:val="auto"/>
              </w:rPr>
            </w:pPr>
          </w:p>
        </w:tc>
      </w:tr>
      <w:tr>
        <w:trPr>
          <w:trHeight w:val="32"/>
        </w:trPr>
        <w:tc>
          <w:tcPr>
            <w:tcW w:w="1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WITH:</w:t>
            </w:r>
          </w:p>
        </w:tc>
        <w:tc>
          <w:tcPr>
            <w:tcW w:w="540" w:type="dxa"/>
            <w:vAlign w:val="bottom"/>
            <w:tcBorders>
              <w:bottom w:val="single" w:sz="8" w:color="auto"/>
              <w:right w:val="single" w:sz="8" w:color="auto"/>
            </w:tcBorders>
          </w:tcPr>
          <w:p>
            <w:pPr>
              <w:spacing w:after="0"/>
              <w:rPr>
                <w:sz w:val="2"/>
                <w:szCs w:val="2"/>
                <w:color w:val="auto"/>
              </w:rPr>
            </w:pPr>
          </w:p>
        </w:tc>
        <w:tc>
          <w:tcPr>
            <w:tcW w:w="9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320" w:type="dxa"/>
            <w:vAlign w:val="bottom"/>
            <w:tcBorders>
              <w:right w:val="single" w:sz="8" w:color="auto"/>
            </w:tcBorders>
            <w:vMerge w:val="continue"/>
          </w:tcPr>
          <w:p>
            <w:pPr>
              <w:spacing w:after="0"/>
              <w:rPr>
                <w:sz w:val="19"/>
                <w:szCs w:val="19"/>
                <w:color w:val="auto"/>
              </w:rPr>
            </w:pPr>
          </w:p>
        </w:tc>
        <w:tc>
          <w:tcPr>
            <w:tcW w:w="540" w:type="dxa"/>
            <w:vAlign w:val="bottom"/>
            <w:tcBorders>
              <w:right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w:t>
            </w:r>
          </w:p>
        </w:tc>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98"/>
        </w:trPr>
        <w:tc>
          <w:tcPr>
            <w:tcW w:w="132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vMerge w:val="continue"/>
          </w:tcPr>
          <w:p>
            <w:pPr>
              <w:spacing w:after="0"/>
              <w:rPr>
                <w:sz w:val="17"/>
                <w:szCs w:val="17"/>
                <w:color w:val="auto"/>
              </w:rPr>
            </w:pPr>
          </w:p>
        </w:tc>
        <w:tc>
          <w:tcPr>
            <w:tcW w:w="9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- 0 -</w:t>
            </w:r>
          </w:p>
        </w:tc>
        <w:tc>
          <w:tcPr>
            <w:tcW w:w="0" w:type="dxa"/>
            <w:vAlign w:val="bottom"/>
          </w:tcPr>
          <w:p>
            <w:pPr>
              <w:spacing w:after="0"/>
              <w:rPr>
                <w:sz w:val="1"/>
                <w:szCs w:val="1"/>
                <w:color w:val="auto"/>
              </w:rPr>
            </w:pPr>
          </w:p>
        </w:tc>
      </w:tr>
      <w:tr>
        <w:trPr>
          <w:trHeight w:val="216"/>
        </w:trPr>
        <w:tc>
          <w:tcPr>
            <w:tcW w:w="132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9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954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954530"/>
                    </a:xfrm>
                    <a:prstGeom prst="rect">
                      <a:avLst/>
                    </a:prstGeom>
                    <a:noFill/>
                  </pic:spPr>
                </pic:pic>
              </a:graphicData>
            </a:graphic>
          </wp:anchor>
        </w:drawing>
      </w:r>
    </w:p>
    <w:p>
      <w:pPr>
        <w:spacing w:after="0" w:line="178" w:lineRule="exact"/>
        <w:rPr>
          <w:sz w:val="20"/>
          <w:szCs w:val="20"/>
          <w:color w:val="auto"/>
        </w:rPr>
      </w:pPr>
    </w:p>
    <w:p>
      <w:pPr>
        <w:ind w:left="1300" w:right="3380" w:hanging="1011"/>
        <w:spacing w:after="0" w:line="215" w:lineRule="auto"/>
        <w:tabs>
          <w:tab w:leader="none" w:pos="1300" w:val="left"/>
        </w:tabs>
        <w:numPr>
          <w:ilvl w:val="0"/>
          <w:numId w:val="4"/>
        </w:numPr>
        <w:rPr>
          <w:rFonts w:ascii="Times New Roman" w:cs="Times New Roman" w:eastAsia="Times New Roman" w:hAnsi="Times New Roman"/>
          <w:sz w:val="36"/>
          <w:szCs w:val="36"/>
          <w:b w:val="1"/>
          <w:bCs w:val="1"/>
          <w:color w:val="auto"/>
          <w:vertAlign w:val="subscript"/>
        </w:rPr>
      </w:pPr>
      <w:r>
        <w:rPr>
          <w:rFonts w:ascii="Times New Roman" w:cs="Times New Roman" w:eastAsia="Times New Roman" w:hAnsi="Times New Roman"/>
          <w:sz w:val="18"/>
          <w:szCs w:val="18"/>
          <w:color w:val="auto"/>
        </w:rPr>
        <w:t>AGGREGATE AMOUNT BENEFICIALLY OWNED BY EACH REPORTING PERSON 2,842,595 (see Item 4 below)</w:t>
      </w:r>
    </w:p>
    <w:p>
      <w:pPr>
        <w:spacing w:after="0" w:line="321" w:lineRule="exact"/>
        <w:rPr>
          <w:sz w:val="20"/>
          <w:szCs w:val="20"/>
          <w:color w:val="auto"/>
        </w:rPr>
      </w:pPr>
    </w:p>
    <w:p>
      <w:pPr>
        <w:ind w:left="1300" w:hanging="1056"/>
        <w:spacing w:after="0"/>
        <w:tabs>
          <w:tab w:leader="none" w:pos="1300"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2" w:lineRule="exact"/>
        <w:rPr>
          <w:rFonts w:ascii="Times New Roman" w:cs="Times New Roman" w:eastAsia="Times New Roman" w:hAnsi="Times New Roman"/>
          <w:sz w:val="18"/>
          <w:szCs w:val="18"/>
          <w:b w:val="1"/>
          <w:bCs w:val="1"/>
          <w:color w:val="auto"/>
        </w:rPr>
      </w:pPr>
    </w:p>
    <w:p>
      <w:pPr>
        <w:ind w:left="130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72" w:lineRule="exact"/>
        <w:rPr>
          <w:rFonts w:ascii="Times New Roman" w:cs="Times New Roman" w:eastAsia="Times New Roman" w:hAnsi="Times New Roman"/>
          <w:sz w:val="18"/>
          <w:szCs w:val="18"/>
          <w:b w:val="1"/>
          <w:bCs w:val="1"/>
          <w:color w:val="auto"/>
        </w:rPr>
      </w:pPr>
    </w:p>
    <w:p>
      <w:pPr>
        <w:ind w:left="1300" w:hanging="1051"/>
        <w:spacing w:after="0"/>
        <w:tabs>
          <w:tab w:leader="none" w:pos="1300" w:val="left"/>
        </w:tabs>
        <w:numPr>
          <w:ilvl w:val="1"/>
          <w:numId w:val="5"/>
        </w:numPr>
        <w:rPr>
          <w:rFonts w:ascii="Times New Roman" w:cs="Times New Roman" w:eastAsia="Times New Roman" w:hAnsi="Times New Roman"/>
          <w:sz w:val="36"/>
          <w:szCs w:val="36"/>
          <w:b w:val="1"/>
          <w:bCs w:val="1"/>
          <w:color w:val="auto"/>
          <w:vertAlign w:val="subscript"/>
        </w:rPr>
      </w:pPr>
      <w:r>
        <w:rPr>
          <w:rFonts w:ascii="Times New Roman" w:cs="Times New Roman" w:eastAsia="Times New Roman" w:hAnsi="Times New Roman"/>
          <w:sz w:val="18"/>
          <w:szCs w:val="18"/>
          <w:color w:val="auto"/>
        </w:rPr>
        <w:t>PERCENT OF CLASS REPRESENTED BY AMOUNT IN ROW (9)</w:t>
      </w:r>
    </w:p>
    <w:p>
      <w:pPr>
        <w:spacing w:after="0" w:line="89" w:lineRule="exact"/>
        <w:rPr>
          <w:rFonts w:ascii="Times New Roman" w:cs="Times New Roman" w:eastAsia="Times New Roman" w:hAnsi="Times New Roman"/>
          <w:sz w:val="36"/>
          <w:szCs w:val="36"/>
          <w:b w:val="1"/>
          <w:bCs w:val="1"/>
          <w:color w:val="auto"/>
          <w:vertAlign w:val="subscript"/>
        </w:rPr>
      </w:pPr>
    </w:p>
    <w:p>
      <w:pPr>
        <w:ind w:left="1300"/>
        <w:spacing w:after="0"/>
        <w:rPr>
          <w:rFonts w:ascii="Times New Roman" w:cs="Times New Roman" w:eastAsia="Times New Roman" w:hAnsi="Times New Roman"/>
          <w:sz w:val="36"/>
          <w:szCs w:val="36"/>
          <w:b w:val="1"/>
          <w:bCs w:val="1"/>
          <w:color w:val="auto"/>
          <w:vertAlign w:val="subscript"/>
        </w:rPr>
      </w:pPr>
      <w:r>
        <w:rPr>
          <w:rFonts w:ascii="Times New Roman" w:cs="Times New Roman" w:eastAsia="Times New Roman" w:hAnsi="Times New Roman"/>
          <w:sz w:val="18"/>
          <w:szCs w:val="18"/>
          <w:color w:val="auto"/>
        </w:rPr>
        <w:t>4.34% (1)</w:t>
      </w:r>
    </w:p>
    <w:p>
      <w:pPr>
        <w:spacing w:after="0" w:line="346" w:lineRule="exact"/>
        <w:rPr>
          <w:rFonts w:ascii="Times New Roman" w:cs="Times New Roman" w:eastAsia="Times New Roman" w:hAnsi="Times New Roman"/>
          <w:sz w:val="36"/>
          <w:szCs w:val="36"/>
          <w:b w:val="1"/>
          <w:bCs w:val="1"/>
          <w:color w:val="auto"/>
          <w:vertAlign w:val="subscript"/>
        </w:rPr>
      </w:pPr>
    </w:p>
    <w:p>
      <w:pPr>
        <w:ind w:left="1300" w:right="5600" w:hanging="1056"/>
        <w:spacing w:after="0" w:line="282" w:lineRule="auto"/>
        <w:tabs>
          <w:tab w:leader="none" w:pos="1300"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OO</w:t>
      </w:r>
    </w:p>
    <w:p>
      <w:pPr>
        <w:spacing w:after="0" w:line="161" w:lineRule="exact"/>
        <w:rPr>
          <w:rFonts w:ascii="Times New Roman" w:cs="Times New Roman" w:eastAsia="Times New Roman" w:hAnsi="Times New Roman"/>
          <w:sz w:val="18"/>
          <w:szCs w:val="18"/>
          <w:b w:val="1"/>
          <w:bCs w:val="1"/>
          <w:color w:val="auto"/>
        </w:rPr>
      </w:pPr>
    </w:p>
    <w:p>
      <w:pPr>
        <w:ind w:left="640" w:right="360" w:hanging="511"/>
        <w:spacing w:after="0" w:line="282"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65,478,775 common shares of beneficial interest, par value $0.001 per share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outstanding as of December 31, 2023, as disclosed by Sixth Street Lending Partners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to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474345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49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CUSIP No. N/A</w:t>
            </w: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Schedule 13G</w:t>
            </w:r>
          </w:p>
        </w:tc>
        <w:tc>
          <w:tcPr>
            <w:tcW w:w="2960" w:type="dxa"/>
            <w:vAlign w:val="bottom"/>
          </w:tcPr>
          <w:p>
            <w:pPr>
              <w:ind w:left="2140"/>
              <w:spacing w:after="0"/>
              <w:rPr>
                <w:sz w:val="20"/>
                <w:szCs w:val="20"/>
                <w:color w:val="auto"/>
              </w:rPr>
            </w:pPr>
            <w:r>
              <w:rPr>
                <w:rFonts w:ascii="Times New Roman" w:cs="Times New Roman" w:eastAsia="Times New Roman" w:hAnsi="Times New Roman"/>
                <w:sz w:val="18"/>
                <w:szCs w:val="18"/>
                <w:color w:val="auto"/>
                <w:w w:val="98"/>
              </w:rPr>
              <w:t xml:space="preserve">Page </w:t>
            </w:r>
            <w:r>
              <w:rPr>
                <w:rFonts w:ascii="Times New Roman" w:cs="Times New Roman" w:eastAsia="Times New Roman" w:hAnsi="Times New Roman"/>
                <w:sz w:val="18"/>
                <w:szCs w:val="18"/>
                <w:b w:val="1"/>
                <w:bCs w:val="1"/>
                <w:color w:val="auto"/>
                <w:w w:val="98"/>
              </w:rPr>
              <w:t>3</w:t>
            </w:r>
            <w:r>
              <w:rPr>
                <w:rFonts w:ascii="Times New Roman" w:cs="Times New Roman" w:eastAsia="Times New Roman" w:hAnsi="Times New Roman"/>
                <w:sz w:val="18"/>
                <w:szCs w:val="18"/>
                <w:color w:val="auto"/>
                <w:w w:val="98"/>
              </w:rPr>
              <w:t xml:space="preserve"> of </w:t>
            </w:r>
            <w:r>
              <w:rPr>
                <w:rFonts w:ascii="Times New Roman" w:cs="Times New Roman" w:eastAsia="Times New Roman" w:hAnsi="Times New Roman"/>
                <w:sz w:val="18"/>
                <w:szCs w:val="18"/>
                <w:b w:val="1"/>
                <w:bCs w:val="1"/>
                <w:color w:val="auto"/>
                <w:w w:val="98"/>
              </w:rPr>
              <w:t>8</w:t>
            </w:r>
          </w:p>
        </w:tc>
      </w:tr>
      <w:tr>
        <w:trPr>
          <w:trHeight w:val="20"/>
        </w:trPr>
        <w:tc>
          <w:tcPr>
            <w:tcW w:w="9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406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Name of Issuer:</w:t>
            </w:r>
          </w:p>
        </w:tc>
        <w:tc>
          <w:tcPr>
            <w:tcW w:w="332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391"/>
        </w:trPr>
        <w:tc>
          <w:tcPr>
            <w:tcW w:w="900" w:type="dxa"/>
            <w:vAlign w:val="bottom"/>
          </w:tcPr>
          <w:p>
            <w:pPr>
              <w:spacing w:after="0"/>
              <w:rPr>
                <w:sz w:val="24"/>
                <w:szCs w:val="24"/>
                <w:color w:val="auto"/>
              </w:rPr>
            </w:pPr>
          </w:p>
        </w:tc>
        <w:tc>
          <w:tcPr>
            <w:tcW w:w="40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Sixth Street Lending Partners (the “Issuer”)</w:t>
            </w:r>
          </w:p>
        </w:tc>
        <w:tc>
          <w:tcPr>
            <w:tcW w:w="332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453"/>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406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Address of Issuer’s Principal Executive Offices:</w:t>
            </w:r>
          </w:p>
        </w:tc>
        <w:tc>
          <w:tcPr>
            <w:tcW w:w="332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414"/>
        </w:trPr>
        <w:tc>
          <w:tcPr>
            <w:tcW w:w="900" w:type="dxa"/>
            <w:vAlign w:val="bottom"/>
          </w:tcPr>
          <w:p>
            <w:pPr>
              <w:spacing w:after="0"/>
              <w:rPr>
                <w:sz w:val="24"/>
                <w:szCs w:val="24"/>
                <w:color w:val="auto"/>
              </w:rPr>
            </w:pPr>
          </w:p>
        </w:tc>
        <w:tc>
          <w:tcPr>
            <w:tcW w:w="40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2100 McKinney Avenue</w:t>
            </w:r>
          </w:p>
        </w:tc>
        <w:tc>
          <w:tcPr>
            <w:tcW w:w="332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16"/>
        </w:trPr>
        <w:tc>
          <w:tcPr>
            <w:tcW w:w="900" w:type="dxa"/>
            <w:vAlign w:val="bottom"/>
          </w:tcPr>
          <w:p>
            <w:pPr>
              <w:spacing w:after="0"/>
              <w:rPr>
                <w:sz w:val="18"/>
                <w:szCs w:val="18"/>
                <w:color w:val="auto"/>
              </w:rPr>
            </w:pPr>
          </w:p>
        </w:tc>
        <w:tc>
          <w:tcPr>
            <w:tcW w:w="40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Suite 1500</w:t>
            </w:r>
          </w:p>
        </w:tc>
        <w:tc>
          <w:tcPr>
            <w:tcW w:w="332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34"/>
        </w:trPr>
        <w:tc>
          <w:tcPr>
            <w:tcW w:w="900" w:type="dxa"/>
            <w:vAlign w:val="bottom"/>
          </w:tcPr>
          <w:p>
            <w:pPr>
              <w:spacing w:after="0"/>
              <w:rPr>
                <w:sz w:val="20"/>
                <w:szCs w:val="20"/>
                <w:color w:val="auto"/>
              </w:rPr>
            </w:pPr>
          </w:p>
        </w:tc>
        <w:tc>
          <w:tcPr>
            <w:tcW w:w="40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Dallas, TX 75201</w:t>
            </w:r>
          </w:p>
        </w:tc>
        <w:tc>
          <w:tcPr>
            <w:tcW w:w="332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406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Name of Person Filing:</w:t>
            </w:r>
          </w:p>
        </w:tc>
        <w:tc>
          <w:tcPr>
            <w:tcW w:w="3320" w:type="dxa"/>
            <w:vAlign w:val="bottom"/>
          </w:tcPr>
          <w:p>
            <w:pPr>
              <w:spacing w:after="0"/>
              <w:rPr>
                <w:sz w:val="24"/>
                <w:szCs w:val="24"/>
                <w:color w:val="auto"/>
              </w:rPr>
            </w:pPr>
          </w:p>
        </w:tc>
        <w:tc>
          <w:tcPr>
            <w:tcW w:w="2960" w:type="dxa"/>
            <w:vAlign w:val="bottom"/>
          </w:tcPr>
          <w:p>
            <w:pPr>
              <w:spacing w:after="0"/>
              <w:rPr>
                <w:sz w:val="24"/>
                <w:szCs w:val="24"/>
                <w:color w:val="auto"/>
              </w:rPr>
            </w:pPr>
          </w:p>
        </w:tc>
      </w:tr>
    </w:tbl>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Qatar Investment Authority (the “</w:t>
      </w:r>
      <w:r>
        <w:rPr>
          <w:rFonts w:ascii="Times New Roman" w:cs="Times New Roman" w:eastAsia="Times New Roman" w:hAnsi="Times New Roman"/>
          <w:sz w:val="18"/>
          <w:szCs w:val="18"/>
          <w:u w:val="single" w:color="auto"/>
          <w:color w:val="auto"/>
        </w:rPr>
        <w:t>Reporting Person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Ooredoo Tower (Building 14), Al Dafna Street (Street 801), Al Dafna (Zone 61), P.O. Box 23224, Qatar.</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b w:val="1"/>
          <w:bCs w:val="1"/>
          <w:color w:val="auto"/>
        </w:rPr>
        <w:t>Citizenship:</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Qatar</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Common shares of beneficial interest, par value $0.001 per share.</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 240.13d-1(b) or 240.13d-2(b) or (c), check whether the person filing is a:</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29" w:lineRule="exact"/>
        <w:rPr>
          <w:sz w:val="20"/>
          <w:szCs w:val="20"/>
          <w:color w:val="auto"/>
        </w:rPr>
      </w:pPr>
    </w:p>
    <w:p>
      <w:pPr>
        <w:ind w:left="1140" w:right="180"/>
        <w:spacing w:after="0" w:line="282" w:lineRule="auto"/>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Amount beneficially owned:</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2,842,595</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Percent of class: 4.34%</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Number of shares as to which the person has:</w:t>
      </w:r>
    </w:p>
    <w:p>
      <w:pPr>
        <w:spacing w:after="0" w:line="225" w:lineRule="exact"/>
        <w:rPr>
          <w:sz w:val="20"/>
          <w:szCs w:val="20"/>
          <w:color w:val="auto"/>
        </w:rPr>
      </w:pPr>
    </w:p>
    <w:p>
      <w:pPr>
        <w:ind w:left="1820" w:right="6620" w:hanging="449"/>
        <w:spacing w:after="0" w:line="282"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2,842,595</w:t>
      </w:r>
    </w:p>
    <w:p>
      <w:pPr>
        <w:spacing w:after="0" w:line="161" w:lineRule="exact"/>
        <w:rPr>
          <w:rFonts w:ascii="Times New Roman" w:cs="Times New Roman" w:eastAsia="Times New Roman" w:hAnsi="Times New Roman"/>
          <w:sz w:val="18"/>
          <w:szCs w:val="18"/>
          <w:color w:val="auto"/>
        </w:rPr>
      </w:pPr>
    </w:p>
    <w:p>
      <w:pPr>
        <w:ind w:left="1820" w:right="6440" w:hanging="449"/>
        <w:spacing w:after="0" w:line="282"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161" w:lineRule="exact"/>
        <w:rPr>
          <w:rFonts w:ascii="Times New Roman" w:cs="Times New Roman" w:eastAsia="Times New Roman" w:hAnsi="Times New Roman"/>
          <w:sz w:val="18"/>
          <w:szCs w:val="18"/>
          <w:color w:val="auto"/>
        </w:rPr>
      </w:pPr>
    </w:p>
    <w:p>
      <w:pPr>
        <w:ind w:left="1820" w:right="5700" w:hanging="449"/>
        <w:spacing w:after="0" w:line="282"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2,842,595</w:t>
      </w:r>
    </w:p>
    <w:p>
      <w:pPr>
        <w:spacing w:after="0" w:line="161" w:lineRule="exact"/>
        <w:rPr>
          <w:rFonts w:ascii="Times New Roman" w:cs="Times New Roman" w:eastAsia="Times New Roman" w:hAnsi="Times New Roman"/>
          <w:sz w:val="18"/>
          <w:szCs w:val="18"/>
          <w:color w:val="auto"/>
        </w:rPr>
      </w:pPr>
    </w:p>
    <w:p>
      <w:pPr>
        <w:ind w:left="1820" w:right="5540" w:hanging="449"/>
        <w:spacing w:after="0" w:line="282"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3" w:name="page4"/>
    <w:bookmarkEnd w:id="3"/>
    <w:p>
      <w:pPr>
        <w:spacing w:after="0"/>
        <w:tabs>
          <w:tab w:leader="none" w:pos="5100" w:val="left"/>
          <w:tab w:leader="none" w:pos="10400" w:val="left"/>
        </w:tabs>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b w:val="1"/>
          <w:bCs w:val="1"/>
          <w:u w:val="single" w:color="auto"/>
          <w:color w:val="auto"/>
        </w:rPr>
        <w:t>N/A</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8</w:t>
      </w:r>
    </w:p>
    <w:p>
      <w:pPr>
        <w:spacing w:after="0" w:line="200" w:lineRule="exact"/>
        <w:rPr>
          <w:sz w:val="20"/>
          <w:szCs w:val="20"/>
          <w:color w:val="auto"/>
        </w:rPr>
      </w:pPr>
    </w:p>
    <w:p>
      <w:pPr>
        <w:spacing w:after="0" w:line="26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left="1140" w:right="8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6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140" w:right="76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1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See Exhibit A</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jc w:val="center"/>
        <w:ind w:right="7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jc w:val="both"/>
        <w:ind w:left="1140" w:right="14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 w:name="page5"/>
    <w:bookmarkEnd w:id="4"/>
    <w:p>
      <w:pPr>
        <w:spacing w:after="0"/>
        <w:tabs>
          <w:tab w:leader="none" w:pos="5100" w:val="left"/>
          <w:tab w:leader="none" w:pos="10400" w:val="left"/>
        </w:tabs>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b w:val="1"/>
          <w:bCs w:val="1"/>
          <w:u w:val="single" w:color="auto"/>
          <w:color w:val="auto"/>
        </w:rPr>
        <w:t>N/A</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February 8, 2024</w:t>
      </w:r>
    </w:p>
    <w:p>
      <w:pPr>
        <w:spacing w:after="0" w:line="22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QATAR INVESTMENT AUTHORITY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508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60" w:type="dxa"/>
            <w:vAlign w:val="bottom"/>
          </w:tcPr>
          <w:p>
            <w:pPr>
              <w:spacing w:after="0"/>
              <w:rPr>
                <w:sz w:val="20"/>
                <w:szCs w:val="20"/>
                <w:color w:val="auto"/>
              </w:rPr>
            </w:pPr>
          </w:p>
        </w:tc>
        <w:tc>
          <w:tcPr>
            <w:tcW w:w="41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 Andrew Watkins</w:t>
            </w:r>
          </w:p>
        </w:tc>
      </w:tr>
      <w:tr>
        <w:trPr>
          <w:trHeight w:val="191"/>
        </w:trPr>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52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Andrew Watkins**</w:t>
            </w:r>
          </w:p>
        </w:tc>
      </w:tr>
      <w:tr>
        <w:trPr>
          <w:trHeight w:val="216"/>
        </w:trPr>
        <w:tc>
          <w:tcPr>
            <w:tcW w:w="400" w:type="dxa"/>
            <w:vAlign w:val="bottom"/>
          </w:tcPr>
          <w:p>
            <w:pPr>
              <w:spacing w:after="0"/>
              <w:rPr>
                <w:sz w:val="18"/>
                <w:szCs w:val="18"/>
                <w:color w:val="auto"/>
              </w:rPr>
            </w:pP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Title:</w:t>
            </w:r>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Associate General Counsel, Head of</w:t>
            </w:r>
          </w:p>
        </w:tc>
      </w:tr>
      <w:tr>
        <w:trPr>
          <w:trHeight w:val="234"/>
        </w:trPr>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Compliance</w:t>
            </w:r>
          </w:p>
        </w:tc>
      </w:tr>
    </w:tbl>
    <w:p>
      <w:pPr>
        <w:spacing w:after="0" w:line="198" w:lineRule="exact"/>
        <w:rPr>
          <w:sz w:val="20"/>
          <w:szCs w:val="20"/>
          <w:color w:val="auto"/>
        </w:rPr>
      </w:pPr>
    </w:p>
    <w:p>
      <w:pPr>
        <w:ind w:right="100" w:firstLine="8"/>
        <w:spacing w:after="0" w:line="282" w:lineRule="auto"/>
        <w:tabs>
          <w:tab w:leader="none" w:pos="22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authority to sign on behalf of Qatar Investment Authority is set forth in a Certificate of Incumbency dated February 02, 2022, and included as Exhibit B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w w:val="99"/>
              </w:rPr>
              <w:t>CUSIP No. N/A</w:t>
            </w:r>
          </w:p>
        </w:tc>
        <w:tc>
          <w:tcPr>
            <w:tcW w:w="724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rPr>
              <w:t>Schedule 13G</w:t>
            </w:r>
          </w:p>
        </w:tc>
        <w:tc>
          <w:tcPr>
            <w:tcW w:w="2780" w:type="dxa"/>
            <w:vAlign w:val="bottom"/>
          </w:tcPr>
          <w:p>
            <w:pPr>
              <w:ind w:left="1960"/>
              <w:spacing w:after="0"/>
              <w:rPr>
                <w:sz w:val="20"/>
                <w:szCs w:val="20"/>
                <w:color w:val="auto"/>
              </w:rPr>
            </w:pPr>
            <w:r>
              <w:rPr>
                <w:rFonts w:ascii="Times New Roman" w:cs="Times New Roman" w:eastAsia="Times New Roman" w:hAnsi="Times New Roman"/>
                <w:sz w:val="18"/>
                <w:szCs w:val="18"/>
                <w:color w:val="auto"/>
                <w:w w:val="98"/>
              </w:rPr>
              <w:t xml:space="preserve">Page </w:t>
            </w:r>
            <w:r>
              <w:rPr>
                <w:rFonts w:ascii="Times New Roman" w:cs="Times New Roman" w:eastAsia="Times New Roman" w:hAnsi="Times New Roman"/>
                <w:sz w:val="18"/>
                <w:szCs w:val="18"/>
                <w:b w:val="1"/>
                <w:bCs w:val="1"/>
                <w:color w:val="auto"/>
                <w:w w:val="98"/>
              </w:rPr>
              <w:t>6</w:t>
            </w:r>
            <w:r>
              <w:rPr>
                <w:rFonts w:ascii="Times New Roman" w:cs="Times New Roman" w:eastAsia="Times New Roman" w:hAnsi="Times New Roman"/>
                <w:sz w:val="18"/>
                <w:szCs w:val="18"/>
                <w:color w:val="auto"/>
                <w:w w:val="98"/>
              </w:rPr>
              <w:t xml:space="preserve"> of </w:t>
            </w:r>
            <w:r>
              <w:rPr>
                <w:rFonts w:ascii="Times New Roman" w:cs="Times New Roman" w:eastAsia="Times New Roman" w:hAnsi="Times New Roman"/>
                <w:sz w:val="18"/>
                <w:szCs w:val="18"/>
                <w:b w:val="1"/>
                <w:bCs w:val="1"/>
                <w:color w:val="auto"/>
                <w:w w:val="98"/>
              </w:rPr>
              <w:t>8</w:t>
            </w:r>
          </w:p>
        </w:tc>
      </w:tr>
      <w:tr>
        <w:trPr>
          <w:trHeight w:val="453"/>
        </w:trPr>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24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INDEX TO EXHIBITS</w:t>
            </w:r>
          </w:p>
        </w:tc>
        <w:tc>
          <w:tcPr>
            <w:tcW w:w="2780" w:type="dxa"/>
            <w:vAlign w:val="bottom"/>
          </w:tcPr>
          <w:p>
            <w:pPr>
              <w:spacing w:after="0"/>
              <w:rPr>
                <w:sz w:val="24"/>
                <w:szCs w:val="24"/>
                <w:color w:val="auto"/>
              </w:rPr>
            </w:pPr>
          </w:p>
        </w:tc>
      </w:tr>
      <w:tr>
        <w:trPr>
          <w:trHeight w:val="432"/>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No.</w:t>
            </w:r>
          </w:p>
        </w:tc>
        <w:tc>
          <w:tcPr>
            <w:tcW w:w="72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Description</w:t>
            </w:r>
          </w:p>
        </w:tc>
        <w:tc>
          <w:tcPr>
            <w:tcW w:w="2780" w:type="dxa"/>
            <w:vAlign w:val="bottom"/>
          </w:tcPr>
          <w:p>
            <w:pPr>
              <w:spacing w:after="0"/>
              <w:rPr>
                <w:sz w:val="24"/>
                <w:szCs w:val="24"/>
                <w:color w:val="auto"/>
              </w:rPr>
            </w:pPr>
          </w:p>
        </w:tc>
      </w:tr>
      <w:tr>
        <w:trPr>
          <w:trHeight w:val="392"/>
        </w:trPr>
        <w:tc>
          <w:tcPr>
            <w:tcW w:w="1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1"/>
              </w:rPr>
              <w:t>A</w:t>
            </w:r>
          </w:p>
        </w:tc>
        <w:tc>
          <w:tcPr>
            <w:tcW w:w="1080" w:type="dxa"/>
            <w:vAlign w:val="bottom"/>
            <w:gridSpan w:val="2"/>
          </w:tcPr>
          <w:p>
            <w:pPr>
              <w:spacing w:after="0"/>
              <w:rPr>
                <w:sz w:val="24"/>
                <w:szCs w:val="24"/>
                <w:color w:val="auto"/>
              </w:rPr>
            </w:pPr>
          </w:p>
        </w:tc>
        <w:tc>
          <w:tcPr>
            <w:tcW w:w="72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Item 7 Information</w:t>
            </w:r>
          </w:p>
        </w:tc>
        <w:tc>
          <w:tcPr>
            <w:tcW w:w="2780" w:type="dxa"/>
            <w:vAlign w:val="bottom"/>
          </w:tcPr>
          <w:p>
            <w:pPr>
              <w:spacing w:after="0"/>
              <w:rPr>
                <w:sz w:val="24"/>
                <w:szCs w:val="24"/>
                <w:color w:val="auto"/>
              </w:rPr>
            </w:pPr>
          </w:p>
        </w:tc>
      </w:tr>
      <w:tr>
        <w:trPr>
          <w:trHeight w:val="196"/>
        </w:trPr>
        <w:tc>
          <w:tcPr>
            <w:tcW w:w="12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B</w:t>
            </w:r>
          </w:p>
        </w:tc>
        <w:tc>
          <w:tcPr>
            <w:tcW w:w="7240" w:type="dxa"/>
            <w:vAlign w:val="bottom"/>
          </w:tcPr>
          <w:p>
            <w:pPr>
              <w:ind w:left="1280"/>
              <w:spacing w:after="0" w:line="196" w:lineRule="exact"/>
              <w:rPr>
                <w:sz w:val="20"/>
                <w:szCs w:val="20"/>
                <w:color w:val="auto"/>
              </w:rPr>
            </w:pPr>
            <w:r>
              <w:rPr>
                <w:rFonts w:ascii="Times New Roman" w:cs="Times New Roman" w:eastAsia="Times New Roman" w:hAnsi="Times New Roman"/>
                <w:sz w:val="18"/>
                <w:szCs w:val="18"/>
                <w:color w:val="auto"/>
              </w:rPr>
              <w:t>Certificate of Incumbency</w:t>
            </w:r>
          </w:p>
        </w:tc>
        <w:tc>
          <w:tcPr>
            <w:tcW w:w="2780" w:type="dxa"/>
            <w:vAlign w:val="bottom"/>
          </w:tcPr>
          <w:p>
            <w:pPr>
              <w:spacing w:after="0"/>
              <w:rPr>
                <w:sz w:val="17"/>
                <w:szCs w:val="17"/>
                <w:color w:val="auto"/>
              </w:rPr>
            </w:pPr>
          </w:p>
        </w:tc>
      </w:tr>
      <w:tr>
        <w:trPr>
          <w:trHeight w:val="588"/>
        </w:trPr>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8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Qatar Investment Authority SC 13GA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tabs>
          <w:tab w:leader="none" w:pos="5100" w:val="left"/>
          <w:tab w:leader="none" w:pos="10400" w:val="left"/>
        </w:tabs>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b w:val="1"/>
          <w:bCs w:val="1"/>
          <w:u w:val="single" w:color="auto"/>
          <w:color w:val="auto"/>
        </w:rPr>
        <w:t>N/A</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8</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Schedule 13G to which this attachment is appended is filed by Qatar Investment Authority on behalf of itself and the following subsidiaries:</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Q West Holding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8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t>Qatar Investment Authority SC 13GA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tabs>
          <w:tab w:leader="none" w:pos="5100" w:val="left"/>
          <w:tab w:leader="none" w:pos="10400" w:val="left"/>
        </w:tabs>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b w:val="1"/>
          <w:bCs w:val="1"/>
          <w:u w:val="single" w:color="auto"/>
          <w:color w:val="auto"/>
        </w:rPr>
        <w:t>N/A</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8</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INCUMBENCY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 Ahmad Mohammed F Q Al-Khanji, Chief of Legal and General Counsel, of Qatar Investment Authority, established by Emiri Decision No 22 in 2005, with its registered office at, Ooredoo Tower (Building 14), Al Dafna Street (Street 801), Al Dafna (Zone 61), Doha, State of Qatar, do hereby confirm that Andrew Watkins is the duly appointed Associate General Counsel, Compliance, an officer of the Qatar Investment Authority, and as such, is authorized to sign regulatory filings on behalf of the Qatar Investment Authority.</w:t>
      </w:r>
    </w:p>
    <w:p>
      <w:pPr>
        <w:spacing w:after="0" w:line="39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Ahmad Mohammed FQ Al-Khanji</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Ahmad Mohammed FQ Al-Khanji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-127635</wp:posOffset>
            </wp:positionV>
            <wp:extent cx="24942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of Legal and General Counsel</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Dated: February 02,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4"/>
      <w:numFmt w:val="bullet"/>
      <w:start w:val="1"/>
    </w:lvl>
  </w:abstractNum>
  <w:abstractNum w:abstractNumId="3">
    <w:nsid w:val="507ED7AB"/>
    <w:multiLevelType w:val="hybridMultilevel"/>
    <w:lvl w:ilvl="0">
      <w:lvlJc w:val="left"/>
      <w:lvlText w:val="9"/>
      <w:numFmt w:val="bullet"/>
      <w:start w:val="1"/>
    </w:lvl>
  </w:abstractNum>
  <w:abstractNum w:abstractNumId="4">
    <w:nsid w:val="2EB141F2"/>
    <w:multiLevelType w:val="hybridMultilevel"/>
    <w:lvl w:ilvl="0">
      <w:lvlJc w:val="left"/>
      <w:lvlText w:val="%1"/>
      <w:numFmt w:val="decimal"/>
      <w:start w:val="1"/>
    </w:lvl>
    <w:lvl w:ilvl="1">
      <w:lvlJc w:val="left"/>
      <w:lvlText w:val="%2"/>
      <w:numFmt w:val="decimal"/>
      <w:start w:val="10"/>
    </w:lvl>
  </w:abstractNum>
  <w:abstractNum w:abstractNumId="5">
    <w:nsid w:val="41B71EFB"/>
    <w:multiLevelType w:val="hybridMultilevel"/>
    <w:lvl w:ilvl="0">
      <w:lvlJc w:val="left"/>
      <w:lvlText w:val="(%1)"/>
      <w:numFmt w:val="decimal"/>
      <w:start w:val="1"/>
    </w:lvl>
    <w:lvl w:ilvl="1">
      <w:lvlJc w:val="left"/>
      <w:lvlText w:val="%2"/>
      <w:numFmt w:val="decimal"/>
      <w:start w:val="1"/>
    </w:lvl>
  </w:abstractNum>
  <w:abstractNum w:abstractNumId="6">
    <w:nsid w:val="79E2A9E3"/>
    <w:multiLevelType w:val="hybridMultilevel"/>
    <w:lvl w:ilvl="0">
      <w:lvlJc w:val="left"/>
      <w:lvlText w:val="(%1)"/>
      <w:numFmt w:val="lowerRoman"/>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2024-02-08T19:38:00Z</dcterms:created>
  <dcterms:modified xsi:type="dcterms:W3CDTF">2024-02-08T19:38:00Z</dcterms:modified>
</cp:coreProperties>
</file>