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04794d8k.htm"/>
      <w:bookmarkStart w:id="1" w:name="ksd804794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March 26,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48"/>
        </w:rPr>
      </w:pPr>
      <w:r>
        <w:rPr>
          <w:rFonts w:ascii="Times New Roman" w:hAnsi="Times New Roman"/>
          <w:b/>
          <w:sz w:val="48"/>
        </w:rPr>
        <w:t>Sixth Street Lending Partners</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775" w:type="dxa"/>
        <w:jc w:val="left"/>
        <w:tblInd w:w="0" w:type="dxa"/>
        <w:tblLayout w:type="fixed"/>
        <w:tblCellMar>
          <w:top w:w="0" w:type="dxa"/>
          <w:left w:w="0" w:type="dxa"/>
          <w:bottom w:w="0" w:type="dxa"/>
          <w:right w:w="0" w:type="dxa"/>
        </w:tblCellMar>
      </w:tblPr>
      <w:tblGrid>
        <w:gridCol w:w="2720"/>
        <w:gridCol w:w="60"/>
        <w:gridCol w:w="105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814-01543</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88-1710161</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2100 McKinney Avenue, Suite 1500</w:t>
            </w:r>
          </w:p>
          <w:p>
            <w:pPr>
              <w:pStyle w:val="TableContents"/>
              <w:bidi w:val="0"/>
              <w:spacing w:before="0" w:after="20"/>
              <w:jc w:val="center"/>
              <w:rPr>
                <w:rFonts w:ascii="Times New Roman" w:hAnsi="Times New Roman"/>
                <w:b/>
                <w:sz w:val="20"/>
              </w:rPr>
            </w:pPr>
            <w:r>
              <w:rPr>
                <w:rFonts w:ascii="Times New Roman" w:hAnsi="Times New Roman"/>
                <w:b/>
                <w:sz w:val="20"/>
              </w:rPr>
              <w:t>Dallas, Texas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75201</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(469) 621-3001</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 None</w:t>
      </w:r>
    </w:p>
    <w:p>
      <w:pPr>
        <w:pStyle w:val="TextBody"/>
        <w:bidi w:val="0"/>
        <w:spacing w:before="0" w:after="0"/>
        <w:jc w:val="left"/>
        <w:rPr/>
      </w:pPr>
      <w:r>
        <w:rPr/>
        <w:t> </w:t>
      </w:r>
    </w:p>
    <w:tbl>
      <w:tblPr>
        <w:tblW w:w="3915" w:type="dxa"/>
        <w:jc w:val="left"/>
        <w:tblInd w:w="0" w:type="dxa"/>
        <w:tblLayout w:type="fixed"/>
        <w:tblCellMar>
          <w:top w:w="0" w:type="dxa"/>
          <w:left w:w="0" w:type="dxa"/>
          <w:bottom w:w="0" w:type="dxa"/>
          <w:right w:w="0" w:type="dxa"/>
        </w:tblCellMar>
      </w:tblPr>
      <w:tblGrid>
        <w:gridCol w:w="1310"/>
        <w:gridCol w:w="60"/>
        <w:gridCol w:w="740"/>
        <w:gridCol w:w="60"/>
        <w:gridCol w:w="1745"/>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13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3.02. Unregistered Sale of Equity Securities. </w:t>
      </w:r>
    </w:p>
    <w:p>
      <w:pPr>
        <w:pStyle w:val="TextBody"/>
        <w:bidi w:val="0"/>
        <w:spacing w:before="120" w:after="0"/>
        <w:jc w:val="left"/>
        <w:rPr>
          <w:rFonts w:ascii="Times New Roman" w:hAnsi="Times New Roman"/>
          <w:sz w:val="20"/>
        </w:rPr>
      </w:pPr>
      <w:r>
        <w:rPr>
          <w:rFonts w:ascii="Times New Roman" w:hAnsi="Times New Roman"/>
          <w:sz w:val="20"/>
        </w:rPr>
        <w:t>On March 26, 2024, the Company issued unregistered common shares of beneficial interest in the Company, par value $0.001 (the “</w:t>
      </w:r>
      <w:r>
        <w:rPr>
          <w:rFonts w:ascii="Times New Roman" w:hAnsi="Times New Roman"/>
          <w:b/>
          <w:sz w:val="20"/>
        </w:rPr>
        <w:t>Shares</w:t>
      </w:r>
      <w:r>
        <w:rPr>
          <w:rFonts w:ascii="Times New Roman" w:hAnsi="Times New Roman"/>
          <w:sz w:val="20"/>
        </w:rPr>
        <w:t>”), to certain investors pursuant to capital drawdown notices issued by the Company and sent to each of such investors. The offer and sale of the Shares was exempt from the registration provisions of the Securities Act of 1933, as amended (the “</w:t>
      </w:r>
      <w:r>
        <w:rPr>
          <w:rFonts w:ascii="Times New Roman" w:hAnsi="Times New Roman"/>
          <w:b/>
          <w:sz w:val="20"/>
        </w:rPr>
        <w:t>Securities Act</w:t>
      </w:r>
      <w:r>
        <w:rPr>
          <w:rFonts w:ascii="Times New Roman" w:hAnsi="Times New Roman"/>
          <w:sz w:val="20"/>
        </w:rPr>
        <w:t xml:space="preserve">”), pursuant to Section 4(a)(2) of the Securities Act, Regulation D thereunder, and/or Regulation S thereunder. The following table details the amount of Shares sold and consideration therefor: </w:t>
      </w:r>
    </w:p>
    <w:p>
      <w:pPr>
        <w:pStyle w:val="TextBody"/>
        <w:bidi w:val="0"/>
        <w:spacing w:before="0" w:after="0"/>
        <w:jc w:val="left"/>
        <w:rPr/>
      </w:pPr>
      <w:r>
        <w:rPr/>
        <w:t> </w:t>
      </w:r>
    </w:p>
    <w:tbl>
      <w:tblPr>
        <w:tblW w:w="4845" w:type="dxa"/>
        <w:jc w:val="left"/>
        <w:tblInd w:w="0" w:type="dxa"/>
        <w:tblLayout w:type="fixed"/>
        <w:tblCellMar>
          <w:top w:w="0" w:type="dxa"/>
          <w:left w:w="0" w:type="dxa"/>
          <w:bottom w:w="0" w:type="dxa"/>
          <w:right w:w="0" w:type="dxa"/>
        </w:tblCellMar>
      </w:tblPr>
      <w:tblGrid>
        <w:gridCol w:w="1895"/>
        <w:gridCol w:w="120"/>
        <w:gridCol w:w="64"/>
        <w:gridCol w:w="1051"/>
        <w:gridCol w:w="60"/>
        <w:gridCol w:w="120"/>
        <w:gridCol w:w="150"/>
        <w:gridCol w:w="1310"/>
        <w:gridCol w:w="75"/>
      </w:tblGrid>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of Unregistered Sale</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b/>
              </w:rPr>
              <w:t>Amount of</w:t>
            </w:r>
            <w:r>
              <w:rPr/>
              <w:br/>
            </w:r>
            <w:r>
              <w:rPr>
                <w:b/>
              </w:rP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Consideration</w:t>
            </w:r>
          </w:p>
        </w:tc>
        <w:tc>
          <w:tcPr>
            <w:tcW w:w="75"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March 26, 2024</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5,174,155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310" w:type="dxa"/>
            <w:tcBorders/>
            <w:shd w:fill="CCEEFF" w:val="clear"/>
            <w:vAlign w:val="center"/>
          </w:tcPr>
          <w:p>
            <w:pPr>
              <w:pStyle w:val="TableContents"/>
              <w:bidi w:val="0"/>
              <w:spacing w:before="0" w:after="283"/>
              <w:jc w:val="right"/>
              <w:rPr/>
            </w:pPr>
            <w:r>
              <w:rPr/>
              <w:t>150,000,000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676" w:type="dxa"/>
        <w:jc w:val="left"/>
        <w:tblInd w:w="0" w:type="dxa"/>
        <w:tblLayout w:type="fixed"/>
        <w:tblCellMar>
          <w:top w:w="0" w:type="dxa"/>
          <w:left w:w="0" w:type="dxa"/>
          <w:bottom w:w="0" w:type="dxa"/>
          <w:right w:w="0" w:type="dxa"/>
        </w:tblCellMar>
      </w:tblPr>
      <w:tblGrid>
        <w:gridCol w:w="2120"/>
        <w:gridCol w:w="60"/>
        <w:gridCol w:w="23"/>
        <w:gridCol w:w="60"/>
        <w:gridCol w:w="977"/>
        <w:gridCol w:w="90"/>
        <w:gridCol w:w="3346"/>
      </w:tblGrid>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13" w:type="dxa"/>
            <w:gridSpan w:val="3"/>
            <w:tcBorders/>
            <w:vAlign w:val="center"/>
          </w:tcPr>
          <w:p>
            <w:pPr>
              <w:pStyle w:val="TableContents"/>
              <w:bidi w:val="0"/>
              <w:spacing w:before="0" w:after="283"/>
              <w:jc w:val="left"/>
              <w:rPr>
                <w:b/>
              </w:rPr>
            </w:pPr>
            <w:r>
              <w:rPr>
                <w:b/>
              </w:rPr>
              <w:t>SIXTH STREET LENDING PARTNERS</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037" w:type="dxa"/>
            <w:gridSpan w:val="2"/>
            <w:tcBorders/>
            <w:vAlign w:val="center"/>
          </w:tcPr>
          <w:p>
            <w:pPr>
              <w:pStyle w:val="TableContents"/>
              <w:bidi w:val="0"/>
              <w:spacing w:before="0" w:after="283"/>
              <w:jc w:val="left"/>
              <w:rPr>
                <w:sz w:val="4"/>
                <w:szCs w:val="4"/>
              </w:rPr>
            </w:pPr>
            <w:r>
              <w:rPr>
                <w:sz w:val="4"/>
                <w:szCs w:val="4"/>
              </w:rPr>
            </w:r>
          </w:p>
        </w:tc>
        <w:tc>
          <w:tcPr>
            <w:tcW w:w="3436" w:type="dxa"/>
            <w:gridSpan w:val="2"/>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pPr>
            <w:r>
              <w:rPr/>
              <w:t>Date: March 29,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pPr>
            <w:r>
              <w:rPr/>
              <w:t>By:</w:t>
            </w:r>
          </w:p>
        </w:tc>
        <w:tc>
          <w:tcPr>
            <w:tcW w:w="90" w:type="dxa"/>
            <w:tcBorders/>
            <w:vAlign w:val="center"/>
          </w:tcPr>
          <w:p>
            <w:pPr>
              <w:pStyle w:val="TableContents"/>
              <w:bidi w:val="0"/>
              <w:spacing w:before="0" w:after="283"/>
              <w:jc w:val="left"/>
              <w:rPr/>
            </w:pPr>
            <w:r>
              <w:rPr/>
              <w:t> </w:t>
            </w:r>
          </w:p>
        </w:tc>
        <w:tc>
          <w:tcPr>
            <w:tcW w:w="3346"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Ian Simmonds</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pPr>
            <w:r>
              <w:rPr/>
              <w:t>Name:</w:t>
            </w:r>
          </w:p>
        </w:tc>
        <w:tc>
          <w:tcPr>
            <w:tcW w:w="90" w:type="dxa"/>
            <w:tcBorders/>
            <w:vAlign w:val="center"/>
          </w:tcPr>
          <w:p>
            <w:pPr>
              <w:pStyle w:val="TableContents"/>
              <w:bidi w:val="0"/>
              <w:spacing w:before="0" w:after="283"/>
              <w:jc w:val="left"/>
              <w:rPr/>
            </w:pPr>
            <w:r>
              <w:rPr/>
              <w:t> </w:t>
            </w:r>
          </w:p>
        </w:tc>
        <w:tc>
          <w:tcPr>
            <w:tcW w:w="3346" w:type="dxa"/>
            <w:tcBorders/>
            <w:vAlign w:val="center"/>
          </w:tcPr>
          <w:p>
            <w:pPr>
              <w:pStyle w:val="TableContents"/>
              <w:bidi w:val="0"/>
              <w:spacing w:before="0" w:after="283"/>
              <w:jc w:val="left"/>
              <w:rPr/>
            </w:pPr>
            <w:r>
              <w:rPr/>
              <w:t>Ian Simmonds</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pPr>
            <w:r>
              <w:rPr/>
              <w:t>Title:</w:t>
            </w:r>
          </w:p>
        </w:tc>
        <w:tc>
          <w:tcPr>
            <w:tcW w:w="90" w:type="dxa"/>
            <w:tcBorders/>
            <w:vAlign w:val="center"/>
          </w:tcPr>
          <w:p>
            <w:pPr>
              <w:pStyle w:val="TableContents"/>
              <w:bidi w:val="0"/>
              <w:spacing w:before="0" w:after="283"/>
              <w:jc w:val="left"/>
              <w:rPr/>
            </w:pPr>
            <w:r>
              <w:rPr/>
              <w:t> </w:t>
            </w:r>
          </w:p>
        </w:tc>
        <w:tc>
          <w:tcPr>
            <w:tcW w:w="3346"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455</Words>
  <Characters>2521</Characters>
  <CharactersWithSpaces>2979</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