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Joshua Peck</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(469) 621-3001</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March 6,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Sixth Street Lending Partners Note Issuer, LLC</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59"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WC</w:t>
      </w:r>
    </w:p>
    <w:p>
      <w:pPr>
        <w:spacing w:after="0" w:line="74"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64" w:hanging="97"/>
        <w:spacing w:after="0" w:line="207" w:lineRule="exact"/>
        <w:tabs>
          <w:tab w:leader="none" w:pos="66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0"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40" w:lineRule="exact"/>
        <w:rPr>
          <w:rFonts w:ascii="Times New Roman" w:cs="Times New Roman" w:eastAsia="Times New Roman" w:hAnsi="Times New Roman"/>
          <w:sz w:val="18"/>
          <w:szCs w:val="18"/>
          <w:b w:val="1"/>
          <w:bCs w:val="1"/>
          <w:color w:val="auto"/>
        </w:rPr>
      </w:pPr>
    </w:p>
    <w:p>
      <w:pPr>
        <w:ind w:left="1244" w:hanging="83"/>
        <w:spacing w:after="0"/>
        <w:tabs>
          <w:tab w:leader="none" w:pos="1244"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5,687,850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  5,687,850</w:t>
      </w:r>
    </w:p>
    <w:p>
      <w:pPr>
        <w:spacing w:after="0" w:line="40" w:lineRule="exact"/>
        <w:rPr>
          <w:sz w:val="20"/>
          <w:szCs w:val="20"/>
          <w:color w:val="auto"/>
        </w:rPr>
      </w:pPr>
    </w:p>
    <w:p>
      <w:pPr>
        <w:ind w:left="164"/>
        <w:spacing w:after="0"/>
        <w:tabs>
          <w:tab w:leader="none" w:pos="544"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48" w:lineRule="exact"/>
        <w:rPr>
          <w:sz w:val="20"/>
          <w:szCs w:val="20"/>
          <w:color w:val="auto"/>
        </w:rPr>
      </w:pPr>
    </w:p>
    <w:p>
      <w:pPr>
        <w:ind w:left="664" w:hanging="97"/>
        <w:spacing w:after="0"/>
        <w:tabs>
          <w:tab w:leader="none" w:pos="664"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5,687,850</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 (1)</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b w:val="1"/>
          <w:bCs w:val="1"/>
          <w:color w:val="auto"/>
        </w:rPr>
      </w:pPr>
    </w:p>
    <w:p>
      <w:pPr>
        <w:ind w:left="424" w:right="26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78,448,568 common shares of beneficial interest, par value $0.001 per share outstanding as of March 6, 2024, as disclosed by the Issuer to the Reporting Person.</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N/A</w:t>
      </w:r>
    </w:p>
    <w:p>
      <w:pPr>
        <w:spacing w:after="0" w:line="266"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59"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TAO Sutton Holdings, LLC</w:t>
      </w:r>
    </w:p>
    <w:p>
      <w:pPr>
        <w:spacing w:after="0" w:line="74"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64" w:hanging="97"/>
        <w:spacing w:after="0" w:line="207" w:lineRule="exact"/>
        <w:tabs>
          <w:tab w:leader="none" w:pos="66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0"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Cayman Islands</w:t>
      </w:r>
    </w:p>
    <w:p>
      <w:pPr>
        <w:spacing w:after="0" w:line="40" w:lineRule="exact"/>
        <w:rPr>
          <w:rFonts w:ascii="Times New Roman" w:cs="Times New Roman" w:eastAsia="Times New Roman" w:hAnsi="Times New Roman"/>
          <w:sz w:val="18"/>
          <w:szCs w:val="18"/>
          <w:b w:val="1"/>
          <w:bCs w:val="1"/>
          <w:color w:val="auto"/>
        </w:rPr>
      </w:pPr>
    </w:p>
    <w:p>
      <w:pPr>
        <w:ind w:left="1244" w:hanging="83"/>
        <w:spacing w:after="0"/>
        <w:tabs>
          <w:tab w:leader="none" w:pos="1244"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5,687,850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  5,687,850</w:t>
      </w:r>
    </w:p>
    <w:p>
      <w:pPr>
        <w:spacing w:after="0" w:line="40" w:lineRule="exact"/>
        <w:rPr>
          <w:sz w:val="20"/>
          <w:szCs w:val="20"/>
          <w:color w:val="auto"/>
        </w:rPr>
      </w:pPr>
    </w:p>
    <w:p>
      <w:pPr>
        <w:ind w:left="164"/>
        <w:spacing w:after="0"/>
        <w:tabs>
          <w:tab w:leader="none" w:pos="544"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48" w:lineRule="exact"/>
        <w:rPr>
          <w:sz w:val="20"/>
          <w:szCs w:val="20"/>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5,687,850</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 (1)</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b w:val="1"/>
          <w:bCs w:val="1"/>
          <w:color w:val="auto"/>
        </w:rPr>
      </w:pPr>
    </w:p>
    <w:p>
      <w:pPr>
        <w:ind w:left="424" w:right="26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78,448,568 common shares of beneficial interest, par value $0.001 per share outstanding as of March 6, 2024, as disclosed by the Issuer to the Reporting Person.</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59"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TAO Insurance Holdings, LLC</w:t>
      </w:r>
    </w:p>
    <w:p>
      <w:pPr>
        <w:spacing w:after="0" w:line="74"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64" w:hanging="97"/>
        <w:spacing w:after="0" w:line="207" w:lineRule="exact"/>
        <w:tabs>
          <w:tab w:leader="none" w:pos="66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0"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40" w:lineRule="exact"/>
        <w:rPr>
          <w:rFonts w:ascii="Times New Roman" w:cs="Times New Roman" w:eastAsia="Times New Roman" w:hAnsi="Times New Roman"/>
          <w:sz w:val="18"/>
          <w:szCs w:val="18"/>
          <w:b w:val="1"/>
          <w:bCs w:val="1"/>
          <w:color w:val="auto"/>
        </w:rPr>
      </w:pPr>
    </w:p>
    <w:p>
      <w:pPr>
        <w:ind w:left="1244" w:hanging="83"/>
        <w:spacing w:after="0"/>
        <w:tabs>
          <w:tab w:leader="none" w:pos="1244"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5,687,850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  5,687,850</w:t>
      </w:r>
    </w:p>
    <w:p>
      <w:pPr>
        <w:spacing w:after="0" w:line="40" w:lineRule="exact"/>
        <w:rPr>
          <w:sz w:val="20"/>
          <w:szCs w:val="20"/>
          <w:color w:val="auto"/>
        </w:rPr>
      </w:pPr>
    </w:p>
    <w:p>
      <w:pPr>
        <w:ind w:left="164"/>
        <w:spacing w:after="0"/>
        <w:tabs>
          <w:tab w:leader="none" w:pos="544"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48" w:lineRule="exact"/>
        <w:rPr>
          <w:sz w:val="20"/>
          <w:szCs w:val="20"/>
          <w:color w:val="auto"/>
        </w:rPr>
      </w:pPr>
    </w:p>
    <w:p>
      <w:pPr>
        <w:ind w:left="664" w:hanging="97"/>
        <w:spacing w:after="0"/>
        <w:tabs>
          <w:tab w:leader="none" w:pos="664"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5,687,850</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 (1)</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b w:val="1"/>
          <w:bCs w:val="1"/>
          <w:color w:val="auto"/>
        </w:rPr>
      </w:pPr>
    </w:p>
    <w:p>
      <w:pPr>
        <w:ind w:left="424" w:right="26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78,448,568 common shares of beneficial interest, par value $0.001 per share outstanding as of March 6, 2024, as disclosed by the Issuer to the Reporting Person.</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59"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 Michael Muscolino</w:t>
      </w:r>
    </w:p>
    <w:p>
      <w:pPr>
        <w:spacing w:after="0" w:line="74"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64" w:hanging="97"/>
        <w:spacing w:after="0" w:line="207" w:lineRule="exact"/>
        <w:tabs>
          <w:tab w:leader="none" w:pos="66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0"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of America</w:t>
      </w:r>
    </w:p>
    <w:p>
      <w:pPr>
        <w:spacing w:after="0" w:line="40" w:lineRule="exact"/>
        <w:rPr>
          <w:rFonts w:ascii="Times New Roman" w:cs="Times New Roman" w:eastAsia="Times New Roman" w:hAnsi="Times New Roman"/>
          <w:sz w:val="18"/>
          <w:szCs w:val="18"/>
          <w:b w:val="1"/>
          <w:bCs w:val="1"/>
          <w:color w:val="auto"/>
        </w:rPr>
      </w:pPr>
    </w:p>
    <w:p>
      <w:pPr>
        <w:ind w:left="1244" w:hanging="83"/>
        <w:spacing w:after="0"/>
        <w:tabs>
          <w:tab w:leader="none" w:pos="1244"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5,687,850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  5,687,850</w:t>
      </w:r>
    </w:p>
    <w:p>
      <w:pPr>
        <w:spacing w:after="0" w:line="40" w:lineRule="exact"/>
        <w:rPr>
          <w:sz w:val="20"/>
          <w:szCs w:val="20"/>
          <w:color w:val="auto"/>
        </w:rPr>
      </w:pPr>
    </w:p>
    <w:p>
      <w:pPr>
        <w:ind w:left="164"/>
        <w:spacing w:after="0"/>
        <w:tabs>
          <w:tab w:leader="none" w:pos="544"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48" w:lineRule="exact"/>
        <w:rPr>
          <w:sz w:val="20"/>
          <w:szCs w:val="20"/>
          <w:color w:val="auto"/>
        </w:rPr>
      </w:pPr>
    </w:p>
    <w:p>
      <w:pPr>
        <w:ind w:left="664" w:hanging="97"/>
        <w:spacing w:after="0"/>
        <w:tabs>
          <w:tab w:leader="none" w:pos="664"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5,687,850</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 (1)</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b w:val="1"/>
          <w:bCs w:val="1"/>
          <w:color w:val="auto"/>
        </w:rPr>
      </w:pPr>
    </w:p>
    <w:p>
      <w:pPr>
        <w:ind w:left="424" w:right="26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78,448,568 common shares of beneficial interest, par value $0.001 per share outstanding as of March 6, 2024, as disclosed by the Issuer to the Reporting Person.</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70"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59" w:lineRule="exact"/>
        <w:rPr>
          <w:rFonts w:ascii="Times New Roman" w:cs="Times New Roman" w:eastAsia="Times New Roman" w:hAnsi="Times New Roman"/>
          <w:sz w:val="17"/>
          <w:szCs w:val="17"/>
          <w:color w:val="auto"/>
        </w:rPr>
      </w:pPr>
    </w:p>
    <w:p>
      <w:pPr>
        <w:ind w:left="644" w:hanging="77"/>
        <w:spacing w:after="0"/>
        <w:tabs>
          <w:tab w:leader="none" w:pos="644" w:val="left"/>
        </w:tabs>
        <w:numPr>
          <w:ilvl w:val="1"/>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Alan Waxman</w:t>
      </w:r>
    </w:p>
    <w:p>
      <w:pPr>
        <w:spacing w:after="0" w:line="74" w:lineRule="exact"/>
        <w:rPr>
          <w:rFonts w:ascii="Times New Roman" w:cs="Times New Roman" w:eastAsia="Times New Roman" w:hAnsi="Times New Roman"/>
          <w:sz w:val="15"/>
          <w:szCs w:val="15"/>
          <w:b w:val="1"/>
          <w:bCs w:val="1"/>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40" w:lineRule="exact"/>
        <w:rPr>
          <w:rFonts w:ascii="Times New Roman" w:cs="Times New Roman" w:eastAsia="Times New Roman" w:hAnsi="Times New Roman"/>
          <w:sz w:val="18"/>
          <w:szCs w:val="18"/>
          <w:b w:val="1"/>
          <w:bCs w:val="1"/>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64" w:hanging="97"/>
        <w:spacing w:after="0" w:line="207" w:lineRule="exact"/>
        <w:tabs>
          <w:tab w:leader="none" w:pos="66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0"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of America</w:t>
      </w:r>
    </w:p>
    <w:p>
      <w:pPr>
        <w:spacing w:after="0" w:line="40" w:lineRule="exact"/>
        <w:rPr>
          <w:rFonts w:ascii="Times New Roman" w:cs="Times New Roman" w:eastAsia="Times New Roman" w:hAnsi="Times New Roman"/>
          <w:sz w:val="18"/>
          <w:szCs w:val="18"/>
          <w:b w:val="1"/>
          <w:bCs w:val="1"/>
          <w:color w:val="auto"/>
        </w:rPr>
      </w:pPr>
    </w:p>
    <w:p>
      <w:pPr>
        <w:ind w:left="1244" w:hanging="83"/>
        <w:spacing w:after="0"/>
        <w:tabs>
          <w:tab w:leader="none" w:pos="1244"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234,358</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5,689,050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  6,692,050</w:t>
      </w:r>
    </w:p>
    <w:p>
      <w:pPr>
        <w:spacing w:after="0" w:line="40" w:lineRule="exact"/>
        <w:rPr>
          <w:sz w:val="20"/>
          <w:szCs w:val="20"/>
          <w:color w:val="auto"/>
        </w:rPr>
      </w:pPr>
    </w:p>
    <w:p>
      <w:pPr>
        <w:ind w:left="164"/>
        <w:spacing w:after="0"/>
        <w:tabs>
          <w:tab w:leader="none" w:pos="544" w:val="left"/>
        </w:tabs>
        <w:rPr>
          <w:sz w:val="20"/>
          <w:szCs w:val="20"/>
          <w:color w:val="auto"/>
        </w:rPr>
      </w:pPr>
      <w:r>
        <w:rPr>
          <w:rFonts w:ascii="Times New Roman" w:cs="Times New Roman" w:eastAsia="Times New Roman" w:hAnsi="Times New Roman"/>
          <w:sz w:val="18"/>
          <w:szCs w:val="18"/>
          <w:color w:val="auto"/>
        </w:rPr>
        <w:t>11. </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48" w:lineRule="exact"/>
        <w:rPr>
          <w:sz w:val="20"/>
          <w:szCs w:val="20"/>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6,692,050</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8.5% (1)</w:t>
      </w:r>
    </w:p>
    <w:p>
      <w:pPr>
        <w:spacing w:after="0" w:line="40" w:lineRule="exact"/>
        <w:rPr>
          <w:rFonts w:ascii="Times New Roman" w:cs="Times New Roman" w:eastAsia="Times New Roman" w:hAnsi="Times New Roman"/>
          <w:sz w:val="18"/>
          <w:szCs w:val="18"/>
          <w:b w:val="1"/>
          <w:bCs w:val="1"/>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b w:val="1"/>
          <w:bCs w:val="1"/>
          <w:color w:val="auto"/>
        </w:rPr>
      </w:pPr>
    </w:p>
    <w:p>
      <w:pPr>
        <w:ind w:left="424" w:right="260" w:hanging="424"/>
        <w:spacing w:after="0" w:line="282"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78,448,568 common shares of beneficial interest, par value $0.001 per share outstanding as of March 6, 2024, as disclosed by the Issuer to the Reporting Person.</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the Issuer</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This Amendment No. 2 (“Amendment No. 2”) amends the statement on Schedule 13D filed with the Securities and Exchange Commission on December 1, 2023 (the “Original Schedule 13D”), as amended by Amendment No. 1 filed with the Securities and Exchange Commission on December 22, 2023 (as amended, the “Schedule 13D”) related to the common shares of beneficial interest, par value $0.001 per share (the “Shares”), of Sixth Street Lending Partners, a Delaware statutory trust (the “Issuer”). The address of the principal executive offices of the Issuer is located at 2100 McKinney Avenue, Suite 1500, Dallas, TX 75201.</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Items below amend the information disclosed under the corresponding Items of the Schedule 13D as described below. Except as specifically provided herein, this Amendment No. 2 does not modify any of the information previously reported in the Schedule 13D. Capitalized terms used but not defined in this Amendment No. 2 shall have the same meanings ascribed to them in the Schedule 13D.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2 of the Schedule 13D is hereby amended and supplemented as follows:</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each of Mr. Muscolino and Mr. Waxman is c/o Sixth Street Partners, LLC, 1 Letterman Drive, Building B, Suite B6-100, San Francisco, CA 94129.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as follows: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previously disclosed Subscription Agreement as defined in the Original Schedule 13D and a capital contribution drawdown notice delivered by the Issuer with respect thereto, on March 6, 2024, Sixth Street Lending Partners Note Issuer, LLC (“Note Issuer”) purchased 865,310 Shares from the Issuer at $28.72 per Share, for an aggregate purchase price of $24,851,715. The source of the funds for the purchase of Shares by Note Issuer is the available investment capital of Note Issuer including capital contributions from one or more investors for investment purposes.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June 24, 2022, Sixth Street Lending Partners Advisers, LLC (“Adviser”) purchased 1,200 Shares from the Issuer at $25.00 per Share, for an aggregate purchase price of $30,000. As further described in Item 6 below, on December 22, 2023, Adviser entered into a subscription agreement with the Issuer (the “Adviser Subscription Agreement”), pursuant to which Adviser subscribed for and agreed to purchase Shares with a capital commitment equal to up to $109,061,333 (the “Adviser Capital Commitment”). Pursuant to the Adviser Subscription Agreement, Adviser is required to fund drawdowns to purchase Shares up to the amount of the Adviser Capital Commitment periodically each time the Issuer delivers a drawdown notice to Adviser. Pursuant to the Adviser Subscription Agreement and a capital contribution drawdown notice delivered by the Issuer with respect thereto, on March 6, 2024, Adviser purchased 1,003,000 Shares from the Issuer at $28.73 per Share, for an aggregate purchase price of $28,820,055. The source of the funds for the purchase of Shares by Adviser is the available investment capital of Adviser, including capital contributions from one or more investors for investment purposes.</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Adviser’s commitment to the Issuer does not purport to be complete and is qualified in its entirety by reference to the Adviser Subscription Agreement, a form of which is attached hereto and incorporated herein by reference to Exhibit 99.4.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Items 3, 5 and 6 of this Schedule 13D is incorporated herein by reference.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All Shares of the Issuer currently owned by Note Issuer and Adviser were acquired for investment purposes. Pursuant to the Subscription Agreement and Adviser Subscription Agreement, each of Note Issuer and Adviser is obligated to purchase additional Shares from the Issuer from time to time for an aggregate purchase price not to exceed its respective capital commitment.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7" w:name="page8"/>
    <w:bookmarkEnd w:id="7"/>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Reporting Persons intend to review the investment in the Issuer on a continuing basis and depending on such review may consider from time to time various alternative courses of action. The Reporting Persons reserve the right, in light of their ongoing evaluation of the Issuer’s financial condition, business, operations and prospects, the market price and availability of the Shares or other securities of the Issuer, conditions in the securities markets generally, general economic and industry conditions, regulatory requirements, other investment opportunities available to them, their business and investment objectives and other relevant factors, to change their plans and intentions at any time or to take such actions with respect to Note Issuer’s and/or Adviser’s investment in the Issuer as they deem appropriate, in each case as may be permitted pursuant to applicable law and contractual agreements. The Reporting Persons intend to review their investment in the Issuer on an ongoing basis and, in the course of their review, reserve the right to take actions (including through their affiliates) with respect to their investment or the Issuer, including communicating with the board of trustees of the Issuer (the “Board”),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the Reporting Persons are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listing or de-listing or de-registration of the Issuer’s securities, or any action similar to those enumerated above.</w:t>
      </w:r>
    </w:p>
    <w:p>
      <w:pPr>
        <w:spacing w:after="0" w:line="191"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Adviser is the Issuer’s investment adviser and administrator, and is a registered investment adviser with the U.S. Securities and Exchange Commission under the Investment Advisers Act of 1940, as amended. Mr. Waxman is a Vice President of the Issuer and Co-Chief Investment Officer of Adviser. Mr. Waxman is a Co-Founding Partner and Chief Executive Officer of Sixth Street. Adviser is responsible for, among other things, managing the Issuer’s day-to-day investment operations, all subject to oversight by the Issuer’s Board. All of the Issuer’s officers and directors, other than the Issuer’s independent trustees, are employees of affiliates of Sixth Street Partners, LLC. In such capacities, these individuals may have influence over the corporate activities of the Issuer, including activities which may relate to items described in subparagraphs (a) through (j) of Item 4 of Schedule 13D.</w:t>
      </w:r>
    </w:p>
    <w:p>
      <w:pPr>
        <w:spacing w:after="0" w:line="17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(a-c) of the Schedule 13D is hereby amended and restated as follows:</w:t>
      </w:r>
    </w:p>
    <w:p>
      <w:pPr>
        <w:spacing w:after="0" w:line="117" w:lineRule="exact"/>
        <w:rPr>
          <w:sz w:val="20"/>
          <w:szCs w:val="20"/>
          <w:color w:val="auto"/>
        </w:rPr>
      </w:pPr>
    </w:p>
    <w:p>
      <w:pPr>
        <w:ind w:right="400" w:firstLine="436"/>
        <w:spacing w:after="0" w:line="282"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Calculation of the percentage of the Shares beneficially owned is based on 78,448,568 Shares outstanding as of March 6, 2024, as disclosed by the Issuer to the Reporting Persons.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8" w:name="page9"/>
    <w:bookmarkEnd w:id="8"/>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Issuer directly holds 5,687,850 Shares and Adviser directly holds 1,004,200 Shares. Mr. Waxman may be deemed to have sole voting power with respect to 234,358 Shares held directly by Adviser, shared voting power with respect to 5,687,850 Shares held directly by Note Issuer and 1,200 Shares held directly by Adviser, and shared dispositive power over all of the Shares held by Note Issuer and Adviser. The aggregate number and percentage of the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Note Issuer is controlled by its members, which are indirectly controlled by TAO Sutton Holdings. TAO Insurance Holdings is the managing member of TAO Sutton Holdings. Mr. Muscolino is the managing member of TAO Insurance Holdings. Pursuant to the limited liability company agreement of TAO Insurance Holdings, Mr. Waxman, as designated member of TAO Insurance Holdings, has the authority to appoint the managing member of TAO Insurance Holdings. Adviser is managed by TSSP Holdco Management, LLC (“Holdco Management”). Holdco Management is managed by a board of directors, which is currently comprised of Mr. Waxman. Mr. Waxman is the CEO and Managing Partner of Holdco Management. As such, Mr. Waxman may be deemed to have beneficial ownership over the Shares directly held by Note Issuer and Adviser. Neither the filing of this Schedule 13D nor any of its contents shall be deemed to constitute an admission that any Reporting Person is the beneficial owner of the Shares referred to herein for purposes of Section 13(d) of the Securities Exchange Act of 1934, as amended, or for any other purpose.</w:t>
      </w:r>
    </w:p>
    <w:p>
      <w:pPr>
        <w:spacing w:after="0" w:line="192" w:lineRule="exact"/>
        <w:rPr>
          <w:sz w:val="20"/>
          <w:szCs w:val="20"/>
          <w:color w:val="auto"/>
        </w:rPr>
      </w:pPr>
    </w:p>
    <w:p>
      <w:pPr>
        <w:ind w:right="120" w:firstLine="436"/>
        <w:spacing w:after="0" w:line="26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set forth under Item 3 of this Schedule 13D is incorporated by reference herein. Except as set forth in this Schedule 13D, none of the Reporting Persons has effected any transactions in the Shares since the filing of Amendment No. 1 to Schedule 13D with the Securities and Exchange Commission on December 22,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6 of the Schedule 13D is hereby amended and supplemented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3 and 4 of this Schedule 13D is hereby incorporated herein by reference.</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As described in Item 3 above, Adviser has entered into the Adviser Subscription Agreement with the Issuer, pursuant to which Adviser has subscribed for and agreed to purchase Shares of the Issuer with an Adviser Capital Commitment of up to $109,061,333. Pursuant to the Adviser Subscription Agreement, Adviser is required to purchase Shares of the Issuer up to the aggregate amount of the Adviser Capital Commitment within ten days of receipt of a capital drawdown notice from the Issuer. Each purchase is made at a price per Share equal to the most recent quarterly net asset value per Share as determined by the Board, provided that the purchase price is subject to adjustment to the extent required by Section 23 of the Investment Company Act of 1940 Act, as amended (which generally prohibits the Issuer from selling Shares at a price below the then-current net asset value per Share as determined within 48 hours, excluding Sundays and holidays, of such sale, subject to certain exceptions). The Adviser Subscription Agreement contains customary representations, warranties and covenants of the Issuer and Adviser, and customary indemnification provisions in favor of the Issuer. The assignability and transferability of the Shares are governed by the Adviser Subscription Agreement, which imposes substantial restrictions on transfers.</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Adviser’s commitment to the Issuer does not purport to be complete and is qualified in its entirety by reference to the Adviser Subscription Agreement, a form of which is attached hereto and incorporated herein by reference to </w:t>
      </w:r>
      <w:r>
        <w:rPr>
          <w:rFonts w:ascii="Times New Roman" w:cs="Times New Roman" w:eastAsia="Times New Roman" w:hAnsi="Times New Roman"/>
          <w:sz w:val="18"/>
          <w:szCs w:val="18"/>
          <w:u w:val="single" w:color="auto"/>
          <w:color w:val="auto"/>
        </w:rPr>
        <w:t>Exhibit 99.4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this Schedule 13D, there are no contracts, arrangements or understandings between the Reporting Person and any other person, with respect to the Shares of the Issuer.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 Material to be Filed as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7 of the Schedule 13D is hereby amended and supplemented to add the following exhibits hereto:</w:t>
      </w:r>
    </w:p>
    <w:p>
      <w:pPr>
        <w:spacing w:after="0" w:line="24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8"/>
          <w:szCs w:val="18"/>
          <w:color w:val="auto"/>
        </w:rPr>
        <w:t>Form of Subscription Agreement (incorporated by reference from Exhibit 4.1 to the Issuer’s Form 10-12G filed with the Securities and Exchange Commission June 28, 2022).</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00"/>
          </w:cols>
          <w:pgMar w:left="440" w:top="266" w:right="8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SIXTH STREET LENDING PARTNERS NOTE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ISSUER, LLC</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Joshua Peck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Joshua Peck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TAO SUTTON HOLDINGS,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TAO Insurance Holdings, LLC, its managing member</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 Michael Muscolino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 Michael Muscolino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TAO INSURANCE HOLDINGS,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 Michael Muscolino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 Michael Muscolino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 Michael Muscolino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Michael Muscolino</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Joshua Peck, on behalf of Alan Waxman</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
      <w:numFmt w:val="bullet"/>
      <w:start w:val="1"/>
    </w:lvl>
    <w:lvl w:ilvl="1">
      <w:lvlJc w:val="left"/>
      <w:lvlText w:val=" "/>
      <w:numFmt w:val="bullet"/>
      <w:start w:val="1"/>
    </w:lvl>
  </w:abstractNum>
  <w:abstractNum w:abstractNumId="2">
    <w:nsid w:val="3352255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109CF92E"/>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DED726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7FDCC233"/>
    <w:multiLevelType w:val="hybridMultilevel"/>
    <w:lvl w:ilvl="0">
      <w:lvlJc w:val="left"/>
      <w:lvlText w:val=" "/>
      <w:numFmt w:val="bullet"/>
      <w:start w:val="1"/>
    </w:lvl>
    <w:lvl w:ilvl="1">
      <w:lvlJc w:val="left"/>
      <w:lvlText w:val=" "/>
      <w:numFmt w:val="bullet"/>
      <w:start w:val="1"/>
    </w:lvl>
  </w:abstractNum>
  <w:abstractNum w:abstractNumId="6">
    <w:nsid w:val="1BEFD79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41A7C4C9"/>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6B68079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4E6AFB66"/>
    <w:multiLevelType w:val="hybridMultilevel"/>
    <w:lvl w:ilvl="0">
      <w:lvlJc w:val="left"/>
      <w:lvlText w:val=" "/>
      <w:numFmt w:val="bullet"/>
      <w:start w:val="1"/>
    </w:lvl>
    <w:lvl w:ilvl="1">
      <w:lvlJc w:val="left"/>
      <w:lvlText w:val=" "/>
      <w:numFmt w:val="bullet"/>
      <w:start w:val="1"/>
    </w:lvl>
  </w:abstractNum>
  <w:abstractNum w:abstractNumId="10">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519B500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431BD7B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3F2DBA31"/>
    <w:multiLevelType w:val="hybridMultilevel"/>
    <w:lvl w:ilvl="0">
      <w:lvlJc w:val="left"/>
      <w:lvlText w:val=" "/>
      <w:numFmt w:val="bullet"/>
      <w:start w:val="1"/>
    </w:lvl>
    <w:lvl w:ilvl="1">
      <w:lvlJc w:val="left"/>
      <w:lvlText w:val=" "/>
      <w:numFmt w:val="bullet"/>
      <w:start w:val="1"/>
    </w:lvl>
  </w:abstractNum>
  <w:abstractNum w:abstractNumId="14">
    <w:nsid w:val="7C83E4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257130A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62BBD95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436C6125"/>
    <w:multiLevelType w:val="hybridMultilevel"/>
    <w:lvl w:ilvl="0">
      <w:lvlJc w:val="left"/>
      <w:lvlText w:val=" "/>
      <w:numFmt w:val="bullet"/>
      <w:start w:val="1"/>
    </w:lvl>
    <w:lvl w:ilvl="1">
      <w:lvlJc w:val="left"/>
      <w:lvlText w:val=" "/>
      <w:numFmt w:val="bullet"/>
      <w:start w:val="1"/>
    </w:lvl>
  </w:abstractNum>
  <w:abstractNum w:abstractNumId="18">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333AB10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2024-03-08T16:27:08Z</dcterms:created>
  <dcterms:modified xsi:type="dcterms:W3CDTF">2024-03-08T16:27:08Z</dcterms:modified>
</cp:coreProperties>
</file>