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ind w:left="2364"/>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28,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43"/>
          <w:szCs w:val="43"/>
          <w:b w:val="1"/>
          <w:bCs w:val="1"/>
          <w:color w:val="auto"/>
        </w:rPr>
        <w:t>Sixth Street Lending Partners</w:t>
      </w:r>
    </w:p>
    <w:p>
      <w:pPr>
        <w:spacing w:after="0" w:line="5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3620" w:type="dxa"/>
            <w:vAlign w:val="bottom"/>
          </w:tcPr>
          <w:p>
            <w:pPr>
              <w:jc w:val="center"/>
              <w:ind w:right="18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60" w:type="dxa"/>
            <w:vAlign w:val="bottom"/>
          </w:tcPr>
          <w:p>
            <w:pPr>
              <w:ind w:left="560"/>
              <w:spacing w:after="0"/>
              <w:rPr>
                <w:sz w:val="20"/>
                <w:szCs w:val="20"/>
                <w:color w:val="auto"/>
              </w:rPr>
            </w:pPr>
            <w:r>
              <w:rPr>
                <w:rFonts w:ascii="Times New Roman" w:cs="Times New Roman" w:eastAsia="Times New Roman" w:hAnsi="Times New Roman"/>
                <w:sz w:val="18"/>
                <w:szCs w:val="18"/>
                <w:b w:val="1"/>
                <w:bCs w:val="1"/>
                <w:color w:val="auto"/>
              </w:rPr>
              <w:t>814-01543</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88-1710161</w:t>
            </w:r>
          </w:p>
        </w:tc>
      </w:tr>
      <w:tr>
        <w:trPr>
          <w:trHeight w:val="148"/>
        </w:trPr>
        <w:tc>
          <w:tcPr>
            <w:tcW w:w="3620" w:type="dxa"/>
            <w:vAlign w:val="bottom"/>
          </w:tcPr>
          <w:p>
            <w:pPr>
              <w:jc w:val="center"/>
              <w:ind w:right="18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60" w:type="dxa"/>
            <w:vAlign w:val="bottom"/>
          </w:tcPr>
          <w:p>
            <w:pPr>
              <w:ind w:left="5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20" w:type="dxa"/>
            <w:vAlign w:val="bottom"/>
          </w:tcPr>
          <w:p>
            <w:pPr>
              <w:jc w:val="center"/>
              <w:ind w:right="18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60" w:type="dxa"/>
            <w:vAlign w:val="bottom"/>
          </w:tcPr>
          <w:p>
            <w:pPr>
              <w:ind w:left="5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9"/>
              </w:rPr>
              <w:t>2100 McKinney Avenue, Suite 1500</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620" w:type="dxa"/>
            <w:vAlign w:val="bottom"/>
          </w:tcPr>
          <w:p>
            <w:pPr>
              <w:jc w:val="center"/>
              <w:ind w:right="59"/>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75201</w:t>
            </w:r>
          </w:p>
        </w:tc>
      </w:tr>
      <w:tr>
        <w:trPr>
          <w:trHeight w:val="190"/>
        </w:trPr>
        <w:tc>
          <w:tcPr>
            <w:tcW w:w="36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(469) 621-3001</w:t>
      </w:r>
    </w:p>
    <w:p>
      <w:pPr>
        <w:spacing w:after="0" w:line="19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4"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10" w:lineRule="exact"/>
        <w:rPr>
          <w:sz w:val="24"/>
          <w:szCs w:val="24"/>
          <w:color w:val="auto"/>
        </w:rPr>
      </w:pPr>
    </w:p>
    <w:tbl>
      <w:tblPr>
        <w:tblLayout w:type="fixed"/>
        <w:tblInd w:w="1324" w:type="dxa"/>
        <w:tblCellMar>
          <w:top w:w="0" w:type="dxa"/>
          <w:left w:w="0" w:type="dxa"/>
          <w:bottom w:w="0" w:type="dxa"/>
          <w:right w:w="0" w:type="dxa"/>
        </w:tblCellMar>
      </w:tblPr>
      <w:tr>
        <w:trPr>
          <w:trHeight w:val="161"/>
        </w:trPr>
        <w:tc>
          <w:tcPr>
            <w:tcW w:w="1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90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58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100" w:type="dxa"/>
            <w:vAlign w:val="bottom"/>
            <w:vMerge w:val="continue"/>
          </w:tcPr>
          <w:p>
            <w:pPr>
              <w:spacing w:after="0"/>
              <w:rPr>
                <w:sz w:val="15"/>
                <w:szCs w:val="15"/>
                <w:color w:val="auto"/>
              </w:rPr>
            </w:pPr>
          </w:p>
        </w:tc>
        <w:tc>
          <w:tcPr>
            <w:tcW w:w="3520" w:type="dxa"/>
            <w:vAlign w:val="bottom"/>
            <w:gridSpan w:val="2"/>
          </w:tcPr>
          <w:p>
            <w:pPr>
              <w:jc w:val="center"/>
              <w:ind w:left="280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580" w:type="dxa"/>
            <w:vAlign w:val="bottom"/>
          </w:tcPr>
          <w:p>
            <w:pPr>
              <w:spacing w:after="0"/>
              <w:rPr>
                <w:sz w:val="15"/>
                <w:szCs w:val="15"/>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1100" w:type="dxa"/>
            <w:vAlign w:val="bottom"/>
            <w:shd w:val="clear" w:color="auto" w:fill="000000"/>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3"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724"/>
          </w:cols>
          <w:pgMar w:left="436" w:top="376" w:right="7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3.02. Unregistered Sale of Equity Securities.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7"/>
          <w:szCs w:val="17"/>
          <w:color w:val="auto"/>
        </w:rPr>
        <w:t>On September 28, 2022, the Company issued unregistered common shares of beneficial interest in the Company, par value $0.001 (the “</w:t>
      </w:r>
      <w:r>
        <w:rPr>
          <w:rFonts w:ascii="Times New Roman" w:cs="Times New Roman" w:eastAsia="Times New Roman" w:hAnsi="Times New Roman"/>
          <w:sz w:val="17"/>
          <w:szCs w:val="17"/>
          <w:b w:val="1"/>
          <w:bCs w:val="1"/>
          <w:color w:val="auto"/>
        </w:rPr>
        <w:t>Shares</w:t>
      </w:r>
      <w:r>
        <w:rPr>
          <w:rFonts w:ascii="Times New Roman" w:cs="Times New Roman" w:eastAsia="Times New Roman" w:hAnsi="Times New Roman"/>
          <w:sz w:val="17"/>
          <w:szCs w:val="17"/>
          <w:color w:val="auto"/>
        </w:rPr>
        <w:t>”), to certain investors pursuant to capital drawdown notices issued by the Company and sent to each of such investors. The offer and sale of the Shares was exempt from the registration provisions of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pursuant to Section 4(a)(2) of the Securities Act, Regulation D thereunder, and/or Regulation S thereunder. The following table details the amount of Shares sold and consideration therefor:</w:t>
      </w:r>
    </w:p>
    <w:p>
      <w:pPr>
        <w:spacing w:after="0" w:line="173"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Date of Unregistered Sale</w:t>
            </w:r>
          </w:p>
        </w:tc>
        <w:tc>
          <w:tcPr>
            <w:tcW w:w="4680" w:type="dxa"/>
            <w:vAlign w:val="bottom"/>
          </w:tcPr>
          <w:p>
            <w:pPr>
              <w:spacing w:after="0"/>
              <w:rPr>
                <w:sz w:val="13"/>
                <w:szCs w:val="13"/>
                <w:color w:val="auto"/>
              </w:rPr>
            </w:pPr>
          </w:p>
        </w:tc>
        <w:tc>
          <w:tcPr>
            <w:tcW w:w="10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0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Consideration</w:t>
            </w:r>
          </w:p>
        </w:tc>
        <w:tc>
          <w:tcPr>
            <w:tcW w:w="0" w:type="dxa"/>
            <w:vAlign w:val="bottom"/>
          </w:tcPr>
          <w:p>
            <w:pPr>
              <w:spacing w:after="0"/>
              <w:rPr>
                <w:sz w:val="1"/>
                <w:szCs w:val="1"/>
                <w:color w:val="auto"/>
              </w:rPr>
            </w:pPr>
          </w:p>
        </w:tc>
      </w:tr>
      <w:tr>
        <w:trPr>
          <w:trHeight w:val="180"/>
        </w:trPr>
        <w:tc>
          <w:tcPr>
            <w:tcW w:w="1560" w:type="dxa"/>
            <w:vAlign w:val="bottom"/>
            <w:tcBorders>
              <w:bottom w:val="single" w:sz="8" w:color="auto"/>
            </w:tcBorders>
            <w:vMerge w:val="continue"/>
          </w:tcPr>
          <w:p>
            <w:pPr>
              <w:spacing w:after="0"/>
              <w:rPr>
                <w:sz w:val="15"/>
                <w:szCs w:val="15"/>
                <w:color w:val="auto"/>
              </w:rPr>
            </w:pPr>
          </w:p>
        </w:tc>
        <w:tc>
          <w:tcPr>
            <w:tcW w:w="4680" w:type="dxa"/>
            <w:vAlign w:val="bottom"/>
          </w:tcPr>
          <w:p>
            <w:pPr>
              <w:spacing w:after="0"/>
              <w:rPr>
                <w:sz w:val="15"/>
                <w:szCs w:val="15"/>
                <w:color w:val="auto"/>
              </w:rPr>
            </w:pPr>
          </w:p>
        </w:tc>
        <w:tc>
          <w:tcPr>
            <w:tcW w:w="1080" w:type="dxa"/>
            <w:vAlign w:val="bottom"/>
            <w:gridSpan w:val="2"/>
          </w:tcPr>
          <w:p>
            <w:pPr>
              <w:ind w:left="18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September 28, 2022</w:t>
            </w:r>
          </w:p>
        </w:tc>
        <w:tc>
          <w:tcPr>
            <w:tcW w:w="46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Times New Roman" w:cs="Times New Roman" w:eastAsia="Times New Roman" w:hAnsi="Times New Roman"/>
                <w:sz w:val="18"/>
                <w:szCs w:val="18"/>
                <w:color w:val="auto"/>
                <w:w w:val="97"/>
              </w:rPr>
              <w:t>5,080,906</w:t>
            </w:r>
          </w:p>
        </w:tc>
        <w:tc>
          <w:tcPr>
            <w:tcW w:w="30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8"/>
              </w:rPr>
              <w:t>$125,429,622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0800"/>
          </w:cols>
          <w:pgMar w:left="440" w:top="266" w:right="6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60" w:type="dxa"/>
            <w:vAlign w:val="bottom"/>
          </w:tcPr>
          <w:p>
            <w:pPr>
              <w:spacing w:after="0"/>
              <w:rPr>
                <w:sz w:val="20"/>
                <w:szCs w:val="20"/>
                <w:color w:val="auto"/>
              </w:rPr>
            </w:pPr>
          </w:p>
        </w:tc>
        <w:tc>
          <w:tcPr>
            <w:tcW w:w="7460" w:type="dxa"/>
            <w:vAlign w:val="bottom"/>
            <w:gridSpan w:val="2"/>
          </w:tcPr>
          <w:p>
            <w:pPr>
              <w:ind w:left="1960"/>
              <w:spacing w:after="0"/>
              <w:rPr>
                <w:sz w:val="20"/>
                <w:szCs w:val="20"/>
                <w:color w:val="auto"/>
              </w:rPr>
            </w:pPr>
            <w:r>
              <w:rPr>
                <w:rFonts w:ascii="Times New Roman" w:cs="Times New Roman" w:eastAsia="Times New Roman" w:hAnsi="Times New Roman"/>
                <w:sz w:val="18"/>
                <w:szCs w:val="18"/>
                <w:b w:val="1"/>
                <w:bCs w:val="1"/>
                <w:color w:val="auto"/>
              </w:rPr>
              <w:t>SIXTH STREET LENDING PARTNERS</w:t>
            </w:r>
          </w:p>
        </w:tc>
      </w:tr>
      <w:tr>
        <w:trPr>
          <w:trHeight w:val="432"/>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4, 2022</w:t>
            </w: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Ian Simmonds</w:t>
            </w:r>
          </w:p>
        </w:tc>
      </w:tr>
      <w:tr>
        <w:trPr>
          <w:trHeight w:val="205"/>
        </w:trPr>
        <w:tc>
          <w:tcPr>
            <w:tcW w:w="3560" w:type="dxa"/>
            <w:vAlign w:val="bottom"/>
          </w:tcPr>
          <w:p>
            <w:pPr>
              <w:spacing w:after="0"/>
              <w:rPr>
                <w:sz w:val="17"/>
                <w:szCs w:val="17"/>
                <w:color w:val="auto"/>
              </w:rPr>
            </w:pPr>
          </w:p>
        </w:tc>
        <w:tc>
          <w:tcPr>
            <w:tcW w:w="2600" w:type="dxa"/>
            <w:vAlign w:val="bottom"/>
          </w:tcPr>
          <w:p>
            <w:pPr>
              <w:ind w:left="196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Ian Simmonds</w:t>
            </w:r>
          </w:p>
        </w:tc>
      </w:tr>
      <w:tr>
        <w:trPr>
          <w:trHeight w:val="234"/>
        </w:trPr>
        <w:tc>
          <w:tcPr>
            <w:tcW w:w="3560" w:type="dxa"/>
            <w:vAlign w:val="bottom"/>
          </w:tcPr>
          <w:p>
            <w:pPr>
              <w:spacing w:after="0"/>
              <w:rPr>
                <w:sz w:val="20"/>
                <w:szCs w:val="20"/>
                <w:color w:val="auto"/>
              </w:rPr>
            </w:pPr>
          </w:p>
        </w:tc>
        <w:tc>
          <w:tcPr>
            <w:tcW w:w="260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2022-10-04T15:44:43Z</dcterms:created>
  <dcterms:modified xsi:type="dcterms:W3CDTF">2022-10-04T15:44:43Z</dcterms:modified>
</cp:coreProperties>
</file>