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ck0001925309-20230331.htm"/>
      <w:bookmarkStart w:id="1" w:name="ksck000192530920230331"/>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80" w:after="0"/>
        <w:jc w:val="center"/>
        <w:rPr>
          <w:rFonts w:ascii="Times New Roman;serif" w:hAnsi="Times New Roman;serif"/>
          <w:b/>
          <w:sz w:val="32"/>
        </w:rPr>
      </w:pPr>
      <w:r>
        <w:rPr>
          <w:rFonts w:ascii="Times New Roman;serif" w:hAnsi="Times New Roman;serif"/>
          <w:b/>
          <w:sz w:val="32"/>
        </w:rPr>
        <w:t>UNITED STATES</w:t>
      </w:r>
    </w:p>
    <w:p>
      <w:pPr>
        <w:pStyle w:val="TextBody"/>
        <w:bidi w:val="0"/>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6" w:space="1" w:color="000000"/>
        </w:pBdr>
        <w:bidi w:val="0"/>
        <w:spacing w:before="0" w:after="0"/>
        <w:jc w:val="center"/>
        <w:rPr/>
      </w:pPr>
      <w:r>
        <w:rPr/>
        <w:t> </w:t>
      </w:r>
    </w:p>
    <w:p>
      <w:pPr>
        <w:pStyle w:val="TextBody"/>
        <w:bidi w:val="0"/>
        <w:spacing w:before="8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6" w:space="1" w:color="000000"/>
        </w:pBdr>
        <w:bidi w:val="0"/>
        <w:spacing w:before="0" w:after="0"/>
        <w:jc w:val="center"/>
        <w:rPr/>
      </w:pPr>
      <w:r>
        <w:rPr/>
        <w:t> </w:t>
      </w:r>
    </w:p>
    <w:p>
      <w:pPr>
        <w:pStyle w:val="TextBody"/>
        <w:bidi w:val="0"/>
        <w:spacing w:before="80" w:after="0"/>
        <w:jc w:val="left"/>
        <w:rPr>
          <w:rFonts w:ascii="Times New Roman;serif" w:hAnsi="Times New Roman;serif"/>
          <w:b/>
          <w:sz w:val="20"/>
        </w:rPr>
      </w:pPr>
      <w:r>
        <w:rPr>
          <w:rFonts w:ascii="Times New Roman;serif" w:hAnsi="Times New Roman;serif"/>
          <w:b/>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 w:hAnsi="Times New Roman"/>
                <w:sz w:val="24"/>
              </w:rPr>
            </w:pPr>
            <w:r>
              <w:rPr>
                <w:rFonts w:ascii="Times New Roman;serif" w:hAnsi="Times New Roman;serif"/>
                <w:b/>
                <w:sz w:val="24"/>
              </w:rPr>
              <w:t>TRANSITION REPORT PURSUANT TO SECTION 13 OR 15(d) OF THE SECURITIES EXCHANGE ACT OF 1934.</w:t>
            </w:r>
            <w:r>
              <w:rPr>
                <w:rFonts w:ascii="Times New Roman" w:hAnsi="Times New Roman"/>
                <w:sz w:val="24"/>
              </w:rPr>
              <w:t xml:space="preserve"> </w:t>
            </w:r>
          </w:p>
        </w:tc>
      </w:tr>
    </w:tbl>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814-01543</w:t>
      </w:r>
    </w:p>
    <w:p>
      <w:pPr>
        <w:pStyle w:val="TextBody"/>
        <w:pBdr>
          <w:bottom w:val="single" w:sz="6" w:space="1" w:color="000000"/>
        </w:pBdr>
        <w:bidi w:val="0"/>
        <w:spacing w:before="0" w:after="0"/>
        <w:jc w:val="center"/>
        <w:rPr/>
      </w:pPr>
      <w:r>
        <w:rPr/>
        <w:t> </w:t>
      </w:r>
    </w:p>
    <w:p>
      <w:pPr>
        <w:pStyle w:val="TextBody"/>
        <w:bidi w:val="0"/>
        <w:spacing w:before="80" w:after="0"/>
        <w:jc w:val="center"/>
        <w:rPr>
          <w:rFonts w:ascii="Times New Roman;serif" w:hAnsi="Times New Roman;serif"/>
          <w:b/>
          <w:sz w:val="44"/>
        </w:rPr>
      </w:pPr>
      <w:r>
        <w:rPr>
          <w:rFonts w:ascii="Times New Roman;serif" w:hAnsi="Times New Roman;serif"/>
          <w:b/>
          <w:sz w:val="44"/>
        </w:rPr>
        <w:t>Sixth Street Lending Partners</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6" w:space="1" w:color="000000"/>
        </w:pBdr>
        <w:bidi w:val="0"/>
        <w:spacing w:before="0" w:after="0"/>
        <w:jc w:val="center"/>
        <w:rPr/>
      </w:pPr>
      <w:r>
        <w:rPr/>
        <w:t> </w:t>
      </w:r>
    </w:p>
    <w:p>
      <w:pPr>
        <w:pStyle w:val="TextBody"/>
        <w:bidi w:val="0"/>
        <w:spacing w:before="0" w:after="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88-1710161</w:t>
            </w:r>
          </w:p>
        </w:tc>
      </w:tr>
      <w:tr>
        <w:trPr/>
        <w:tc>
          <w:tcPr>
            <w:tcW w:w="31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316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2100 McKinney Avenue, Suite 1500,</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Dallas, TX</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75201</w:t>
            </w:r>
          </w:p>
        </w:tc>
      </w:tr>
      <w:tr>
        <w:trPr/>
        <w:tc>
          <w:tcPr>
            <w:tcW w:w="31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(469) 621-3001</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9"/>
        </w:rPr>
      </w:pPr>
      <w:r>
        <w:rPr>
          <w:rFonts w:ascii="Times New Roman;serif" w:hAnsi="Times New Roman;serif"/>
          <w:b/>
          <w:sz w:val="19"/>
        </w:rPr>
        <w:t>Securities registered pursuant to Section 12(b) of the Act:</w:t>
      </w:r>
    </w:p>
    <w:tbl>
      <w:tblPr>
        <w:tblW w:w="5988" w:type="dxa"/>
        <w:jc w:val="left"/>
        <w:tblInd w:w="0" w:type="dxa"/>
        <w:tblLayout w:type="fixed"/>
        <w:tblCellMar>
          <w:top w:w="28" w:type="dxa"/>
          <w:left w:w="28" w:type="dxa"/>
          <w:bottom w:w="28" w:type="dxa"/>
          <w:right w:w="28" w:type="dxa"/>
        </w:tblCellMar>
      </w:tblPr>
      <w:tblGrid>
        <w:gridCol w:w="1396"/>
        <w:gridCol w:w="1276"/>
        <w:gridCol w:w="3316"/>
      </w:tblGrid>
      <w:tr>
        <w:trPr/>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316" w:type="dxa"/>
            <w:tcBorders/>
            <w:shd w:fill="FFFFFF" w:val="clear"/>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w:t>
            </w:r>
          </w:p>
        </w:tc>
        <w:tc>
          <w:tcPr>
            <w:tcW w:w="331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None</w:t>
            </w:r>
          </w:p>
        </w:tc>
        <w:tc>
          <w:tcPr>
            <w:tcW w:w="127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None</w:t>
            </w:r>
          </w:p>
        </w:tc>
        <w:tc>
          <w:tcPr>
            <w:tcW w:w="33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None</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Securities registered pursuant to Section 12(g) of the Act:</w:t>
      </w:r>
    </w:p>
    <w:p>
      <w:pPr>
        <w:pStyle w:val="TextBody"/>
        <w:bidi w:val="0"/>
        <w:spacing w:before="0" w:after="0"/>
        <w:jc w:val="center"/>
        <w:rPr>
          <w:rFonts w:ascii="Times New Roman;serif" w:hAnsi="Times New Roman;serif"/>
          <w:b/>
          <w:sz w:val="20"/>
        </w:rPr>
      </w:pPr>
      <w:r>
        <w:rPr>
          <w:rFonts w:ascii="Times New Roman;serif" w:hAnsi="Times New Roman;serif"/>
          <w:b/>
          <w:sz w:val="20"/>
        </w:rPr>
        <w:t>Common shares of beneficial interest, par value $0.001 per share</w:t>
      </w:r>
    </w:p>
    <w:p>
      <w:pPr>
        <w:pStyle w:val="TextBody"/>
        <w:bidi w:val="0"/>
        <w:spacing w:before="0" w:after="0"/>
        <w:jc w:val="center"/>
        <w:rPr>
          <w:rFonts w:ascii="Times New Roman;serif" w:hAnsi="Times New Roman;serif"/>
          <w:b/>
          <w:sz w:val="20"/>
        </w:rPr>
      </w:pPr>
      <w:r>
        <w:rPr>
          <w:rFonts w:ascii="Times New Roman;serif" w:hAnsi="Times New Roman;serif"/>
          <w:b/>
          <w:sz w:val="20"/>
        </w:rPr>
        <w:t>(Title of class)</w:t>
      </w:r>
    </w:p>
    <w:p>
      <w:pPr>
        <w:pStyle w:val="TextBody"/>
        <w:pBdr>
          <w:bottom w:val="sing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 </w:t>
      </w:r>
    </w:p>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534" w:type="dxa"/>
        <w:jc w:val="left"/>
        <w:tblInd w:w="0" w:type="dxa"/>
        <w:tblLayout w:type="fixed"/>
        <w:tblCellMar>
          <w:top w:w="28" w:type="dxa"/>
          <w:left w:w="28" w:type="dxa"/>
          <w:bottom w:w="28" w:type="dxa"/>
          <w:right w:w="28" w:type="dxa"/>
        </w:tblCellMar>
      </w:tblPr>
      <w:tblGrid>
        <w:gridCol w:w="1666"/>
        <w:gridCol w:w="376"/>
        <w:gridCol w:w="2071"/>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7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42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76" w:type="dxa"/>
            <w:tcBorders/>
            <w:vAlign w:val="center"/>
          </w:tcPr>
          <w:p>
            <w:pPr>
              <w:pStyle w:val="TableContents"/>
              <w:bidi w:val="0"/>
              <w:spacing w:before="0" w:after="0"/>
              <w:ind w:left="0" w:right="0" w:hanging="0"/>
              <w:jc w:val="left"/>
              <w:rPr/>
            </w:pPr>
            <w:r>
              <w:rPr/>
              <w:t xml:space="preserve">☒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42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Emerging growth company</w:t>
            </w:r>
            <w:r>
              <w:rPr>
                <w:rFonts w:ascii="Times New Roman" w:hAnsi="Times New Roman"/>
                <w:sz w:val="16"/>
              </w:rPr>
              <w:t xml:space="preserve"> </w:t>
            </w:r>
          </w:p>
        </w:tc>
        <w:tc>
          <w:tcPr>
            <w:tcW w:w="421" w:type="dxa"/>
            <w:tcBorders/>
            <w:vAlign w:val="center"/>
          </w:tcPr>
          <w:p>
            <w:pPr>
              <w:pStyle w:val="TableContents"/>
              <w:bidi w:val="0"/>
              <w:spacing w:before="0" w:after="0"/>
              <w:ind w:left="0" w:right="0" w:hanging="0"/>
              <w:jc w:val="left"/>
              <w:rPr/>
            </w:pPr>
            <w:r>
              <w:rPr/>
              <w:t xml:space="preserve">☒ </w:t>
            </w:r>
          </w:p>
        </w:tc>
      </w:tr>
    </w:tbl>
    <w:p>
      <w:pPr>
        <w:pStyle w:val="TextBody"/>
        <w:bidi w:val="0"/>
        <w:spacing w:before="8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The number of shares of the registrant’s common stock, $.001 par value per share, outstanding at May 12, 2023 was 31,896,949.</w:t>
      </w:r>
      <w:r>
        <w:rPr>
          <w:rFonts w:ascii="Times New Roman" w:hAnsi="Times New Roman"/>
          <w:sz w:val="20"/>
        </w:rPr>
        <w:t xml:space="preserve"> </w:t>
      </w:r>
    </w:p>
    <w:p>
      <w:pPr>
        <w:pStyle w:val="TextBody"/>
        <w:bidi w:val="0"/>
        <w:spacing w:before="0" w:after="0"/>
        <w:jc w:val="left"/>
        <w:rPr/>
      </w:pPr>
      <w:r>
        <w:rPr/>
        <w:t> </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Lending Partners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818"/>
        <w:gridCol w:w="146"/>
        <w:gridCol w:w="8478"/>
        <w:gridCol w:w="146"/>
        <w:gridCol w:w="617"/>
      </w:tblGrid>
      <w:tr>
        <w:trPr/>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1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lef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 I.</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 as of March 31, 2023</w:t>
              </w:r>
            </w:hyperlink>
            <w:hyperlink w:anchor="consolidated_balance_sheets">
              <w:r>
                <w:rPr>
                  <w:rStyle w:val="InternetLink"/>
                  <w:rFonts w:ascii="Times New Roman" w:hAnsi="Times New Roman"/>
                  <w:sz w:val="20"/>
                </w:rPr>
                <w:t xml:space="preserve"> </w:t>
              </w:r>
            </w:hyperlink>
            <w:hyperlink w:anchor="consolidated_balance_sheets">
              <w:r>
                <w:rPr>
                  <w:rStyle w:val="InternetLink"/>
                  <w:rFonts w:ascii="Times New Roman;serif" w:hAnsi="Times New Roman;serif"/>
                  <w:b w:val="false"/>
                  <w:sz w:val="20"/>
                  <w:u w:val="single"/>
                </w:rPr>
                <w:t>(Unaudited)</w:t>
              </w:r>
            </w:hyperlink>
            <w:hyperlink w:anchor="consolidated_balance_sheets">
              <w:r>
                <w:rPr>
                  <w:rStyle w:val="InternetLink"/>
                  <w:rFonts w:ascii="Times New Roman" w:hAnsi="Times New Roman"/>
                  <w:sz w:val="20"/>
                </w:rPr>
                <w:t xml:space="preserve"> </w:t>
              </w:r>
            </w:hyperlink>
            <w:hyperlink w:anchor="consolidated_balance_sheets">
              <w:r>
                <w:rPr>
                  <w:rStyle w:val="InternetLink"/>
                  <w:rFonts w:ascii="Times New Roman;serif" w:hAnsi="Times New Roman;serif"/>
                  <w:b w:val="false"/>
                  <w:sz w:val="20"/>
                  <w:u w:val="single"/>
                </w:rPr>
                <w:t>and December 31, 2022</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consolidated_statements_operations">
              <w:r>
                <w:rPr>
                  <w:rStyle w:val="InternetLink"/>
                  <w:rFonts w:ascii="Times New Roman;serif" w:hAnsi="Times New Roman;serif"/>
                  <w:b w:val="false"/>
                  <w:sz w:val="20"/>
                  <w:u w:val="single"/>
                </w:rPr>
                <w:t>Consolidated Statements of Operations for the three months ended March 31, 2023 (Unaudited)</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consolidated_schedule_investments_as_mar">
              <w:r>
                <w:rPr>
                  <w:rStyle w:val="InternetLink"/>
                  <w:rFonts w:ascii="Times New Roman;serif" w:hAnsi="Times New Roman;serif"/>
                  <w:b w:val="false"/>
                  <w:sz w:val="20"/>
                  <w:u w:val="single"/>
                </w:rPr>
                <w:t>Consolidated Schedule of Investments as of March 31, 2023 (Unaudited)</w:t>
              </w:r>
            </w:hyperlink>
            <w:r>
              <w:rPr>
                <w:rFonts w:ascii="Times New Roman" w:hAnsi="Times New Roman"/>
                <w:sz w:val="20"/>
                <w:u w:val="single"/>
              </w:rPr>
              <w:t> </w:t>
            </w:r>
            <w:r>
              <w:rPr>
                <w:rFonts w:ascii="Times New Roman;serif" w:hAnsi="Times New Roman;serif"/>
                <w:b w:val="false"/>
                <w:sz w:val="20"/>
                <w:u w:val="single"/>
              </w:rPr>
              <w:t>and December 31, 2022</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consolidated_statements_changes_in_net_a">
              <w:r>
                <w:rPr>
                  <w:rStyle w:val="InternetLink"/>
                  <w:rFonts w:ascii="Times New Roman;serif" w:hAnsi="Times New Roman;serif"/>
                  <w:b w:val="false"/>
                  <w:sz w:val="20"/>
                  <w:u w:val="single"/>
                </w:rPr>
                <w:t>Consolidated Statements of Changes in Net Assets for the three months ended March 31, 2023 (Unaudited)</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 of Cash Flows for the three months ended March 31, 2023 (Unaudited)</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 (Unaudited)</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 II.</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8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8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 </w:t>
            </w:r>
          </w:p>
        </w:tc>
      </w:tr>
      <w:tr>
        <w:trPr/>
        <w:tc>
          <w:tcPr>
            <w:tcW w:w="9442" w:type="dxa"/>
            <w:gridSpan w:val="3"/>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CAUTIONARY STATEMENT REGARDING FORWARD-LOOKING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to factors previously identified elsewhere in the reports and other documents Sixth Street Lending Partners (the “Company”, “we”, “us” or “our”), has filed with the U.S. Securities and Exchange Commission, or “SEC”, the following factors, among others, could cause actual results to differ materially from forward-looking statements or historical performance: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economic downturn, which could impair our portfolio companies’ abilities to continue to operate and could lead to the loss of some or all of our investments in those portfolio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such an economic downturn could also impact availability and pricing of our financing;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inability to access the capital markets could impair our ability to raise capital and our investment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inflation could negatively impact our business, including our ability to access the debt markets on favorable terms, or could negatively impact our portfolio companies;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risks, uncertainties and other factors we identify in the section entitled “Risk Factors” in this report, in our Annual Report on Form 10-K for the year ended December 31, 2022, filed with the SEC on February 17, 2023, and elsewhere in our filings with the SEC. </w:t>
      </w:r>
    </w:p>
    <w:p>
      <w:pPr>
        <w:pStyle w:val="TextBody"/>
        <w:bidi w:val="0"/>
        <w:spacing w:before="240" w:after="0"/>
        <w:jc w:val="left"/>
        <w:rPr>
          <w:rFonts w:ascii="Times New Roman" w:hAnsi="Times New Roman"/>
          <w:sz w:val="20"/>
        </w:rPr>
      </w:pPr>
      <w:r>
        <w:rPr>
          <w:rFonts w:ascii="Times New Roman;serif" w:hAnsi="Times New Roman;serif"/>
          <w:b w:val="false"/>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 w:name="part_i_financial_information"/>
      <w:bookmarkEnd w:id="2"/>
      <w:r>
        <w:rPr>
          <w:rFonts w:ascii="Times New Roman;serif" w:hAnsi="Times New Roman;serif"/>
          <w:b/>
          <w:sz w:val="20"/>
        </w:rPr>
        <w:t>PART I. 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Sixth Street Lending Partners</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4" w:name="consolidated_balance_sheets"/>
      <w:bookmarkEnd w:id="4"/>
      <w:r>
        <w:rPr>
          <w:rFonts w:ascii="Times New Roman;serif" w:hAnsi="Times New Roman;serif"/>
          <w:b/>
          <w:sz w:val="20"/>
        </w:rPr>
        <w:t>Consolidated Balance Sheet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and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892"/>
        <w:gridCol w:w="146"/>
        <w:gridCol w:w="211"/>
        <w:gridCol w:w="931"/>
        <w:gridCol w:w="146"/>
        <w:gridCol w:w="146"/>
        <w:gridCol w:w="211"/>
        <w:gridCol w:w="931"/>
        <w:gridCol w:w="591"/>
      </w:tblGrid>
      <w:tr>
        <w:trPr/>
        <w:tc>
          <w:tcPr>
            <w:tcW w:w="6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9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vAlign w:val="center"/>
          </w:tcPr>
          <w:p>
            <w:pPr>
              <w:pStyle w:val="TableContents"/>
              <w:bidi w:val="0"/>
              <w:spacing w:before="0" w:after="0"/>
              <w:ind w:left="0" w:right="0" w:hanging="0"/>
              <w:jc w:val="center"/>
              <w:rPr/>
            </w:pPr>
            <w:r>
              <w:rPr/>
              <w:t> </w:t>
            </w:r>
          </w:p>
        </w:tc>
      </w:tr>
      <w:tr>
        <w:trPr/>
        <w:tc>
          <w:tcPr>
            <w:tcW w:w="689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 at fair value</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89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Non-controlled, non-affiliated investments (amortized cost of $1,248,920</w:t>
            </w:r>
            <w:r>
              <w:rPr>
                <w:rFonts w:ascii="Times New Roman" w:hAnsi="Times New Roman"/>
                <w:sz w:val="20"/>
              </w:rPr>
              <w:t> </w:t>
            </w:r>
            <w:r>
              <w:rPr>
                <w:rFonts w:ascii="Times New Roman;serif" w:hAnsi="Times New Roman;serif"/>
                <w:b w:val="false"/>
                <w:sz w:val="20"/>
              </w:rPr>
              <w:t>and $809,029,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808,801</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274,612</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7,814</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9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1,622,790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1,091,712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9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Debt (net of deferred financing costs of $11,357</w:t>
            </w:r>
            <w:r>
              <w:rPr>
                <w:rFonts w:ascii="Times New Roman" w:hAnsi="Times New Roman"/>
                <w:sz w:val="20"/>
              </w:rPr>
              <w:t> </w:t>
            </w:r>
            <w:r>
              <w:rPr>
                <w:rFonts w:ascii="Times New Roman;serif" w:hAnsi="Times New Roman;serif"/>
                <w:b w:val="false"/>
                <w:sz w:val="20"/>
              </w:rPr>
              <w:t>and $3,911,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534,080</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fees payable to affiliate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on net investment income payable to affiliate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1,027</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on net capital gains accrued to affiliate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payables to affiliate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4,062</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payable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9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810,471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545,001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7)</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Assets</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689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shares, $0.001</w:t>
            </w:r>
            <w:r>
              <w:rPr>
                <w:rFonts w:ascii="Times New Roman" w:hAnsi="Times New Roman"/>
                <w:sz w:val="20"/>
              </w:rPr>
              <w:t> </w:t>
            </w:r>
            <w:r>
              <w:rPr>
                <w:rFonts w:ascii="Times New Roman;serif" w:hAnsi="Times New Roman;serif"/>
                <w:b w:val="false"/>
                <w:sz w:val="20"/>
              </w:rPr>
              <w:t>par value; unlimited shares authorized, 31,525,841</w:t>
            </w:r>
            <w:r>
              <w:rPr>
                <w:rFonts w:ascii="Times New Roman" w:hAnsi="Times New Roman"/>
                <w:sz w:val="20"/>
              </w:rPr>
              <w:t> </w:t>
            </w:r>
            <w:r>
              <w:rPr>
                <w:rFonts w:ascii="Times New Roman;serif" w:hAnsi="Times New Roman;serif"/>
                <w:b w:val="false"/>
                <w:sz w:val="20"/>
              </w:rPr>
              <w:t>and 21,882,028</w:t>
            </w:r>
            <w:r>
              <w:rPr>
                <w:rFonts w:ascii="Times New Roman" w:hAnsi="Times New Roman"/>
                <w:sz w:val="20"/>
              </w:rPr>
              <w:t> </w:t>
            </w:r>
            <w:r>
              <w:rPr>
                <w:rFonts w:ascii="Times New Roman;serif" w:hAnsi="Times New Roman;serif"/>
                <w:b w:val="false"/>
                <w:sz w:val="20"/>
              </w:rPr>
              <w:t>shares issued and outstanding, respectively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542,596</w:t>
            </w:r>
          </w:p>
        </w:tc>
        <w:tc>
          <w:tcPr>
            <w:tcW w:w="591" w:type="dxa"/>
            <w:tcBorders/>
            <w:vAlign w:val="center"/>
          </w:tcPr>
          <w:p>
            <w:pPr>
              <w:pStyle w:val="TableContents"/>
              <w:bidi w:val="0"/>
              <w:spacing w:before="0" w:after="0"/>
              <w:ind w:left="0" w:right="0" w:hanging="0"/>
              <w:jc w:val="left"/>
              <w:rPr/>
            </w:pPr>
            <w:r>
              <w:rPr/>
              <w:t> </w:t>
            </w:r>
          </w:p>
        </w:tc>
      </w:tr>
      <w:tr>
        <w:trPr/>
        <w:tc>
          <w:tcPr>
            <w:tcW w:w="68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Distributable earnings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9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Net Assets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812,319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546,711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9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 and Net Assets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1,622,790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1,091,712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92"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Net Asset Value Per Share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Lending Partners</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5" w:name="consolidated_statements_operations"/>
      <w:bookmarkEnd w:id="5"/>
      <w:r>
        <w:rPr>
          <w:rFonts w:ascii="Times New Roman;serif" w:hAnsi="Times New Roman;serif"/>
          <w:b/>
          <w:sz w:val="20"/>
        </w:rPr>
        <w:t>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and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8249" w:type="dxa"/>
        <w:jc w:val="left"/>
        <w:tblInd w:w="0" w:type="dxa"/>
        <w:tblLayout w:type="fixed"/>
        <w:tblCellMar>
          <w:top w:w="28" w:type="dxa"/>
          <w:left w:w="28" w:type="dxa"/>
          <w:bottom w:w="28" w:type="dxa"/>
          <w:right w:w="28" w:type="dxa"/>
        </w:tblCellMar>
      </w:tblPr>
      <w:tblGrid>
        <w:gridCol w:w="5341"/>
        <w:gridCol w:w="146"/>
        <w:gridCol w:w="283"/>
        <w:gridCol w:w="1322"/>
        <w:gridCol w:w="166"/>
        <w:gridCol w:w="99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 </w:t>
            </w:r>
          </w:p>
        </w:tc>
      </w:tr>
      <w:tr>
        <w:trPr/>
        <w:tc>
          <w:tcPr>
            <w:tcW w:w="5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Income</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 from non-controlled, non-affiliated investments: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534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from investments</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30,617</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534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600"/>
              <w:jc w:val="right"/>
              <w:rPr/>
            </w:pPr>
            <w:r>
              <w:rPr/>
              <w:t> </w:t>
            </w:r>
          </w:p>
        </w:tc>
      </w:tr>
      <w:tr>
        <w:trPr/>
        <w:tc>
          <w:tcPr>
            <w:tcW w:w="534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8,852</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Management fees</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3,884</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fees on net investment income</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fees on net capital gains</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1,420</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Organizational expense</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Offering expense</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Professional fees</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620</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Trustees’ fees</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general and administrative</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400"/>
              <w:jc w:val="right"/>
              <w:rPr/>
            </w:pPr>
            <w:r>
              <w:rPr/>
              <w:t> </w:t>
            </w:r>
          </w:p>
        </w:tc>
      </w:tr>
      <w:tr>
        <w:trPr/>
        <w:tc>
          <w:tcPr>
            <w:tcW w:w="534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Management fees waived (Note 3)</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1" w:type="dxa"/>
            <w:tcBorders/>
            <w:vAlign w:val="center"/>
          </w:tcPr>
          <w:p>
            <w:pPr>
              <w:pStyle w:val="TableContents"/>
              <w:bidi w:val="0"/>
              <w:spacing w:before="0" w:after="0"/>
              <w:ind w:left="0" w:right="0" w:firstLine="600"/>
              <w:jc w:val="right"/>
              <w:rPr/>
            </w:pPr>
            <w:r>
              <w:rPr/>
              <w:t> </w:t>
            </w:r>
          </w:p>
        </w:tc>
      </w:tr>
      <w:tr>
        <w:trPr/>
        <w:tc>
          <w:tcPr>
            <w:tcW w:w="534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Net Expenses</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Investment Income Before Income Taxes</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15,375</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taxes, including excise taxes</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15,115</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Unrealized and Realized Gains (Losses)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534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13,761</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534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Translation of other assets and liabilities in foreign currencies</w:t>
            </w:r>
          </w:p>
        </w:tc>
        <w:tc>
          <w:tcPr>
            <w:tcW w:w="146" w:type="dxa"/>
            <w:tcBorders/>
            <w:vAlign w:val="center"/>
          </w:tcPr>
          <w:p>
            <w:pPr>
              <w:pStyle w:val="TableContents"/>
              <w:bidi w:val="0"/>
              <w:spacing w:before="0" w:after="0"/>
              <w:ind w:left="0" w:right="0" w:hanging="0"/>
              <w:jc w:val="right"/>
              <w:rPr/>
            </w:pPr>
            <w:r>
              <w:rPr/>
              <w:t> </w:t>
            </w:r>
          </w:p>
        </w:tc>
        <w:tc>
          <w:tcPr>
            <w:tcW w:w="28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1" w:type="dxa"/>
            <w:tcBorders/>
            <w:vAlign w:val="center"/>
          </w:tcPr>
          <w:p>
            <w:pPr>
              <w:pStyle w:val="TableContents"/>
              <w:bidi w:val="0"/>
              <w:spacing w:before="0" w:after="0"/>
              <w:ind w:left="0" w:right="0" w:firstLine="600"/>
              <w:jc w:val="right"/>
              <w:rPr/>
            </w:pPr>
            <w:r>
              <w:rPr/>
              <w:t> </w:t>
            </w:r>
          </w:p>
        </w:tc>
      </w:tr>
      <w:tr>
        <w:trPr/>
        <w:tc>
          <w:tcPr>
            <w:tcW w:w="534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Total 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28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32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13,047</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gains (losses):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534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transactions</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600"/>
              <w:jc w:val="right"/>
              <w:rPr/>
            </w:pPr>
            <w:r>
              <w:rPr/>
              <w:t> </w:t>
            </w:r>
          </w:p>
        </w:tc>
      </w:tr>
      <w:tr>
        <w:trPr/>
        <w:tc>
          <w:tcPr>
            <w:tcW w:w="534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Total net realized gains (losses)</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800"/>
              <w:jc w:val="right"/>
              <w:rPr/>
            </w:pPr>
            <w:r>
              <w:rPr/>
              <w:t> </w:t>
            </w:r>
          </w:p>
        </w:tc>
      </w:tr>
      <w:tr>
        <w:trPr/>
        <w:tc>
          <w:tcPr>
            <w:tcW w:w="5341"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Total Net Unrealized and Realized Gains (Losses)</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800"/>
              <w:jc w:val="right"/>
              <w:rPr/>
            </w:pPr>
            <w:r>
              <w:rPr/>
              <w:t> </w:t>
            </w:r>
          </w:p>
        </w:tc>
      </w:tr>
      <w:tr>
        <w:trPr/>
        <w:tc>
          <w:tcPr>
            <w:tcW w:w="5341"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Increase (Decrease) in Net Assets Resulting from Operations</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Earnings per common share—basic and diluted</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shares of common shares outstanding—basic and diluted</w:t>
            </w:r>
          </w:p>
        </w:tc>
        <w:tc>
          <w:tcPr>
            <w:tcW w:w="146" w:type="dxa"/>
            <w:tcBorders/>
            <w:vAlign w:val="center"/>
          </w:tcPr>
          <w:p>
            <w:pPr>
              <w:pStyle w:val="TableContents"/>
              <w:bidi w:val="0"/>
              <w:spacing w:before="0" w:after="0"/>
              <w:ind w:left="0" w:right="0" w:hanging="0"/>
              <w:jc w:val="righ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23,060,716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Sixth Street Lending Partners</w:t>
      </w:r>
    </w:p>
    <w:p>
      <w:pPr>
        <w:pStyle w:val="TextBody"/>
        <w:bidi w:val="0"/>
        <w:spacing w:before="240" w:after="0"/>
        <w:jc w:val="center"/>
        <w:rPr>
          <w:rFonts w:ascii="Times New Roman;serif" w:hAnsi="Times New Roman;serif"/>
          <w:b/>
          <w:sz w:val="20"/>
        </w:rPr>
      </w:pPr>
      <w:bookmarkStart w:id="6" w:name="consolidated_schedule_investments_as_mar"/>
      <w:bookmarkEnd w:id="6"/>
      <w:r>
        <w:rPr>
          <w:rFonts w:ascii="Times New Roman;serif" w:hAnsi="Times New Roman;serif"/>
          <w:b/>
          <w:sz w:val="20"/>
        </w:rPr>
        <w:t>Consolidated Schedule of Investments as of March 31, 2023</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0"/>
        <w:gridCol w:w="146"/>
        <w:gridCol w:w="1847"/>
        <w:gridCol w:w="146"/>
        <w:gridCol w:w="676"/>
        <w:gridCol w:w="146"/>
        <w:gridCol w:w="146"/>
        <w:gridCol w:w="696"/>
        <w:gridCol w:w="146"/>
        <w:gridCol w:w="146"/>
        <w:gridCol w:w="279"/>
        <w:gridCol w:w="722"/>
        <w:gridCol w:w="211"/>
        <w:gridCol w:w="146"/>
        <w:gridCol w:w="166"/>
        <w:gridCol w:w="586"/>
        <w:gridCol w:w="146"/>
        <w:gridCol w:w="146"/>
        <w:gridCol w:w="171"/>
        <w:gridCol w:w="604"/>
        <w:gridCol w:w="146"/>
        <w:gridCol w:w="146"/>
        <w:gridCol w:w="210"/>
        <w:gridCol w:w="544"/>
        <w:gridCol w:w="277"/>
      </w:tblGrid>
      <w:tr>
        <w:trPr/>
        <w:tc>
          <w:tcPr>
            <w:tcW w:w="1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Company </w:t>
            </w:r>
            <w:r>
              <w:rPr>
                <w:rFonts w:ascii="Times New Roman;serif" w:hAnsi="Times New Roman;serif"/>
                <w:b/>
                <w:sz w:val="8"/>
              </w:rPr>
              <w:t>(1)(9)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Interest Rate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Amortized</w:t>
              <w:br/>
              <w:t xml:space="preserve">Cost </w:t>
            </w:r>
            <w:r>
              <w:rPr>
                <w:rFonts w:ascii="Times New Roman;serif" w:hAnsi="Times New Roman;serif"/>
                <w:b/>
                <w:sz w:val="8"/>
              </w:rPr>
              <w:t>(2) (7)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Percentage</w:t>
              <w:br/>
              <w:t>of Net Assets</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Debt Investments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Business services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Hornetsecurity Holding GmbH</w:t>
            </w:r>
            <w:r>
              <w:rPr>
                <w:rFonts w:ascii="Times New Roman" w:hAnsi="Times New Roman"/>
                <w:sz w:val="12"/>
              </w:rPr>
              <w:t> </w:t>
            </w:r>
            <w:r>
              <w:rPr>
                <w:rFonts w:ascii="Times New Roman;serif" w:hAnsi="Times New Roman;serif"/>
                <w:b w:val="false"/>
                <w:sz w:val="8"/>
              </w:rPr>
              <w:t>(3)(4)</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(EUR 3,150</w:t>
            </w:r>
            <w:r>
              <w:rPr>
                <w:rFonts w:ascii="Times New Roman" w:hAnsi="Times New Roman"/>
                <w:sz w:val="20"/>
              </w:rPr>
              <w:t> </w:t>
            </w:r>
            <w:r>
              <w:rPr>
                <w:rFonts w:ascii="Times New Roman;serif" w:hAnsi="Times New Roman;serif"/>
                <w:b w:val="false"/>
                <w:sz w:val="12"/>
              </w:rPr>
              <w:t>par, due 11/2029)</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E + 6.50%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$3,312</w:t>
              <w:br/>
              <w:t>(EUR 3,049)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OutSystems Luxco SARL</w:t>
            </w:r>
            <w:r>
              <w:rPr>
                <w:rFonts w:ascii="Times New Roman;serif" w:hAnsi="Times New Roman;serif"/>
                <w:b w:val="false"/>
                <w:sz w:val="8"/>
              </w:rPr>
              <w:t>(3)(4)(5)</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(EUR 3,004</w:t>
            </w:r>
            <w:r>
              <w:rPr>
                <w:rFonts w:ascii="Times New Roman" w:hAnsi="Times New Roman"/>
                <w:sz w:val="20"/>
              </w:rPr>
              <w:t> </w:t>
            </w:r>
            <w:r>
              <w:rPr>
                <w:rFonts w:ascii="Times New Roman;serif" w:hAnsi="Times New Roman;serif"/>
                <w:b w:val="false"/>
                <w:sz w:val="12"/>
              </w:rPr>
              <w:t>par, due 12/2028)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E + 5.75%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3,223</w:t>
              <w:br/>
              <w:t>(EUR 2,966)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Chemicals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Erling Lux Bidco SARL </w:t>
            </w:r>
            <w:r>
              <w:rPr>
                <w:rFonts w:ascii="Times New Roman;serif" w:hAnsi="Times New Roman;serif"/>
                <w:b w:val="false"/>
                <w:sz w:val="8"/>
              </w:rPr>
              <w:t>(3)(4)</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(EUR 7,239</w:t>
            </w:r>
            <w:r>
              <w:rPr>
                <w:rFonts w:ascii="Times New Roman" w:hAnsi="Times New Roman"/>
                <w:sz w:val="20"/>
              </w:rPr>
              <w:t> </w:t>
            </w:r>
            <w:r>
              <w:rPr>
                <w:rFonts w:ascii="Times New Roman;serif" w:hAnsi="Times New Roman;serif"/>
                <w:b w:val="false"/>
                <w:sz w:val="12"/>
              </w:rPr>
              <w:t>par, due 9/2028)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E + 6.75%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7,594</w:t>
              <w:br/>
              <w:t>(EUR 6,989)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(GBP 10,217</w:t>
            </w:r>
            <w:r>
              <w:rPr>
                <w:rFonts w:ascii="Times New Roman" w:hAnsi="Times New Roman"/>
                <w:sz w:val="20"/>
              </w:rPr>
              <w:t> </w:t>
            </w:r>
            <w:r>
              <w:rPr>
                <w:rFonts w:ascii="Times New Roman;serif" w:hAnsi="Times New Roman;serif"/>
                <w:b w:val="false"/>
                <w:sz w:val="12"/>
              </w:rPr>
              <w:t>par, due 9/2028)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 + 6.75%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12,381</w:t>
              <w:br/>
              <w:t>(GBP 10,013)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Communications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Banyan Software Holdings, LLC </w:t>
            </w:r>
            <w:r>
              <w:rPr>
                <w:rFonts w:ascii="Times New Roman;serif" w:hAnsi="Times New Roman;serif"/>
                <w:b w:val="false"/>
                <w:sz w:val="8"/>
              </w:rPr>
              <w:t>(3)(4)</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($39,900</w:t>
            </w:r>
            <w:r>
              <w:rPr>
                <w:rFonts w:ascii="Times New Roman" w:hAnsi="Times New Roman"/>
                <w:sz w:val="20"/>
              </w:rPr>
              <w:t> </w:t>
            </w:r>
            <w:r>
              <w:rPr>
                <w:rFonts w:ascii="Times New Roman;serif" w:hAnsi="Times New Roman;serif"/>
                <w:b w:val="false"/>
                <w:sz w:val="12"/>
              </w:rPr>
              <w:t>par, due 10/2026)</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1/27/2023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Financial Services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BTRS Holdings, Inc.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($136,895</w:t>
            </w:r>
            <w:r>
              <w:rPr>
                <w:rFonts w:ascii="Times New Roman" w:hAnsi="Times New Roman"/>
                <w:sz w:val="20"/>
              </w:rPr>
              <w:t> </w:t>
            </w:r>
            <w:r>
              <w:rPr>
                <w:rFonts w:ascii="Times New Roman;serif" w:hAnsi="Times New Roman;serif"/>
                <w:b w:val="false"/>
                <w:sz w:val="12"/>
              </w:rPr>
              <w:t>par, due 12/2028)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132,968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133,815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revolving loan ($1,988</w:t>
            </w:r>
            <w:r>
              <w:rPr>
                <w:rFonts w:ascii="Times New Roman" w:hAnsi="Times New Roman"/>
                <w:sz w:val="20"/>
              </w:rPr>
              <w:t> </w:t>
            </w:r>
            <w:r>
              <w:rPr>
                <w:rFonts w:ascii="Times New Roman;serif" w:hAnsi="Times New Roman;serif"/>
                <w:b w:val="false"/>
                <w:sz w:val="12"/>
              </w:rPr>
              <w:t>par, due 12/2028)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Ping Identity Holding Corp.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($136,364</w:t>
            </w:r>
            <w:r>
              <w:rPr>
                <w:rFonts w:ascii="Times New Roman" w:hAnsi="Times New Roman"/>
                <w:sz w:val="20"/>
              </w:rPr>
              <w:t> </w:t>
            </w:r>
            <w:r>
              <w:rPr>
                <w:rFonts w:ascii="Times New Roman;serif" w:hAnsi="Times New Roman;serif"/>
                <w:b w:val="false"/>
                <w:sz w:val="12"/>
              </w:rPr>
              <w:t>par, due 10/2029)</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132,861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133,364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267,404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268,842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Healthcare</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Edge Bidco B.V </w:t>
            </w:r>
            <w:r>
              <w:rPr>
                <w:rFonts w:ascii="Times New Roman;serif" w:hAnsi="Times New Roman;serif"/>
                <w:b w:val="false"/>
                <w:sz w:val="8"/>
              </w:rPr>
              <w:t>(3)(4)</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(EUR 3,423</w:t>
            </w:r>
            <w:r>
              <w:rPr>
                <w:rFonts w:ascii="Times New Roman" w:hAnsi="Times New Roman"/>
                <w:sz w:val="20"/>
              </w:rPr>
              <w:t> </w:t>
            </w:r>
            <w:r>
              <w:rPr>
                <w:rFonts w:ascii="Times New Roman;serif" w:hAnsi="Times New Roman;serif"/>
                <w:b w:val="false"/>
                <w:sz w:val="12"/>
              </w:rPr>
              <w:t>par, due 2/2029)</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2/24/2023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E + 7.00%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10.02% (incl. 3.25% PIK)</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3,579</w:t>
              <w:br/>
              <w:t>(EUR 3,294)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Raptor US Buyer II Corp.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($86,364</w:t>
            </w:r>
            <w:r>
              <w:rPr>
                <w:rFonts w:ascii="Times New Roman" w:hAnsi="Times New Roman"/>
                <w:sz w:val="20"/>
              </w:rPr>
              <w:t> </w:t>
            </w:r>
            <w:r>
              <w:rPr>
                <w:rFonts w:ascii="Times New Roman;serif" w:hAnsi="Times New Roman;serif"/>
                <w:b w:val="false"/>
                <w:sz w:val="12"/>
              </w:rPr>
              <w:t>par, due 3/2029)</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83,176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83,556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86,649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87,135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Human Resource Support Services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bswift, LLC</w:t>
            </w:r>
            <w:r>
              <w:rPr>
                <w:rFonts w:ascii="Times New Roman" w:hAnsi="Times New Roman"/>
                <w:sz w:val="12"/>
              </w:rPr>
              <w:t> </w:t>
            </w:r>
            <w:r>
              <w:rPr>
                <w:rFonts w:ascii="Times New Roman;serif" w:hAnsi="Times New Roman;serif"/>
                <w:b w:val="false"/>
                <w:sz w:val="8"/>
              </w:rPr>
              <w:t>(3)(5)</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($142,038</w:t>
            </w:r>
            <w:r>
              <w:rPr>
                <w:rFonts w:ascii="Times New Roman" w:hAnsi="Times New Roman"/>
                <w:sz w:val="20"/>
              </w:rPr>
              <w:t> </w:t>
            </w:r>
            <w:r>
              <w:rPr>
                <w:rFonts w:ascii="Times New Roman;serif" w:hAnsi="Times New Roman;serif"/>
                <w:b w:val="false"/>
                <w:sz w:val="12"/>
              </w:rPr>
              <w:t>par, due 11/2028)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137,811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Insurance</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Disco Parent, Inc.</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($57,756</w:t>
            </w:r>
            <w:r>
              <w:rPr>
                <w:rFonts w:ascii="Times New Roman" w:hAnsi="Times New Roman"/>
                <w:sz w:val="20"/>
              </w:rPr>
              <w:t> </w:t>
            </w:r>
            <w:r>
              <w:rPr>
                <w:rFonts w:ascii="Times New Roman;serif" w:hAnsi="Times New Roman;serif"/>
                <w:b w:val="false"/>
                <w:sz w:val="12"/>
              </w:rPr>
              <w:t>par, due 3/2029)</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3/30/2023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Internet Services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Coupa Holdings, LLC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($129,573</w:t>
            </w:r>
            <w:r>
              <w:rPr>
                <w:rFonts w:ascii="Times New Roman" w:hAnsi="Times New Roman"/>
                <w:sz w:val="20"/>
              </w:rPr>
              <w:t> </w:t>
            </w:r>
            <w:r>
              <w:rPr>
                <w:rFonts w:ascii="Times New Roman;serif" w:hAnsi="Times New Roman;serif"/>
                <w:b w:val="false"/>
                <w:sz w:val="12"/>
              </w:rPr>
              <w:t>par, due 2/2030)</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2/27/2023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126,948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SMA Technologies Holdings, LLC </w:t>
            </w:r>
            <w:r>
              <w:rPr>
                <w:rFonts w:ascii="Times New Roman;serif" w:hAnsi="Times New Roman;serif"/>
                <w:b w:val="false"/>
                <w:sz w:val="8"/>
              </w:rPr>
              <w:t>(3)(5)</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($5,667</w:t>
            </w:r>
            <w:r>
              <w:rPr>
                <w:rFonts w:ascii="Times New Roman" w:hAnsi="Times New Roman"/>
                <w:sz w:val="20"/>
              </w:rPr>
              <w:t> </w:t>
            </w:r>
            <w:r>
              <w:rPr>
                <w:rFonts w:ascii="Times New Roman;serif" w:hAnsi="Times New Roman;serif"/>
                <w:b w:val="false"/>
                <w:sz w:val="12"/>
              </w:rPr>
              <w:t>par, due 10/2028)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10/31/2022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131,445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132,459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Manufacturing</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Avalara, Inc.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($136,364</w:t>
            </w:r>
            <w:r>
              <w:rPr>
                <w:rFonts w:ascii="Times New Roman" w:hAnsi="Times New Roman"/>
                <w:sz w:val="20"/>
              </w:rPr>
              <w:t> </w:t>
            </w:r>
            <w:r>
              <w:rPr>
                <w:rFonts w:ascii="Times New Roman;serif" w:hAnsi="Times New Roman;serif"/>
                <w:b w:val="false"/>
                <w:sz w:val="12"/>
              </w:rPr>
              <w:t>par, due 10/2028)</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Oil, Gas and Consumable Fuels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Laramie Energy, LLC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($97,561</w:t>
            </w:r>
            <w:r>
              <w:rPr>
                <w:rFonts w:ascii="Times New Roman" w:hAnsi="Times New Roman"/>
                <w:sz w:val="20"/>
              </w:rPr>
              <w:t> </w:t>
            </w:r>
            <w:r>
              <w:rPr>
                <w:rFonts w:ascii="Times New Roman;serif" w:hAnsi="Times New Roman;serif"/>
                <w:b w:val="false"/>
                <w:sz w:val="12"/>
              </w:rPr>
              <w:t>par, due 2/2027)</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2/21/2023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Retail and Consumer Products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Bed Bath and Beyond Inc. </w:t>
            </w:r>
            <w:r>
              <w:rPr>
                <w:rFonts w:ascii="Times New Roman;serif" w:hAnsi="Times New Roman;serif"/>
                <w:b w:val="false"/>
                <w:sz w:val="8"/>
              </w:rPr>
              <w:t>(3)(11)</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ABL FILO term loan ($126,667</w:t>
            </w:r>
            <w:r>
              <w:rPr>
                <w:rFonts w:ascii="Times New Roman" w:hAnsi="Times New Roman"/>
                <w:sz w:val="20"/>
              </w:rPr>
              <w:t> </w:t>
            </w:r>
            <w:r>
              <w:rPr>
                <w:rFonts w:ascii="Times New Roman;serif" w:hAnsi="Times New Roman;serif"/>
                <w:b w:val="false"/>
                <w:sz w:val="12"/>
              </w:rPr>
              <w:t>par, due 8/2027)</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Commercehub, Inc.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First-lien loan ($149,625</w:t>
            </w:r>
            <w:r>
              <w:rPr>
                <w:rFonts w:ascii="Times New Roman" w:hAnsi="Times New Roman"/>
                <w:sz w:val="20"/>
              </w:rPr>
              <w:t> </w:t>
            </w:r>
            <w:r>
              <w:rPr>
                <w:rFonts w:ascii="Times New Roman;serif" w:hAnsi="Times New Roman;serif"/>
                <w:b w:val="false"/>
                <w:sz w:val="12"/>
              </w:rPr>
              <w:t>par, due 12/2027)</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11/15/2022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139,728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263,031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268,521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Debt Investments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1,232,474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1,246,008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153.4</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Healthcare</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Raptor US Buyer II Corp.</w:t>
            </w:r>
            <w:r>
              <w:rPr>
                <w:rFonts w:ascii="Times New Roman" w:hAnsi="Times New Roman"/>
                <w:sz w:val="12"/>
              </w:rPr>
              <w:t> </w:t>
            </w:r>
            <w:r>
              <w:rPr>
                <w:rFonts w:ascii="Times New Roman;serif" w:hAnsi="Times New Roman;serif"/>
                <w:b w:val="false"/>
                <w:sz w:val="8"/>
              </w:rPr>
              <w:t>(8)(10)</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Ordinary Shares</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A</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B</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C</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D</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E</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F</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G</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H</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8,636</w:t>
            </w:r>
            <w:r>
              <w:rPr>
                <w:rFonts w:ascii="Times New Roman" w:hAnsi="Times New Roman"/>
                <w:sz w:val="20"/>
              </w:rPr>
              <w:t> </w:t>
            </w:r>
            <w:r>
              <w:rPr>
                <w:rFonts w:ascii="Times New Roman;serif" w:hAnsi="Times New Roman;serif"/>
                <w:b w:val="false"/>
                <w:sz w:val="12"/>
              </w:rPr>
              <w:t>Class I</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Human Resource Support Services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bswift, LLC</w:t>
            </w:r>
            <w:r>
              <w:rPr>
                <w:rFonts w:ascii="Times New Roman" w:hAnsi="Times New Roman"/>
                <w:sz w:val="12"/>
              </w:rPr>
              <w:t> </w:t>
            </w:r>
            <w:r>
              <w:rPr>
                <w:rFonts w:ascii="Times New Roman;serif" w:hAnsi="Times New Roman;serif"/>
                <w:b w:val="false"/>
                <w:sz w:val="8"/>
              </w:rPr>
              <w:t>(8)(10)</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Class A-1 Units (7,606,491</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11/7/2022</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Internet Services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SMA Technologies Holdings, LLC</w:t>
            </w:r>
            <w:r>
              <w:rPr>
                <w:rFonts w:ascii="Times New Roman" w:hAnsi="Times New Roman"/>
                <w:sz w:val="12"/>
              </w:rPr>
              <w:t> </w:t>
            </w:r>
            <w:r>
              <w:rPr>
                <w:rFonts w:ascii="Times New Roman;serif" w:hAnsi="Times New Roman;serif"/>
                <w:b w:val="false"/>
                <w:sz w:val="8"/>
              </w:rPr>
              <w:t>(8)(10)</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Class A Units (200</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11/21/2022</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2"/>
              </w:rPr>
              <w:t>Class B Units (142,038</w:t>
            </w:r>
            <w:r>
              <w:rPr>
                <w:rFonts w:ascii="Times New Roman" w:hAnsi="Times New Roman"/>
                <w:sz w:val="20"/>
              </w:rPr>
              <w:t> </w:t>
            </w:r>
            <w:r>
              <w:rPr>
                <w:rFonts w:ascii="Times New Roman;serif" w:hAnsi="Times New Roman;serif"/>
                <w:b w:val="false"/>
                <w:sz w:val="12"/>
              </w:rPr>
              <w:t>units)</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11/21/2022</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Equity and Other</w:t>
              <w:br/>
              <w:t>   Investments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61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w:t>
            </w:r>
          </w:p>
        </w:tc>
        <w:tc>
          <w:tcPr>
            <w:tcW w:w="146" w:type="dxa"/>
            <w:tcBorders/>
            <w:vAlign w:val="center"/>
          </w:tcPr>
          <w:p>
            <w:pPr>
              <w:pStyle w:val="TableContents"/>
              <w:bidi w:val="0"/>
              <w:spacing w:before="0" w:after="0"/>
              <w:ind w:left="0" w:right="0" w:hanging="0"/>
              <w:jc w:val="right"/>
              <w:rPr/>
            </w:pPr>
            <w:r>
              <w:rPr/>
              <w:t> </w:t>
            </w:r>
          </w:p>
        </w:tc>
        <w:tc>
          <w:tcPr>
            <w:tcW w:w="18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2"/>
              </w:rPr>
            </w:pPr>
            <w:r>
              <w:rPr>
                <w:rFonts w:ascii="Times New Roman;serif" w:hAnsi="Times New Roman;serif"/>
                <w:b/>
                <w:sz w:val="12"/>
              </w:rPr>
              <w:t>1,248,920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6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2"/>
              </w:rPr>
            </w:pPr>
            <w:r>
              <w:rPr>
                <w:rFonts w:ascii="Times New Roman;serif" w:hAnsi="Times New Roman;serif"/>
                <w:b/>
                <w:sz w:val="12"/>
              </w:rPr>
              <w:t>1,262,452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2"/>
              </w:rPr>
            </w:pPr>
            <w:r>
              <w:rPr>
                <w:rFonts w:ascii="Times New Roman;serif" w:hAnsi="Times New Roman;serif"/>
                <w:b/>
                <w:sz w:val="12"/>
              </w:rPr>
              <w:t>155.4</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Unless otherwise indicated, the Company’s portfolio companies are domiciled in the United States. Under the Investment Company Act of 1940, as amended (the “1940 Act”), the Company would “control” a portfolio company if the Company owned</w:t>
        <w:br/>
        <w:t>more than 25% of its outstanding voting securities and/or had the power to exercise control over the management or policies of</w:t>
        <w:br/>
        <w:t xml:space="preserve">such portfolio company. As of March 31, 2023, the Company does not “control” any of the portfolio companies. Also under the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rFonts w:ascii="Times New Roman;serif" w:hAnsi="Times New Roman;serif"/>
          <w:b w:val="false"/>
          <w:sz w:val="20"/>
        </w:rPr>
        <w:t>1940 Act, the Company would be deemed to be an “Affiliated Person” of a portfolio company if the Company owns more than 5% of the portfolio company's outstanding voting securities. As of March 31, 2023, the Company does not identify any of its portfolio companies as affiliates.</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amortized cost represents the original cost adjusted for the amortization of discounts and premiums, as applicable, on debt investments using the effective interest method.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pPr>
      <w:r>
        <w:rPr>
          <w:rFonts w:ascii="Times New Roman;serif" w:hAnsi="Times New Roman;serif"/>
          <w:b w:val="false"/>
          <w:sz w:val="20"/>
        </w:rPr>
        <w:t>Investment contains a variable rate structure, subject to an interest rate floor. Variable rate investments bear interest at a rate that</w:t>
        <w:br/>
        <w:t>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March 31, 2023.</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4.2% of total assets as of March 31, 2023.</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spacing w:before="0" w:after="0"/>
        <w:jc w:val="left"/>
        <w:rPr/>
      </w:pPr>
      <w:r>
        <w:rPr>
          <w:rFonts w:ascii="Times New Roman;serif" w:hAnsi="Times New Roman;serif"/>
          <w:b w:val="false"/>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(6)</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5 for further information related to</w:t>
        <w:br/>
        <w:t>investments at fair value.</w:t>
      </w:r>
    </w:p>
    <w:p>
      <w:pPr>
        <w:pStyle w:val="TextBody"/>
        <w:bidi w:val="0"/>
        <w:spacing w:before="0" w:after="0"/>
        <w:jc w:val="left"/>
        <w:rPr>
          <w:rFonts w:ascii="Times New Roman" w:hAnsi="Times New Roman"/>
          <w:b w:val="false"/>
          <w:sz w:val="20"/>
        </w:rPr>
      </w:pPr>
      <w:r>
        <w:rPr>
          <w:rFonts w:ascii="Times New Roman" w:hAnsi="Times New Roman"/>
          <w:b w:val="false"/>
          <w:sz w:val="20"/>
        </w:rPr>
        <w:t>(7)</w:t>
      </w:r>
    </w:p>
    <w:p>
      <w:pPr>
        <w:pStyle w:val="TextBody"/>
        <w:bidi w:val="0"/>
        <w:spacing w:before="0" w:after="0"/>
        <w:jc w:val="left"/>
        <w:rPr/>
      </w:pPr>
      <w:r>
        <w:rPr>
          <w:rFonts w:ascii="Times New Roman;serif" w:hAnsi="Times New Roman;serif"/>
          <w:b w:val="false"/>
          <w:sz w:val="20"/>
        </w:rPr>
        <w:t>As of March 31, 2023, the estimated cost basis of investments for U.S. federal tax purposes was $1,253,875</w:t>
      </w:r>
      <w:r>
        <w:rPr/>
        <w:t xml:space="preserve"> </w:t>
      </w:r>
      <w:r>
        <w:rPr>
          <w:rFonts w:ascii="Times New Roman;serif" w:hAnsi="Times New Roman;serif"/>
          <w:b w:val="false"/>
          <w:sz w:val="20"/>
        </w:rPr>
        <w:t>resulting in estimated gross unrealized gains and losses of $17,007</w:t>
      </w:r>
      <w:r>
        <w:rPr/>
        <w:t xml:space="preserve"> </w:t>
      </w:r>
      <w:r>
        <w:rPr>
          <w:rFonts w:ascii="Times New Roman;serif" w:hAnsi="Times New Roman;serif"/>
          <w:b w:val="false"/>
          <w:sz w:val="20"/>
        </w:rPr>
        <w:t>and $10,578, respectfully.</w:t>
      </w:r>
    </w:p>
    <w:p>
      <w:pPr>
        <w:pStyle w:val="TextBody"/>
        <w:bidi w:val="0"/>
        <w:spacing w:before="0" w:after="0"/>
        <w:jc w:val="left"/>
        <w:rPr>
          <w:rFonts w:ascii="Times New Roman" w:hAnsi="Times New Roman"/>
          <w:b w:val="false"/>
          <w:sz w:val="20"/>
        </w:rPr>
      </w:pPr>
      <w:r>
        <w:rPr>
          <w:rFonts w:ascii="Times New Roman" w:hAnsi="Times New Roman"/>
          <w:b w:val="false"/>
          <w:sz w:val="20"/>
        </w:rPr>
        <w:t>(8)</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investment is non-income producing.</w:t>
      </w:r>
    </w:p>
    <w:p>
      <w:pPr>
        <w:pStyle w:val="TextBody"/>
        <w:bidi w:val="0"/>
        <w:spacing w:before="0" w:after="0"/>
        <w:jc w:val="left"/>
        <w:rPr>
          <w:rFonts w:ascii="Times New Roman" w:hAnsi="Times New Roman"/>
          <w:b w:val="false"/>
          <w:sz w:val="20"/>
        </w:rPr>
      </w:pPr>
      <w:r>
        <w:rPr>
          <w:rFonts w:ascii="Times New Roman" w:hAnsi="Times New Roman"/>
          <w:b w:val="false"/>
          <w:sz w:val="20"/>
        </w:rPr>
        <w:t>(9)</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Certain portfolio company investments are subject to contractual restrictions on sales.</w:t>
      </w:r>
    </w:p>
    <w:p>
      <w:pPr>
        <w:pStyle w:val="TextBody"/>
        <w:bidi w:val="0"/>
        <w:spacing w:before="0" w:after="0"/>
        <w:jc w:val="left"/>
        <w:rPr>
          <w:rFonts w:ascii="Times New Roman" w:hAnsi="Times New Roman"/>
          <w:b w:val="false"/>
          <w:sz w:val="20"/>
        </w:rPr>
      </w:pPr>
      <w:r>
        <w:rPr>
          <w:rFonts w:ascii="Times New Roman" w:hAnsi="Times New Roman"/>
          <w:b w:val="false"/>
          <w:sz w:val="20"/>
        </w:rPr>
        <w:t>(10)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All or a portion of this security was acquired in a transaction exempt from registration under the Securities Act of 1933, as amended (the “Securities Act”), and may be deemed to be “restricted securities” under the Securities Act. As of March 31, 2023, the aggregate fair value of these securities is $16,444, or 2.0% of the Company's net assets.</w:t>
      </w:r>
    </w:p>
    <w:p>
      <w:pPr>
        <w:pStyle w:val="TextBody"/>
        <w:bidi w:val="0"/>
        <w:spacing w:before="0" w:after="0"/>
        <w:jc w:val="left"/>
        <w:rPr>
          <w:rFonts w:ascii="Times New Roman" w:hAnsi="Times New Roman"/>
          <w:b w:val="false"/>
          <w:sz w:val="20"/>
        </w:rPr>
      </w:pPr>
      <w:r>
        <w:rPr>
          <w:rFonts w:ascii="Times New Roman" w:hAnsi="Times New Roman"/>
          <w:b w:val="false"/>
          <w:sz w:val="20"/>
        </w:rPr>
        <w:t>(11)</w:t>
      </w:r>
    </w:p>
    <w:p>
      <w:pPr>
        <w:pStyle w:val="TextBody"/>
        <w:bidi w:val="0"/>
        <w:jc w:val="left"/>
        <w:rPr/>
      </w:pPr>
      <w:r>
        <w:rPr>
          <w:rFonts w:ascii="Times New Roman;serif" w:hAnsi="Times New Roman;serif"/>
          <w:b w:val="false"/>
          <w:sz w:val="20"/>
        </w:rPr>
        <w:t>In addition to the principal amount outstanding and accrued interest owed on this investment, the Company is entitled to a separate Make-Whole Amount (the “Make-Whole”) of $14.6</w:t>
      </w:r>
      <w:r>
        <w:rPr/>
        <w:t xml:space="preserve"> </w:t>
      </w:r>
      <w:r>
        <w:rPr>
          <w:rFonts w:ascii="Times New Roman;serif" w:hAnsi="Times New Roman;serif"/>
          <w:b w:val="false"/>
          <w:sz w:val="20"/>
        </w:rPr>
        <w:t xml:space="preserve">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Consolidated Schedule of Investments as of December 31, 2022</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626"/>
        <w:gridCol w:w="146"/>
        <w:gridCol w:w="1881"/>
        <w:gridCol w:w="146"/>
        <w:gridCol w:w="796"/>
        <w:gridCol w:w="146"/>
        <w:gridCol w:w="146"/>
        <w:gridCol w:w="709"/>
        <w:gridCol w:w="146"/>
        <w:gridCol w:w="146"/>
        <w:gridCol w:w="178"/>
        <w:gridCol w:w="532"/>
        <w:gridCol w:w="211"/>
        <w:gridCol w:w="146"/>
        <w:gridCol w:w="181"/>
        <w:gridCol w:w="586"/>
        <w:gridCol w:w="146"/>
        <w:gridCol w:w="146"/>
        <w:gridCol w:w="191"/>
        <w:gridCol w:w="621"/>
        <w:gridCol w:w="146"/>
        <w:gridCol w:w="146"/>
        <w:gridCol w:w="199"/>
        <w:gridCol w:w="597"/>
        <w:gridCol w:w="291"/>
      </w:tblGrid>
      <w:tr>
        <w:trPr/>
        <w:tc>
          <w:tcPr>
            <w:tcW w:w="1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sz w:val="14"/>
              </w:rPr>
              <w:t xml:space="preserve">Company </w:t>
            </w:r>
            <w:r>
              <w:rPr>
                <w:rFonts w:ascii="Times New Roman;serif" w:hAnsi="Times New Roman;serif"/>
                <w:b/>
                <w:sz w:val="9"/>
              </w:rPr>
              <w:t>(1)(9)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Initial</w:t>
              <w:br/>
              <w:t>Acquisition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Reference</w:t>
              <w:br/>
              <w:t>Rate and</w:t>
              <w:br/>
              <w:t>Spread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Rate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w:t>
              <w:br/>
              <w:t xml:space="preserve">Cost </w:t>
            </w:r>
            <w:r>
              <w:rPr>
                <w:rFonts w:ascii="Times New Roman;serif" w:hAnsi="Times New Roman;serif"/>
                <w:b/>
                <w:sz w:val="9"/>
              </w:rPr>
              <w:t>(2) (7)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 xml:space="preserve">Fair Value </w:t>
            </w:r>
            <w:r>
              <w:rPr>
                <w:rFonts w:ascii="Times New Roman;serif" w:hAnsi="Times New Roman;serif"/>
                <w:b/>
                <w:sz w:val="9"/>
              </w:rPr>
              <w:t>(6)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Percentage</w:t>
              <w:br/>
              <w:t>of Net Assets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Debt Investments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Business services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Hornetsecurity Holding GmbH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3,362</w:t>
            </w:r>
            <w:r>
              <w:rPr>
                <w:rFonts w:ascii="Times New Roman" w:hAnsi="Times New Roman"/>
                <w:sz w:val="20"/>
              </w:rPr>
              <w:t> </w:t>
            </w:r>
            <w:r>
              <w:rPr>
                <w:rFonts w:ascii="Times New Roman;serif" w:hAnsi="Times New Roman;serif"/>
                <w:b w:val="false"/>
                <w:sz w:val="14"/>
              </w:rPr>
              <w:t>par, due 11/2029)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11/14/2022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$3,213</w:t>
              <w:br/>
              <w:t>(EUR 3,011)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0.6</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OutSystems Luxco SARL</w:t>
            </w:r>
            <w:r>
              <w:rPr>
                <w:rFonts w:ascii="Times New Roman;serif" w:hAnsi="Times New Roman;serif"/>
                <w:b w:val="false"/>
                <w:sz w:val="9"/>
              </w:rPr>
              <w:t>(3)(4)(5)</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3,206</w:t>
            </w:r>
            <w:r>
              <w:rPr>
                <w:rFonts w:ascii="Times New Roman" w:hAnsi="Times New Roman"/>
                <w:sz w:val="20"/>
              </w:rPr>
              <w:t> </w:t>
            </w:r>
            <w:r>
              <w:rPr>
                <w:rFonts w:ascii="Times New Roman;serif" w:hAnsi="Times New Roman;serif"/>
                <w:b w:val="false"/>
                <w:sz w:val="14"/>
              </w:rPr>
              <w:t>par, due 12/2028)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3,112</w:t>
              <w:br/>
              <w:t>(EUR 2,916)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0.6</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6,325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Chemicals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Erling Lux Bidco SARL </w:t>
            </w:r>
            <w:r>
              <w:rPr>
                <w:rFonts w:ascii="Times New Roman;serif" w:hAnsi="Times New Roman;serif"/>
                <w:b w:val="false"/>
                <w:sz w:val="9"/>
              </w:rPr>
              <w:t>(3)(4)</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(EUR 7,726</w:t>
            </w:r>
            <w:r>
              <w:rPr>
                <w:rFonts w:ascii="Times New Roman" w:hAnsi="Times New Roman"/>
                <w:sz w:val="20"/>
              </w:rPr>
              <w:t> </w:t>
            </w:r>
            <w:r>
              <w:rPr>
                <w:rFonts w:ascii="Times New Roman;serif" w:hAnsi="Times New Roman;serif"/>
                <w:b w:val="false"/>
                <w:sz w:val="14"/>
              </w:rPr>
              <w:t>par, due 9/2028)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E + 6.75%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7,326</w:t>
              <w:br/>
              <w:t>(EUR 6,864)</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(GBP 12,291</w:t>
            </w:r>
            <w:r>
              <w:rPr>
                <w:rFonts w:ascii="Times New Roman" w:hAnsi="Times New Roman"/>
                <w:sz w:val="20"/>
              </w:rPr>
              <w:t> </w:t>
            </w:r>
            <w:r>
              <w:rPr>
                <w:rFonts w:ascii="Times New Roman;serif" w:hAnsi="Times New Roman;serif"/>
                <w:b w:val="false"/>
                <w:sz w:val="14"/>
              </w:rPr>
              <w:t>par, due 9/2028)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 + 6.75%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11,922</w:t>
              <w:br/>
              <w:t>(GBP 9,911)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Financial Services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BTRS Holdings,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($135,540</w:t>
            </w:r>
            <w:r>
              <w:rPr>
                <w:rFonts w:ascii="Times New Roman" w:hAnsi="Times New Roman"/>
                <w:sz w:val="20"/>
              </w:rPr>
              <w:t> </w:t>
            </w:r>
            <w:r>
              <w:rPr>
                <w:rFonts w:ascii="Times New Roman;serif" w:hAnsi="Times New Roman;serif"/>
                <w:b w:val="false"/>
                <w:sz w:val="14"/>
              </w:rPr>
              <w:t>par, due 12/2028)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12/16/2022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131,066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23.8</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Ping Identity Holding Corp.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($136,364</w:t>
            </w:r>
            <w:r>
              <w:rPr>
                <w:rFonts w:ascii="Times New Roman" w:hAnsi="Times New Roman"/>
                <w:sz w:val="20"/>
              </w:rPr>
              <w:t> </w:t>
            </w:r>
            <w:r>
              <w:rPr>
                <w:rFonts w:ascii="Times New Roman;serif" w:hAnsi="Times New Roman;serif"/>
                <w:b w:val="false"/>
                <w:sz w:val="14"/>
              </w:rPr>
              <w:t>par, due 10/2029)</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10/17/2022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132,727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131,864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263,793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262,154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47.9</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Human Resource Support Services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bswift,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($142,394</w:t>
            </w:r>
            <w:r>
              <w:rPr>
                <w:rFonts w:ascii="Times New Roman" w:hAnsi="Times New Roman"/>
                <w:sz w:val="20"/>
              </w:rPr>
              <w:t> </w:t>
            </w:r>
            <w:r>
              <w:rPr>
                <w:rFonts w:ascii="Times New Roman;serif" w:hAnsi="Times New Roman;serif"/>
                <w:b w:val="false"/>
                <w:sz w:val="14"/>
              </w:rPr>
              <w:t>par, due 11/2028)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Internet Services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SMA Technologies Holdings, LLC </w:t>
            </w:r>
            <w:r>
              <w:rPr>
                <w:rFonts w:ascii="Times New Roman;serif" w:hAnsi="Times New Roman;serif"/>
                <w:b w:val="false"/>
                <w:sz w:val="9"/>
              </w:rPr>
              <w:t>(3)(5)</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($5,667</w:t>
            </w:r>
            <w:r>
              <w:rPr>
                <w:rFonts w:ascii="Times New Roman" w:hAnsi="Times New Roman"/>
                <w:sz w:val="20"/>
              </w:rPr>
              <w:t> </w:t>
            </w:r>
            <w:r>
              <w:rPr>
                <w:rFonts w:ascii="Times New Roman;serif" w:hAnsi="Times New Roman;serif"/>
                <w:b w:val="false"/>
                <w:sz w:val="14"/>
              </w:rPr>
              <w:t>par, due 10/2028)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10/31/2022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Manufacturing</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Avalara, Inc.</w:t>
            </w:r>
            <w:r>
              <w:rPr>
                <w:rFonts w:ascii="Times New Roman" w:hAnsi="Times New Roman"/>
                <w:sz w:val="14"/>
              </w:rPr>
              <w:t>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($136,364</w:t>
            </w:r>
            <w:r>
              <w:rPr>
                <w:rFonts w:ascii="Times New Roman" w:hAnsi="Times New Roman"/>
                <w:sz w:val="20"/>
              </w:rPr>
              <w:t> </w:t>
            </w:r>
            <w:r>
              <w:rPr>
                <w:rFonts w:ascii="Times New Roman;serif" w:hAnsi="Times New Roman;serif"/>
                <w:b w:val="false"/>
                <w:sz w:val="14"/>
              </w:rPr>
              <w:t>par, due 10/2028)</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10/19/2022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132,740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131,489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24.1</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Retail and Consumer Products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Bed Bath and Beyond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ABL FILO term loan ($100,000</w:t>
            </w:r>
            <w:r>
              <w:rPr>
                <w:rFonts w:ascii="Times New Roman" w:hAnsi="Times New Roman"/>
                <w:sz w:val="20"/>
              </w:rPr>
              <w:t> </w:t>
            </w:r>
            <w:r>
              <w:rPr>
                <w:rFonts w:ascii="Times New Roman;serif" w:hAnsi="Times New Roman;serif"/>
                <w:b w:val="false"/>
                <w:sz w:val="14"/>
              </w:rPr>
              <w:t>par, due 8/2027)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Commercehub, Inc.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First-lien loan ($150,000</w:t>
            </w:r>
            <w:r>
              <w:rPr>
                <w:rFonts w:ascii="Times New Roman" w:hAnsi="Times New Roman"/>
                <w:sz w:val="20"/>
              </w:rPr>
              <w:t> </w:t>
            </w:r>
            <w:r>
              <w:rPr>
                <w:rFonts w:ascii="Times New Roman;serif" w:hAnsi="Times New Roman;serif"/>
                <w:b w:val="false"/>
                <w:sz w:val="14"/>
              </w:rPr>
              <w:t>par, due 12/2027)</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11/15/2022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SOFR + 6.50%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139,697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139,875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25.6</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236,896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237,875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Debt Investments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801,223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800,995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146.4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Human Resource Support Services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bswift, LLC </w:t>
            </w:r>
            <w:r>
              <w:rPr>
                <w:rFonts w:ascii="Times New Roman;serif" w:hAnsi="Times New Roman;serif"/>
                <w:b w:val="false"/>
                <w:sz w:val="9"/>
              </w:rPr>
              <w:t>(8)(10)</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A-1 Units (7,606,491</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11/7/2022</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Internet Services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SMA Technologies Holdings, LLC </w:t>
            </w:r>
            <w:r>
              <w:rPr>
                <w:rFonts w:ascii="Times New Roman;serif" w:hAnsi="Times New Roman;serif"/>
                <w:b w:val="false"/>
                <w:sz w:val="9"/>
              </w:rPr>
              <w:t>(8)(10)</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A Units (200</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11/21/2022</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Class B Units (142,038</w:t>
            </w:r>
            <w:r>
              <w:rPr>
                <w:rFonts w:ascii="Times New Roman" w:hAnsi="Times New Roman"/>
                <w:sz w:val="20"/>
              </w:rPr>
              <w:t> </w:t>
            </w:r>
            <w:r>
              <w:rPr>
                <w:rFonts w:ascii="Times New Roman;serif" w:hAnsi="Times New Roman;serif"/>
                <w:b w:val="false"/>
                <w:sz w:val="14"/>
              </w:rPr>
              <w:t>units)</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11/21/2022</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Equity and Other</w:t>
              <w:br/>
              <w:t>   Investments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62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Investments</w:t>
            </w:r>
          </w:p>
        </w:tc>
        <w:tc>
          <w:tcPr>
            <w:tcW w:w="146" w:type="dxa"/>
            <w:tcBorders/>
            <w:vAlign w:val="center"/>
          </w:tcPr>
          <w:p>
            <w:pPr>
              <w:pStyle w:val="TableContents"/>
              <w:bidi w:val="0"/>
              <w:spacing w:before="0" w:after="0"/>
              <w:ind w:left="0" w:right="0" w:hanging="0"/>
              <w:jc w:val="right"/>
              <w:rPr/>
            </w:pPr>
            <w:r>
              <w:rPr/>
              <w:t> </w:t>
            </w:r>
          </w:p>
        </w:tc>
        <w:tc>
          <w:tcPr>
            <w:tcW w:w="18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1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809,029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808,801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4"/>
              </w:rPr>
            </w:pPr>
            <w:r>
              <w:rPr>
                <w:rFonts w:ascii="Times New Roman;serif" w:hAnsi="Times New Roman;serif"/>
                <w:b/>
                <w:sz w:val="14"/>
              </w:rPr>
              <w:t>147.8</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pPr>
      <w:r>
        <w:rPr>
          <w:rFonts w:ascii="Times New Roman;serif" w:hAnsi="Times New Roman;serif"/>
          <w:b w:val="false"/>
          <w:sz w:val="20"/>
        </w:rPr>
        <w:t>Unless otherwise indicated, the Company’s portfolio companies are domiciled in the United States. Under the Investment Company Act of 1940, as amended (the “1940 Act”), the Company would “control” a portfolio company if the Company owned</w:t>
        <w:br/>
        <w:t>more than 25% of its outstanding voting securities and/or had the power to exercise control over the management or policies of</w:t>
        <w:br/>
        <w:t>such portfolio company. As of December 31, 2022, the Company does not “control” any of the portfolio companies. Also under the 1940 Act, the Company would be deemed to be an “Affiliated Person” of a portfolio company if the Company owns more than 5% of the portfolio company's outstanding voting securities. As of December 31, 2022, the Company does not identify any of its portfolio companies as affiliates.</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pPr>
      <w:r>
        <w:rPr>
          <w:rFonts w:ascii="Times New Roman;serif" w:hAnsi="Times New Roman;serif"/>
          <w:b w:val="false"/>
          <w:sz w:val="20"/>
        </w:rPr>
        <w:t>The amortized cost represents the original cost adjusted for the amortization of discounts and premiums, as applicable, on debt investments using the effective interest method.</w:t>
      </w:r>
      <w:r>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Investment contains a variable rate structure, subject to an interest rate floor. Variable rate investments bear interest at a rate that</w:t>
        <w:br/>
        <w:t xml:space="preserve">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2.3% of total assets as of December 31, 2022.</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p>
      <w:pPr>
        <w:pStyle w:val="TextBody"/>
        <w:bidi w:val="0"/>
        <w:spacing w:before="0" w:after="0"/>
        <w:jc w:val="left"/>
        <w:rPr>
          <w:rFonts w:ascii="Times New Roman" w:hAnsi="Times New Roman"/>
          <w:b w:val="false"/>
          <w:sz w:val="20"/>
        </w:rPr>
      </w:pPr>
      <w:r>
        <w:rPr>
          <w:rFonts w:ascii="Times New Roman" w:hAnsi="Times New Roman"/>
          <w:b w:val="false"/>
          <w:sz w:val="20"/>
        </w:rPr>
        <w:t>(6)</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5 for further information related to</w:t>
        <w:br/>
        <w:t>investments at fair value.</w:t>
      </w:r>
    </w:p>
    <w:p>
      <w:pPr>
        <w:pStyle w:val="TextBody"/>
        <w:bidi w:val="0"/>
        <w:spacing w:before="0" w:after="0"/>
        <w:jc w:val="left"/>
        <w:rPr>
          <w:rFonts w:ascii="Times New Roman" w:hAnsi="Times New Roman"/>
          <w:b w:val="false"/>
          <w:sz w:val="20"/>
        </w:rPr>
      </w:pPr>
      <w:r>
        <w:rPr>
          <w:rFonts w:ascii="Times New Roman" w:hAnsi="Times New Roman"/>
          <w:b w:val="false"/>
          <w:sz w:val="20"/>
        </w:rPr>
        <w:t>(7)</w:t>
      </w:r>
    </w:p>
    <w:p>
      <w:pPr>
        <w:pStyle w:val="TextBody"/>
        <w:bidi w:val="0"/>
        <w:spacing w:before="0" w:after="0"/>
        <w:jc w:val="left"/>
        <w:rPr/>
      </w:pPr>
      <w:r>
        <w:rPr>
          <w:rFonts w:ascii="Times New Roman;serif" w:hAnsi="Times New Roman;serif"/>
          <w:b w:val="false"/>
          <w:sz w:val="20"/>
        </w:rPr>
        <w:t>As of December 31, 2022, the estimated cost basis of investments for U.S. federal tax purposes was $810,241</w:t>
      </w:r>
      <w:r>
        <w:rPr/>
        <w:t xml:space="preserve"> </w:t>
      </w:r>
      <w:r>
        <w:rPr>
          <w:rFonts w:ascii="Times New Roman;serif" w:hAnsi="Times New Roman;serif"/>
          <w:b w:val="false"/>
          <w:sz w:val="20"/>
        </w:rPr>
        <w:t>resulting in estimated gross unrealized gains and losses of $2,806</w:t>
      </w:r>
      <w:r>
        <w:rPr/>
        <w:t xml:space="preserve"> </w:t>
      </w:r>
      <w:r>
        <w:rPr>
          <w:rFonts w:ascii="Times New Roman;serif" w:hAnsi="Times New Roman;serif"/>
          <w:b w:val="false"/>
          <w:sz w:val="20"/>
        </w:rPr>
        <w:t>and $5,681, respectfully.</w:t>
      </w:r>
    </w:p>
    <w:p>
      <w:pPr>
        <w:pStyle w:val="TextBody"/>
        <w:bidi w:val="0"/>
        <w:spacing w:before="0" w:after="0"/>
        <w:jc w:val="left"/>
        <w:rPr>
          <w:rFonts w:ascii="Times New Roman" w:hAnsi="Times New Roman"/>
          <w:b w:val="false"/>
          <w:sz w:val="20"/>
        </w:rPr>
      </w:pPr>
      <w:r>
        <w:rPr>
          <w:rFonts w:ascii="Times New Roman" w:hAnsi="Times New Roman"/>
          <w:b w:val="false"/>
          <w:sz w:val="20"/>
        </w:rPr>
        <w:t>(8)</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investment is non-income producing.</w:t>
      </w:r>
    </w:p>
    <w:p>
      <w:pPr>
        <w:pStyle w:val="TextBody"/>
        <w:bidi w:val="0"/>
        <w:spacing w:before="0" w:after="0"/>
        <w:jc w:val="left"/>
        <w:rPr>
          <w:rFonts w:ascii="Times New Roman" w:hAnsi="Times New Roman"/>
          <w:b w:val="false"/>
          <w:sz w:val="20"/>
        </w:rPr>
      </w:pPr>
      <w:r>
        <w:rPr>
          <w:rFonts w:ascii="Times New Roman" w:hAnsi="Times New Roman"/>
          <w:b w:val="false"/>
          <w:sz w:val="20"/>
        </w:rPr>
        <w:t>(9)</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Certain portfolio company investments are subject to contractual restrictions on sales.</w:t>
      </w:r>
    </w:p>
    <w:p>
      <w:pPr>
        <w:pStyle w:val="TextBody"/>
        <w:bidi w:val="0"/>
        <w:spacing w:before="0" w:after="0"/>
        <w:jc w:val="left"/>
        <w:rPr>
          <w:rFonts w:ascii="Times New Roman" w:hAnsi="Times New Roman"/>
          <w:b w:val="false"/>
          <w:sz w:val="20"/>
        </w:rPr>
      </w:pPr>
      <w:r>
        <w:rPr>
          <w:rFonts w:ascii="Times New Roman" w:hAnsi="Times New Roman"/>
          <w:b w:val="false"/>
          <w:sz w:val="20"/>
        </w:rPr>
        <w:t>(10)</w:t>
      </w:r>
    </w:p>
    <w:p>
      <w:pPr>
        <w:pStyle w:val="TextBody"/>
        <w:bidi w:val="0"/>
        <w:jc w:val="left"/>
        <w:rPr/>
      </w:pPr>
      <w:r>
        <w:rPr>
          <w:rFonts w:ascii="Times New Roman;serif" w:hAnsi="Times New Roman;serif"/>
          <w:b w:val="false"/>
          <w:sz w:val="20"/>
        </w:rPr>
        <w:t>All or a portion of this security was acquired in a transaction exempt from registration under the Securities Act of 1933, as amended (the “Securities Act”), and may be deemed to be “restricted securities” under the Securities Act. As of December 31, 2022, the aggregate fair value of these securities is $7,806, or 1.4% of the Company's net assets.</w:t>
      </w:r>
      <w:r>
        <w:rPr/>
        <w:t xml:space="preserve"> </w:t>
      </w:r>
    </w:p>
    <w:p>
      <w:pPr>
        <w:pStyle w:val="TextBody"/>
        <w:bidi w:val="0"/>
        <w:spacing w:before="120" w:after="0"/>
        <w:jc w:val="center"/>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Lending Partners</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7" w:name="consolidated_statements_changes_in_net_a"/>
      <w:bookmarkEnd w:id="7"/>
      <w:r>
        <w:rPr>
          <w:rFonts w:ascii="Times New Roman;serif" w:hAnsi="Times New Roman;serif"/>
          <w:b/>
          <w:sz w:val="20"/>
        </w:rPr>
        <w:t>Consolidated Statements of Changes in Net Assets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651"/>
        <w:gridCol w:w="146"/>
        <w:gridCol w:w="146"/>
        <w:gridCol w:w="916"/>
        <w:gridCol w:w="146"/>
        <w:gridCol w:w="146"/>
        <w:gridCol w:w="206"/>
        <w:gridCol w:w="365"/>
        <w:gridCol w:w="146"/>
        <w:gridCol w:w="146"/>
        <w:gridCol w:w="232"/>
        <w:gridCol w:w="818"/>
        <w:gridCol w:w="146"/>
        <w:gridCol w:w="146"/>
        <w:gridCol w:w="287"/>
        <w:gridCol w:w="970"/>
        <w:gridCol w:w="166"/>
        <w:gridCol w:w="146"/>
        <w:gridCol w:w="196"/>
        <w:gridCol w:w="691"/>
        <w:gridCol w:w="393"/>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25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center"/>
              <w:rPr/>
            </w:pPr>
            <w:r>
              <w:rPr/>
              <w:t> </w:t>
            </w:r>
          </w:p>
        </w:tc>
      </w:tr>
      <w:tr>
        <w:trPr/>
        <w:tc>
          <w:tcPr>
            <w:tcW w:w="3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Par</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 in Capital in</w:t>
              <w:br/>
              <w:t>Excess of 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2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Distributable Earnings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 Net</w:t>
              <w:br/>
              <w:t>Assets</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5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21,882,028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542,596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546,711</w:t>
            </w:r>
          </w:p>
        </w:tc>
        <w:tc>
          <w:tcPr>
            <w:tcW w:w="393" w:type="dxa"/>
            <w:tcBorders/>
            <w:vAlign w:val="center"/>
          </w:tcPr>
          <w:p>
            <w:pPr>
              <w:pStyle w:val="TableContents"/>
              <w:bidi w:val="0"/>
              <w:spacing w:before="0" w:after="0"/>
              <w:ind w:left="0" w:right="0" w:firstLine="100"/>
              <w:jc w:val="left"/>
              <w:rPr/>
            </w:pPr>
            <w:r>
              <w:rPr/>
              <w:t> </w:t>
            </w:r>
          </w:p>
        </w:tc>
      </w:tr>
      <w:tr>
        <w:trPr/>
        <w:tc>
          <w:tcPr>
            <w:tcW w:w="365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365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15,115</w:t>
            </w:r>
          </w:p>
        </w:tc>
        <w:tc>
          <w:tcPr>
            <w:tcW w:w="393" w:type="dxa"/>
            <w:tcBorders/>
            <w:vAlign w:val="center"/>
          </w:tcPr>
          <w:p>
            <w:pPr>
              <w:pStyle w:val="TableContents"/>
              <w:bidi w:val="0"/>
              <w:spacing w:before="0" w:after="0"/>
              <w:ind w:left="0" w:right="0" w:firstLine="200"/>
              <w:jc w:val="left"/>
              <w:rPr/>
            </w:pPr>
            <w:r>
              <w:rPr/>
              <w:t> </w:t>
            </w:r>
          </w:p>
        </w:tc>
      </w:tr>
      <w:tr>
        <w:trPr/>
        <w:tc>
          <w:tcPr>
            <w:tcW w:w="365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gains (losses) on investments and</w:t>
              <w:br/>
              <w:t>   foreign currency translation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13,047</w:t>
            </w:r>
          </w:p>
        </w:tc>
        <w:tc>
          <w:tcPr>
            <w:tcW w:w="393" w:type="dxa"/>
            <w:tcBorders/>
            <w:vAlign w:val="center"/>
          </w:tcPr>
          <w:p>
            <w:pPr>
              <w:pStyle w:val="TableContents"/>
              <w:bidi w:val="0"/>
              <w:spacing w:before="0" w:after="0"/>
              <w:ind w:left="0" w:right="0" w:firstLine="200"/>
              <w:jc w:val="left"/>
              <w:rPr/>
            </w:pPr>
            <w:r>
              <w:rPr/>
              <w:t> </w:t>
            </w:r>
          </w:p>
        </w:tc>
      </w:tr>
      <w:tr>
        <w:trPr/>
        <w:tc>
          <w:tcPr>
            <w:tcW w:w="365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Net realized gains (losses) on investments and foreign </w:t>
              <w:br/>
              <w:t>   currency transactions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393" w:type="dxa"/>
            <w:tcBorders/>
            <w:vAlign w:val="center"/>
          </w:tcPr>
          <w:p>
            <w:pPr>
              <w:pStyle w:val="TableContents"/>
              <w:bidi w:val="0"/>
              <w:spacing w:before="0" w:after="0"/>
              <w:ind w:left="0" w:right="0" w:firstLine="100"/>
              <w:jc w:val="left"/>
              <w:rPr/>
            </w:pPr>
            <w:r>
              <w:rPr/>
              <w:t> </w:t>
            </w:r>
          </w:p>
        </w:tc>
      </w:tr>
      <w:tr>
        <w:trPr/>
        <w:tc>
          <w:tcPr>
            <w:tcW w:w="365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Increase (decrease) in Net Assets Resulting from Capital share Transactions: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365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9,643,813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250,000</w:t>
            </w:r>
          </w:p>
        </w:tc>
        <w:tc>
          <w:tcPr>
            <w:tcW w:w="393" w:type="dxa"/>
            <w:tcBorders/>
            <w:vAlign w:val="center"/>
          </w:tcPr>
          <w:p>
            <w:pPr>
              <w:pStyle w:val="TableContents"/>
              <w:bidi w:val="0"/>
              <w:spacing w:before="0" w:after="0"/>
              <w:ind w:left="0" w:right="0" w:firstLine="100"/>
              <w:jc w:val="left"/>
              <w:rPr/>
            </w:pPr>
            <w:r>
              <w:rPr/>
              <w:t> </w:t>
            </w:r>
          </w:p>
        </w:tc>
      </w:tr>
      <w:tr>
        <w:trPr/>
        <w:tc>
          <w:tcPr>
            <w:tcW w:w="365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Dividends to shareholders: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365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Dividends declared from 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(12,610</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65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31,525,841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792,586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9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19,701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812,319</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40" w:after="0"/>
        <w:jc w:val="left"/>
        <w:rPr/>
      </w:pPr>
      <w:r>
        <w:rPr/>
        <w:t> </w:t>
      </w:r>
    </w:p>
    <w:p>
      <w:pPr>
        <w:pStyle w:val="TextBody"/>
        <w:bidi w:val="0"/>
        <w:spacing w:before="4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Lending Partners</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8" w:name="consolidated_statements_cash_flows"/>
      <w:bookmarkEnd w:id="8"/>
      <w:r>
        <w:rPr>
          <w:rFonts w:ascii="Times New Roman;serif" w:hAnsi="Times New Roman;serif"/>
          <w:b/>
          <w:sz w:val="20"/>
        </w:rPr>
        <w:t>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9218" w:type="dxa"/>
        <w:jc w:val="left"/>
        <w:tblInd w:w="0" w:type="dxa"/>
        <w:tblLayout w:type="fixed"/>
        <w:tblCellMar>
          <w:top w:w="28" w:type="dxa"/>
          <w:left w:w="28" w:type="dxa"/>
          <w:bottom w:w="28" w:type="dxa"/>
          <w:right w:w="28" w:type="dxa"/>
        </w:tblCellMar>
      </w:tblPr>
      <w:tblGrid>
        <w:gridCol w:w="6856"/>
        <w:gridCol w:w="146"/>
        <w:gridCol w:w="322"/>
        <w:gridCol w:w="1283"/>
        <w:gridCol w:w="611"/>
      </w:tblGrid>
      <w:tr>
        <w:trPr/>
        <w:tc>
          <w:tcPr>
            <w:tcW w:w="6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611" w:type="dxa"/>
            <w:tcBorders/>
            <w:vAlign w:val="center"/>
          </w:tcPr>
          <w:p>
            <w:pPr>
              <w:pStyle w:val="TableContents"/>
              <w:bidi w:val="0"/>
              <w:spacing w:before="0" w:after="0"/>
              <w:ind w:left="0" w:right="0" w:hanging="0"/>
              <w:jc w:val="center"/>
              <w:rPr/>
            </w:pPr>
            <w:r>
              <w:rPr/>
              <w:t> </w:t>
            </w:r>
          </w:p>
        </w:tc>
      </w:tr>
      <w:tr>
        <w:trPr/>
        <w:tc>
          <w:tcPr>
            <w:tcW w:w="6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(Decrease) in net assets resulting from operations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28,218</w:t>
            </w:r>
          </w:p>
        </w:tc>
        <w:tc>
          <w:tcPr>
            <w:tcW w:w="611" w:type="dxa"/>
            <w:tcBorders/>
            <w:vAlign w:val="center"/>
          </w:tcPr>
          <w:p>
            <w:pPr>
              <w:pStyle w:val="TableContents"/>
              <w:bidi w:val="0"/>
              <w:spacing w:before="0" w:after="0"/>
              <w:ind w:left="0" w:right="0" w:hanging="0"/>
              <w:jc w:val="left"/>
              <w:rPr/>
            </w:pPr>
            <w:r>
              <w:rPr/>
              <w:t> </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Adjustments to reconcile increase (decrease) in net assets resulting from operations </w:t>
              <w:br/>
              <w:t>   to net cash provided by (used in) operating activities: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change in unrealized (gains) losses on investments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change in unrealized (gains) losses on foreign currency transactions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w:t>
            </w:r>
          </w:p>
        </w:tc>
        <w:tc>
          <w:tcPr>
            <w:tcW w:w="611" w:type="dxa"/>
            <w:tcBorders/>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transactions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amortization of discount on investments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w:t>
            </w:r>
          </w:p>
        </w:tc>
        <w:tc>
          <w:tcPr>
            <w:tcW w:w="611" w:type="dxa"/>
            <w:tcBorders/>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Purchases and originations of investments, net</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(444,762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Repayments on investments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6,286</w:t>
            </w:r>
          </w:p>
        </w:tc>
        <w:tc>
          <w:tcPr>
            <w:tcW w:w="611" w:type="dxa"/>
            <w:tcBorders/>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611" w:type="dxa"/>
            <w:tcBorders/>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Management fees payable to affiliate</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611" w:type="dxa"/>
            <w:tcBorders/>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Incentive fees on net capital gains accrued to affiliate</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2,755</w:t>
            </w:r>
          </w:p>
        </w:tc>
        <w:tc>
          <w:tcPr>
            <w:tcW w:w="611" w:type="dxa"/>
            <w:tcBorders/>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payables to affiliate</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(2,507</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righ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Net Cash Provided by (Used in) Operating Activities</w:t>
            </w:r>
          </w:p>
        </w:tc>
        <w:tc>
          <w:tcPr>
            <w:tcW w:w="146" w:type="dxa"/>
            <w:tcBorders/>
            <w:vAlign w:val="center"/>
          </w:tcPr>
          <w:p>
            <w:pPr>
              <w:pStyle w:val="TableContents"/>
              <w:bidi w:val="0"/>
              <w:spacing w:before="0" w:after="0"/>
              <w:ind w:left="0" w:right="0" w:hanging="0"/>
              <w:jc w:val="righ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(417,208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 on debt</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800,607</w:t>
            </w:r>
          </w:p>
        </w:tc>
        <w:tc>
          <w:tcPr>
            <w:tcW w:w="611" w:type="dxa"/>
            <w:tcBorders/>
            <w:vAlign w:val="center"/>
          </w:tcPr>
          <w:p>
            <w:pPr>
              <w:pStyle w:val="TableContents"/>
              <w:bidi w:val="0"/>
              <w:spacing w:before="0" w:after="0"/>
              <w:ind w:left="0" w:right="0" w:hanging="0"/>
              <w:jc w:val="left"/>
              <w:rPr/>
            </w:pPr>
            <w:r>
              <w:rPr/>
              <w:t> </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on debt</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(548,000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financing costs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 calls</w:t>
            </w:r>
          </w:p>
        </w:tc>
        <w:tc>
          <w:tcPr>
            <w:tcW w:w="146" w:type="dxa"/>
            <w:tcBorders/>
            <w:vAlign w:val="center"/>
          </w:tcPr>
          <w:p>
            <w:pPr>
              <w:pStyle w:val="TableContents"/>
              <w:bidi w:val="0"/>
              <w:spacing w:before="0" w:after="0"/>
              <w:ind w:left="0" w:right="0" w:hanging="0"/>
              <w:jc w:val="righ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Net Cash Provided by (Used in) Financing Activities</w:t>
            </w:r>
          </w:p>
        </w:tc>
        <w:tc>
          <w:tcPr>
            <w:tcW w:w="146" w:type="dxa"/>
            <w:tcBorders/>
            <w:vAlign w:val="center"/>
          </w:tcPr>
          <w:p>
            <w:pPr>
              <w:pStyle w:val="TableContents"/>
              <w:bidi w:val="0"/>
              <w:spacing w:before="0" w:after="0"/>
              <w:ind w:left="0" w:right="0" w:hanging="0"/>
              <w:jc w:val="righ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494,276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Net Increase (Decrease) in Cash and Cash Equivalents</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77,068</w:t>
            </w:r>
          </w:p>
        </w:tc>
        <w:tc>
          <w:tcPr>
            <w:tcW w:w="611" w:type="dxa"/>
            <w:tcBorders/>
            <w:vAlign w:val="center"/>
          </w:tcPr>
          <w:p>
            <w:pPr>
              <w:pStyle w:val="TableContents"/>
              <w:bidi w:val="0"/>
              <w:spacing w:before="0" w:after="0"/>
              <w:ind w:left="0" w:right="0" w:hanging="0"/>
              <w:jc w:val="left"/>
              <w:rPr/>
            </w:pPr>
            <w:r>
              <w:rPr/>
              <w:t> </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vAlign w:val="center"/>
          </w:tcPr>
          <w:p>
            <w:pPr>
              <w:pStyle w:val="TableContents"/>
              <w:bidi w:val="0"/>
              <w:spacing w:before="0" w:after="0"/>
              <w:ind w:left="0" w:right="0" w:hanging="0"/>
              <w:jc w:val="righ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274,612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Cash and Cash Equivalents, End of Period</w:t>
            </w:r>
          </w:p>
        </w:tc>
        <w:tc>
          <w:tcPr>
            <w:tcW w:w="146" w:type="dxa"/>
            <w:tcBorders/>
            <w:vAlign w:val="center"/>
          </w:tcPr>
          <w:p>
            <w:pPr>
              <w:pStyle w:val="TableContents"/>
              <w:bidi w:val="0"/>
              <w:spacing w:before="0" w:after="0"/>
              <w:ind w:left="0" w:right="0" w:hanging="0"/>
              <w:jc w:val="right"/>
              <w:rPr/>
            </w:pPr>
            <w:r>
              <w:rPr/>
              <w:t> </w:t>
            </w:r>
          </w:p>
        </w:tc>
        <w:tc>
          <w:tcPr>
            <w:tcW w:w="3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351,680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Information:</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paid during the period</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2,633</w:t>
            </w:r>
          </w:p>
        </w:tc>
        <w:tc>
          <w:tcPr>
            <w:tcW w:w="611" w:type="dxa"/>
            <w:tcBorders/>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Excise and other taxes paid during the period</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611" w:type="dxa"/>
            <w:tcBorders/>
            <w:vAlign w:val="center"/>
          </w:tcPr>
          <w:p>
            <w:pPr>
              <w:pStyle w:val="TableContents"/>
              <w:bidi w:val="0"/>
              <w:spacing w:before="0" w:after="0"/>
              <w:ind w:left="0" w:right="0" w:firstLine="400"/>
              <w:jc w:val="left"/>
              <w:rPr/>
            </w:pPr>
            <w:r>
              <w:rPr/>
              <w:t> </w:t>
            </w:r>
          </w:p>
        </w:tc>
      </w:tr>
      <w:tr>
        <w:trPr/>
        <w:tc>
          <w:tcPr>
            <w:tcW w:w="68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Dividends declared during the period</w:t>
            </w:r>
          </w:p>
        </w:tc>
        <w:tc>
          <w:tcPr>
            <w:tcW w:w="146" w:type="dxa"/>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12,610</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Sixth Street Lending Partners</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notes_to_consolidated_financial_statemen"/>
      <w:bookmarkEnd w:id="9"/>
      <w:r>
        <w:rPr>
          <w:rFonts w:ascii="Times New Roman;serif" w:hAnsi="Times New Roman;serif"/>
          <w:b/>
          <w:sz w:val="20"/>
        </w:rPr>
        <w:t>Notes to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unless otherwise indicated)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 Organization and 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Organization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intends to elect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On December 8, 2022, the Company formed a wholly-owned subsidiary, Sixth Street LP Holding II, LLC, a Delaware limited liability company.</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shares up to the amount of their respective Capital Commitments on an as-needed basis each time the Company delivers a notice to the 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completed its initial closing of Capital Commitments and commenced its loan origination and investment activities on August 31, 2022 ("Commencement of Operations"), the date of receipt of the initial drawdown from investors in the Private Offering.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Basis of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Company is an investment company and, therefore, applies the specialized accounting and reporting guidance in Accounting Standards Codification (“ASC”) Topic 946, </w:t>
      </w:r>
      <w:r>
        <w:rPr>
          <w:rFonts w:ascii="Times New Roman;serif" w:hAnsi="Times New Roman;serif"/>
          <w:b w:val="false"/>
          <w:i/>
          <w:sz w:val="20"/>
        </w:rPr>
        <w:t>Financial Services – Investment Companies.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Fiscal Year 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fiscal year ends on December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2.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Cash and Cash Equivalents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Investments at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Board undertakes a multi-step valuation process, which includes, among other procedures,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Audit Committee reviews the valuations presented and recommends values for each investment to the Board.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conducts this valuation process on a quarterly basis.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Board has engaged independent third-party valuation firms to perform certain limited procedures that the Board has identified and requested them to perform in connection with the valuation process. At March 31,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Company applies Financial Accounting Standards Board Accounting Standards Codification Topic 820, </w:t>
      </w:r>
      <w:r>
        <w:rPr>
          <w:rFonts w:ascii="Times New Roman;serif" w:hAnsi="Times New Roman;serif"/>
          <w:b w:val="false"/>
          <w:i/>
          <w:sz w:val="20"/>
        </w:rPr>
        <w:t xml:space="preserve">Fair Value Measurement </w:t>
      </w:r>
      <w:r>
        <w:rPr>
          <w:rFonts w:ascii="Times New Roman;serif" w:hAnsi="Times New Roman;serif"/>
          <w:b w:val="false"/>
          <w:sz w:val="20"/>
        </w:rPr>
        <w:t>(“ASC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hierarchy that prioritizes and ranks the level of observability of inputs used in determination of fair value. In accordance with ASC Topic 820, these levels are summarized below:</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1—Valuations based on quoted prices in active markets for identical assets or liabilities that the Company has the ability to access.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2—Valuations based on quoted prices in markets that are not active or for which all significant inputs are observable, either directly or indirectly.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Level 3—Valuations based on inputs that are unobservable and significant to the overall fair value measurement. </w:t>
      </w:r>
    </w:p>
    <w:p>
      <w:pPr>
        <w:pStyle w:val="TextBody"/>
        <w:bidi w:val="0"/>
        <w:spacing w:before="240" w:after="0"/>
        <w:jc w:val="left"/>
        <w:rPr>
          <w:rFonts w:ascii="Times New Roman" w:hAnsi="Times New Roman"/>
          <w:sz w:val="20"/>
        </w:rPr>
      </w:pPr>
      <w:r>
        <w:rPr>
          <w:rFonts w:ascii="Times New Roman;serif" w:hAnsi="Times New Roman;serif"/>
          <w:b w:val="false"/>
          <w:sz w:val="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Foreign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Foreign currency amounts are translated into U.S. dollars on the following basis: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purchases and sales of investments, borrowings and repayments of such borrowings, income and expenses: at the rates of exchange prevailing on the respective dates of such transactions.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Organization and Offering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w:t>
      </w:r>
      <w:r>
        <w:rPr>
          <w:rFonts w:ascii="Times New Roman" w:hAnsi="Times New Roman"/>
          <w:sz w:val="20"/>
        </w:rPr>
        <w:t xml:space="preserve"> </w:t>
      </w:r>
      <w:r>
        <w:rPr>
          <w:rFonts w:ascii="Times New Roman;serif" w:hAnsi="Times New Roman;serif"/>
          <w:b w:val="false"/>
          <w:sz w:val="20"/>
        </w:rPr>
        <w:t>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pStyle w:val="TextBody"/>
        <w:bidi w:val="0"/>
        <w:spacing w:before="360" w:after="0"/>
        <w:jc w:val="left"/>
        <w:rPr>
          <w:rFonts w:ascii="Times New Roman" w:hAnsi="Times New Roman"/>
          <w:sz w:val="20"/>
        </w:rPr>
      </w:pPr>
      <w:r>
        <w:rPr>
          <w:rFonts w:ascii="Times New Roman;serif" w:hAnsi="Times New Roman;serif"/>
          <w:b w:val="false"/>
          <w:i/>
          <w:sz w:val="20"/>
        </w:rPr>
        <w:t>Debt Issuance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Interest and Dividend Income Recognition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Unless providing services in connection with an investment, such as syndication, structuring or diligence, all or a portion of any loan fees received by the Company will be deferred and amortized over the investment’s life using the effective interest method.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Other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Earnings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earnings per share (“EPS”) amounts have been computed based on the weighted-average number of shares of Common Shares outstanding for the period. Basic EPS is computed by dividing net increase (decrease) in net assets resulting from operations by the weighted average number of shares of Common Shares outstanding during the period.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Reimbursement of Transaction-Related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0"/>
        <w:jc w:val="left"/>
        <w:rPr>
          <w:rFonts w:ascii="Times New Roman" w:hAnsi="Times New Roman"/>
          <w:sz w:val="20"/>
        </w:rPr>
      </w:pPr>
      <w:r>
        <w:rPr>
          <w:rFonts w:ascii="Times New Roman;serif" w:hAnsi="Times New Roman;serif"/>
          <w:b w:val="false"/>
          <w:i/>
          <w:sz w:val="20"/>
        </w:rPr>
        <w:t>Income Taxes, Including Excise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intends to elect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March 31, 2023, the Company did not have any uncertain tax positions that met the recognition or measurement criteria, nor did the Company have any unrecognized tax benefits.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the Company recorded a net expense of $0.3</w:t>
      </w:r>
      <w:r>
        <w:rPr>
          <w:rFonts w:ascii="Times New Roman" w:hAnsi="Times New Roman"/>
          <w:sz w:val="20"/>
        </w:rPr>
        <w:t xml:space="preserve"> </w:t>
      </w:r>
      <w:r>
        <w:rPr>
          <w:rFonts w:ascii="Times New Roman;serif" w:hAnsi="Times New Roman;serif"/>
          <w:b w:val="false"/>
          <w:sz w:val="20"/>
        </w:rPr>
        <w:t>million for U.S. federal excise tax and other taxes.</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Dividends to Common Shareholders</w:t>
      </w:r>
    </w:p>
    <w:p>
      <w:pPr>
        <w:pStyle w:val="TextBody"/>
        <w:bidi w:val="0"/>
        <w:spacing w:before="120" w:after="0"/>
        <w:jc w:val="left"/>
        <w:rPr>
          <w:rFonts w:ascii="Times New Roman" w:hAnsi="Times New Roman"/>
          <w:sz w:val="20"/>
        </w:rPr>
      </w:pPr>
      <w:r>
        <w:rPr>
          <w:rFonts w:ascii="Times New Roman;serif" w:hAnsi="Times New Roman;serif"/>
          <w:b w:val="false"/>
          <w:sz w:val="20"/>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Board has adopted a dividend reinvestment plan, pursuant to which the Company will reinvest all cash dividends or distributions declared by the Board on behalf of investors who do not elect to receive their cash dividends or distributions in cash as provided below. As a result, if the Board authorizes, and the Company declares, a cash dividend or distribution, then shareholders who have not elected to “opt out” of the dividend reinvestment plan will have their cash dividends or distributions automatically reinvested in additional Common Shares as described below. See Note 10 for further information related to dividends.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Recent Accounting Standards and Regulatory Updates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 meeting certain criteria, that reference LIBOR or another reference rate expected to be discontinued. ASU 2022-06 defers the sunset date of Topic 848 from December 31, 2022, to December 31, 2024, after which entities will no longer be permitted to apply the relief in Topic 848. ASU 2022-06 is effective for all entities in scope upon issuance of ASU 2022-06. The adoption of this guidance did not have a material impact on the Company’s financial position, result of operations or cash flows.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3. Agreements and Related Party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Administration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the Company has incurred $0.5</w:t>
      </w:r>
      <w:r>
        <w:rPr>
          <w:rFonts w:ascii="Times New Roman" w:hAnsi="Times New Roman"/>
          <w:sz w:val="20"/>
        </w:rPr>
        <w:t xml:space="preserve"> </w:t>
      </w:r>
      <w:r>
        <w:rPr>
          <w:rFonts w:ascii="Times New Roman;serif" w:hAnsi="Times New Roman;serif"/>
          <w:b w:val="false"/>
          <w:sz w:val="20"/>
        </w:rPr>
        <w:t>million for administrative services payable to the Adviser under the terms of the Administration Agreement, which is included in other general and administrative expenses in the Consolidated Statements of Operations.</w:t>
      </w:r>
    </w:p>
    <w:p>
      <w:pPr>
        <w:pStyle w:val="TextBody"/>
        <w:bidi w:val="0"/>
        <w:spacing w:before="360" w:after="0"/>
        <w:jc w:val="left"/>
        <w:rPr>
          <w:rFonts w:ascii="Times New Roman" w:hAnsi="Times New Roman"/>
          <w:sz w:val="20"/>
        </w:rPr>
      </w:pPr>
      <w:r>
        <w:rPr>
          <w:rFonts w:ascii="Times New Roman;serif" w:hAnsi="Times New Roman;serif"/>
          <w:b w:val="false"/>
          <w:i/>
          <w:sz w:val="20"/>
        </w:rPr>
        <w:t>Investment Advisory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an incentive fee (the "Incentive Fee").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Management Fees (gross of waivers) were $3.9</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 w:hAnsi="Times New Roman"/>
          <w:sz w:val="20"/>
        </w:rPr>
      </w:pPr>
      <w:r>
        <w:rPr>
          <w:rFonts w:ascii="Times New Roman;serif" w:hAnsi="Times New Roman;serif"/>
          <w:b w:val="false"/>
          <w:sz w:val="20"/>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months ended March 31, 2023, Management Fees of $2.5</w:t>
      </w:r>
      <w:r>
        <w:rPr>
          <w:rFonts w:ascii="Times New Roman" w:hAnsi="Times New Roman"/>
          <w:sz w:val="20"/>
        </w:rPr>
        <w:t xml:space="preserve"> </w:t>
      </w:r>
      <w:r>
        <w:rPr>
          <w:rFonts w:ascii="Times New Roman;serif" w:hAnsi="Times New Roman;serif"/>
          <w:b w:val="false"/>
          <w:sz w:val="20"/>
        </w:rPr>
        <w:t>million have been waived. Any waived Management Fees are not subject to recoupment by the Adviser.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Incentive Fee consists of two parts, as follows:</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(i)</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first component, payable at the end of each quarter in arrears, will equal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pStyle w:val="TextBody"/>
        <w:bidi w:val="0"/>
        <w:spacing w:before="120" w:after="0"/>
        <w:jc w:val="left"/>
        <w:rPr>
          <w:rFonts w:ascii="Times New Roman" w:hAnsi="Times New Roman"/>
          <w:b w:val="false"/>
          <w:sz w:val="20"/>
        </w:rPr>
      </w:pPr>
      <w:r>
        <w:rPr>
          <w:rFonts w:ascii="Times New Roman" w:hAnsi="Times New Roman"/>
          <w:b w:val="false"/>
          <w:sz w:val="20"/>
        </w:rPr>
        <w:t>(ii)</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pStyle w:val="TextBody"/>
        <w:bidi w:val="0"/>
        <w:spacing w:before="240" w:after="0"/>
        <w:jc w:val="left"/>
        <w:rPr>
          <w:rFonts w:ascii="Times New Roman" w:hAnsi="Times New Roman"/>
          <w:sz w:val="20"/>
        </w:rPr>
      </w:pPr>
      <w:r>
        <w:rPr>
          <w:rFonts w:ascii="Times New Roman;serif" w:hAnsi="Times New Roman;serif"/>
          <w:b w:val="false"/>
          <w:sz w:val="20"/>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Incentive Fees on net investment income were $2.4</w:t>
      </w:r>
      <w:r>
        <w:rPr>
          <w:rFonts w:ascii="Times New Roman" w:hAnsi="Times New Roman"/>
          <w:sz w:val="20"/>
        </w:rPr>
        <w:t xml:space="preserve"> </w:t>
      </w:r>
      <w:r>
        <w:rPr>
          <w:rFonts w:ascii="Times New Roman;serif" w:hAnsi="Times New Roman;serif"/>
          <w:b w:val="false"/>
          <w:sz w:val="20"/>
        </w:rPr>
        <w:t>million. For the three months ended March 31, 2023 Incentive Fees on Capital Gains were $1.4</w:t>
      </w:r>
      <w:r>
        <w:rPr>
          <w:rFonts w:ascii="Times New Roman" w:hAnsi="Times New Roman"/>
          <w:sz w:val="20"/>
        </w:rPr>
        <w:t xml:space="preserve"> </w:t>
      </w:r>
      <w:r>
        <w:rPr>
          <w:rFonts w:ascii="Times New Roman;serif" w:hAnsi="Times New Roman;serif"/>
          <w:b w:val="false"/>
          <w:sz w:val="20"/>
        </w:rPr>
        <w:t>million. As of March 31, 2023, the Capital Gains Fees accrued are not contractually payable to the Adviser.</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Expense Support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the Adviser has not provided any written commitments for Expense Payments. The Company has not made any Reimbursement Payments to the Adviser.</w:t>
      </w:r>
    </w:p>
    <w:p>
      <w:pPr>
        <w:pStyle w:val="TextBody"/>
        <w:bidi w:val="0"/>
        <w:spacing w:before="240" w:after="0"/>
        <w:jc w:val="left"/>
        <w:rPr>
          <w:rFonts w:ascii="Times New Roman" w:hAnsi="Times New Roman"/>
          <w:sz w:val="20"/>
        </w:rPr>
      </w:pPr>
      <w:r>
        <w:rPr>
          <w:rFonts w:ascii="Times New Roman;serif" w:hAnsi="Times New Roman;serif"/>
          <w:b/>
          <w:sz w:val="20"/>
        </w:rPr>
        <w:t>4. Investments at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schedules of investments. The information in the tables below is presented on an aggregate portfolio basis, without regard to whether they are non-controlled, non-affiliated; non-controlled, affiliated; or controlled, affiliated investments.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Investments at fair value consisted of the following at March 31, 2023 and December 31, 2022: </w:t>
        <w:br/>
      </w:r>
      <w:r>
        <w:rPr>
          <w:rFonts w:ascii="Times New Roman" w:hAnsi="Times New Roman"/>
          <w:sz w:val="20"/>
        </w:rPr>
        <w:t> </w:t>
      </w:r>
    </w:p>
    <w:tbl>
      <w:tblPr>
        <w:tblW w:w="7384" w:type="dxa"/>
        <w:jc w:val="left"/>
        <w:tblInd w:w="0" w:type="dxa"/>
        <w:tblLayout w:type="fixed"/>
        <w:tblCellMar>
          <w:top w:w="28" w:type="dxa"/>
          <w:left w:w="28" w:type="dxa"/>
          <w:bottom w:w="28" w:type="dxa"/>
          <w:right w:w="28" w:type="dxa"/>
        </w:tblCellMar>
      </w:tblPr>
      <w:tblGrid>
        <w:gridCol w:w="2506"/>
        <w:gridCol w:w="146"/>
        <w:gridCol w:w="260"/>
        <w:gridCol w:w="1150"/>
        <w:gridCol w:w="146"/>
        <w:gridCol w:w="146"/>
        <w:gridCol w:w="211"/>
        <w:gridCol w:w="931"/>
        <w:gridCol w:w="146"/>
        <w:gridCol w:w="146"/>
        <w:gridCol w:w="282"/>
        <w:gridCol w:w="903"/>
        <w:gridCol w:w="41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Amortized Cost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Unrealized</w:t>
              <w:br/>
              <w:t>Gain (Loss)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13,534</w:t>
            </w:r>
          </w:p>
        </w:tc>
        <w:tc>
          <w:tcPr>
            <w:tcW w:w="411"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0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Investments</w:t>
            </w:r>
          </w:p>
        </w:tc>
        <w:tc>
          <w:tcPr>
            <w:tcW w:w="146" w:type="dxa"/>
            <w:tcBorders/>
            <w:vAlign w:val="center"/>
          </w:tcPr>
          <w:p>
            <w:pPr>
              <w:pStyle w:val="TableContents"/>
              <w:bidi w:val="0"/>
              <w:spacing w:before="0" w:after="0"/>
              <w:ind w:left="0" w:right="0" w:hanging="0"/>
              <w:jc w:val="righ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1,262,452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214" w:type="dxa"/>
        <w:jc w:val="left"/>
        <w:tblInd w:w="0" w:type="dxa"/>
        <w:tblLayout w:type="fixed"/>
        <w:tblCellMar>
          <w:top w:w="28" w:type="dxa"/>
          <w:left w:w="28" w:type="dxa"/>
          <w:bottom w:w="28" w:type="dxa"/>
          <w:right w:w="28" w:type="dxa"/>
        </w:tblCellMar>
      </w:tblPr>
      <w:tblGrid>
        <w:gridCol w:w="2506"/>
        <w:gridCol w:w="146"/>
        <w:gridCol w:w="300"/>
        <w:gridCol w:w="1110"/>
        <w:gridCol w:w="146"/>
        <w:gridCol w:w="146"/>
        <w:gridCol w:w="211"/>
        <w:gridCol w:w="781"/>
        <w:gridCol w:w="146"/>
        <w:gridCol w:w="146"/>
        <w:gridCol w:w="361"/>
        <w:gridCol w:w="824"/>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17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Amortized Cost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Unrealized</w:t>
              <w:br/>
              <w:t>Gain (Loss)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0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Investments</w:t>
            </w:r>
          </w:p>
        </w:tc>
        <w:tc>
          <w:tcPr>
            <w:tcW w:w="146" w:type="dxa"/>
            <w:tcBorders/>
            <w:vAlign w:val="center"/>
          </w:tcPr>
          <w:p>
            <w:pPr>
              <w:pStyle w:val="TableContents"/>
              <w:bidi w:val="0"/>
              <w:spacing w:before="0" w:after="0"/>
              <w:ind w:left="0" w:right="0" w:hanging="0"/>
              <w:jc w:val="right"/>
              <w:rPr/>
            </w:pPr>
            <w:r>
              <w:rPr/>
              <w:t> </w:t>
            </w:r>
          </w:p>
        </w:tc>
        <w:tc>
          <w:tcPr>
            <w:tcW w:w="3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809,029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 xml:space="preserve">The amortized cost represents the original cost adjusted for the amortization of discounts or premiums, as applicable, on debt investments using the effective interest method. </w:t>
      </w:r>
    </w:p>
    <w:p>
      <w:pPr>
        <w:pStyle w:val="TextBody"/>
        <w:bidi w:val="0"/>
        <w:spacing w:before="240" w:after="0"/>
        <w:jc w:val="left"/>
        <w:rPr>
          <w:rFonts w:ascii="Times New Roman" w:hAnsi="Times New Roman"/>
          <w:sz w:val="20"/>
        </w:rPr>
      </w:pPr>
      <w:r>
        <w:rPr>
          <w:rFonts w:ascii="Times New Roman;serif" w:hAnsi="Times New Roman;serif"/>
          <w:b w:val="false"/>
          <w:sz w:val="20"/>
        </w:rPr>
        <w:t>The industry composition of investments at fair value at March 31, 2023 and December 31, 2022:</w:t>
      </w:r>
      <w:r>
        <w:rPr>
          <w:rFonts w:ascii="Times New Roman" w:hAnsi="Times New Roman"/>
          <w:sz w:val="20"/>
        </w:rPr>
        <w:t xml:space="preserve"> </w:t>
      </w:r>
    </w:p>
    <w:tbl>
      <w:tblPr>
        <w:tblW w:w="6750" w:type="dxa"/>
        <w:jc w:val="left"/>
        <w:tblInd w:w="0" w:type="dxa"/>
        <w:tblLayout w:type="fixed"/>
        <w:tblCellMar>
          <w:top w:w="28" w:type="dxa"/>
          <w:left w:w="28" w:type="dxa"/>
          <w:bottom w:w="28" w:type="dxa"/>
          <w:right w:w="28" w:type="dxa"/>
        </w:tblCellMar>
      </w:tblPr>
      <w:tblGrid>
        <w:gridCol w:w="2911"/>
        <w:gridCol w:w="146"/>
        <w:gridCol w:w="256"/>
        <w:gridCol w:w="1004"/>
        <w:gridCol w:w="271"/>
        <w:gridCol w:w="1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Services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Chemicals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Communications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Services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Healthcare</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Human Resource Support Services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Internet Services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Oil, Gas and Consumable Fuels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 and Consumer Products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left"/>
              <w:rPr/>
            </w:pPr>
            <w:r>
              <w:rPr/>
              <w:t> </w:t>
            </w:r>
          </w:p>
        </w:tc>
        <w:tc>
          <w:tcPr>
            <w:tcW w:w="25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19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1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rFonts w:ascii="Times New Roman" w:hAnsi="Times New Roman"/>
          <w:sz w:val="20"/>
        </w:rPr>
      </w:pPr>
      <w:r>
        <w:rPr>
          <w:rFonts w:ascii="Times New Roman;serif" w:hAnsi="Times New Roman;serif"/>
          <w:b w:val="false"/>
          <w:sz w:val="20"/>
        </w:rPr>
        <w:t>The geographic composition of investments at fair value at March 31, 2023 and December 31, 2022:</w:t>
      </w:r>
      <w:r>
        <w:rPr>
          <w:rFonts w:ascii="Times New Roman" w:hAnsi="Times New Roman"/>
          <w:sz w:val="20"/>
        </w:rPr>
        <w:t xml:space="preserve"> </w:t>
      </w:r>
    </w:p>
    <w:tbl>
      <w:tblPr>
        <w:tblW w:w="5040" w:type="dxa"/>
        <w:jc w:val="left"/>
        <w:tblInd w:w="0" w:type="dxa"/>
        <w:tblLayout w:type="fixed"/>
        <w:tblCellMar>
          <w:top w:w="28" w:type="dxa"/>
          <w:left w:w="28" w:type="dxa"/>
          <w:bottom w:w="28" w:type="dxa"/>
          <w:right w:w="28" w:type="dxa"/>
        </w:tblCellMar>
      </w:tblPr>
      <w:tblGrid>
        <w:gridCol w:w="1201"/>
        <w:gridCol w:w="146"/>
        <w:gridCol w:w="256"/>
        <w:gridCol w:w="1004"/>
        <w:gridCol w:w="271"/>
        <w:gridCol w:w="146"/>
        <w:gridCol w:w="305"/>
        <w:gridCol w:w="1195"/>
        <w:gridCol w:w="5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Midwest</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Northeast</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South</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West</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Germany</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Luxembourg</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Netherlands</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Norway</w:t>
            </w:r>
          </w:p>
        </w:tc>
        <w:tc>
          <w:tcPr>
            <w:tcW w:w="146"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0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5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19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1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5. 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present fair value measurements of investments as of March 31, 2023 and December 31, 2022:</w:t>
      </w:r>
      <w:r>
        <w:rPr>
          <w:rFonts w:ascii="Times New Roman" w:hAnsi="Times New Roman"/>
          <w:sz w:val="20"/>
        </w:rPr>
        <w:t xml:space="preserve"> </w:t>
      </w:r>
    </w:p>
    <w:tbl>
      <w:tblPr>
        <w:tblW w:w="7463" w:type="dxa"/>
        <w:jc w:val="left"/>
        <w:tblInd w:w="0" w:type="dxa"/>
        <w:tblLayout w:type="fixed"/>
        <w:tblCellMar>
          <w:top w:w="28" w:type="dxa"/>
          <w:left w:w="28" w:type="dxa"/>
          <w:bottom w:w="28" w:type="dxa"/>
          <w:right w:w="28" w:type="dxa"/>
        </w:tblCellMar>
      </w:tblPr>
      <w:tblGrid>
        <w:gridCol w:w="2506"/>
        <w:gridCol w:w="146"/>
        <w:gridCol w:w="239"/>
        <w:gridCol w:w="391"/>
        <w:gridCol w:w="146"/>
        <w:gridCol w:w="146"/>
        <w:gridCol w:w="239"/>
        <w:gridCol w:w="391"/>
        <w:gridCol w:w="146"/>
        <w:gridCol w:w="146"/>
        <w:gridCol w:w="211"/>
        <w:gridCol w:w="931"/>
        <w:gridCol w:w="146"/>
        <w:gridCol w:w="146"/>
        <w:gridCol w:w="211"/>
        <w:gridCol w:w="931"/>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4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Hierarchy at 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1,246,008</w:t>
            </w:r>
          </w:p>
        </w:tc>
        <w:tc>
          <w:tcPr>
            <w:tcW w:w="391"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0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1,262,452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1,262,452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tbl>
      <w:tblPr>
        <w:tblW w:w="7163" w:type="dxa"/>
        <w:jc w:val="left"/>
        <w:tblInd w:w="0" w:type="dxa"/>
        <w:tblLayout w:type="fixed"/>
        <w:tblCellMar>
          <w:top w:w="28" w:type="dxa"/>
          <w:left w:w="28" w:type="dxa"/>
          <w:bottom w:w="28" w:type="dxa"/>
          <w:right w:w="28" w:type="dxa"/>
        </w:tblCellMar>
      </w:tblPr>
      <w:tblGrid>
        <w:gridCol w:w="2506"/>
        <w:gridCol w:w="146"/>
        <w:gridCol w:w="239"/>
        <w:gridCol w:w="391"/>
        <w:gridCol w:w="146"/>
        <w:gridCol w:w="146"/>
        <w:gridCol w:w="239"/>
        <w:gridCol w:w="391"/>
        <w:gridCol w:w="146"/>
        <w:gridCol w:w="146"/>
        <w:gridCol w:w="211"/>
        <w:gridCol w:w="781"/>
        <w:gridCol w:w="146"/>
        <w:gridCol w:w="146"/>
        <w:gridCol w:w="211"/>
        <w:gridCol w:w="781"/>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1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Hierarchy at 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800,995</w:t>
            </w:r>
          </w:p>
        </w:tc>
        <w:tc>
          <w:tcPr>
            <w:tcW w:w="391"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0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808,801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Transfers between levels, if any, are recognized at the beginning of the quarter in which the transfers occur.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tables present the changes in the fair value of investments for which Level 3 inputs were used to determine the fair value as of and for the three months ended March 31, 2023:</w:t>
      </w:r>
      <w:r>
        <w:rPr>
          <w:rFonts w:ascii="Times New Roman" w:hAnsi="Times New Roman"/>
          <w:sz w:val="20"/>
        </w:rPr>
        <w:t xml:space="preserve"> </w:t>
      </w:r>
    </w:p>
    <w:tbl>
      <w:tblPr>
        <w:tblW w:w="7882" w:type="dxa"/>
        <w:jc w:val="left"/>
        <w:tblInd w:w="0" w:type="dxa"/>
        <w:tblLayout w:type="fixed"/>
        <w:tblCellMar>
          <w:top w:w="28" w:type="dxa"/>
          <w:left w:w="28" w:type="dxa"/>
          <w:bottom w:w="28" w:type="dxa"/>
          <w:right w:w="28" w:type="dxa"/>
        </w:tblCellMar>
      </w:tblPr>
      <w:tblGrid>
        <w:gridCol w:w="3511"/>
        <w:gridCol w:w="146"/>
        <w:gridCol w:w="211"/>
        <w:gridCol w:w="931"/>
        <w:gridCol w:w="166"/>
        <w:gridCol w:w="146"/>
        <w:gridCol w:w="225"/>
        <w:gridCol w:w="721"/>
        <w:gridCol w:w="146"/>
        <w:gridCol w:w="146"/>
        <w:gridCol w:w="211"/>
        <w:gridCol w:w="931"/>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34"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and for the Three Months Ended</w:t>
            </w:r>
          </w:p>
        </w:tc>
        <w:tc>
          <w:tcPr>
            <w:tcW w:w="391" w:type="dxa"/>
            <w:tcBorders/>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3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First-lien</w:t>
              <w:br/>
              <w:t>debt</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br/>
              <w:t>and other</w:t>
              <w:br/>
              <w:t>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800,994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808,800</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or originations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444,762</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 redemptions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unrealized gains (losses)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13,761</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amortization of discount on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into (out of) Level 3</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Balance, End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1,246,008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1,262,452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following tables present information with respect to the net change in unrealized gains or losses on investments for which Level 3 inputs were used in determining fair value that are still held by the Company at March 31, 2023:</w:t>
      </w:r>
      <w:r>
        <w:rPr>
          <w:rFonts w:ascii="Times New Roman" w:hAnsi="Times New Roman"/>
          <w:sz w:val="20"/>
        </w:rPr>
        <w:t xml:space="preserve"> </w:t>
      </w:r>
    </w:p>
    <w:tbl>
      <w:tblPr>
        <w:tblW w:w="5334" w:type="dxa"/>
        <w:jc w:val="left"/>
        <w:tblInd w:w="0" w:type="dxa"/>
        <w:tblLayout w:type="fixed"/>
        <w:tblCellMar>
          <w:top w:w="28" w:type="dxa"/>
          <w:left w:w="28" w:type="dxa"/>
          <w:bottom w:w="28" w:type="dxa"/>
          <w:right w:w="28" w:type="dxa"/>
        </w:tblCellMar>
      </w:tblPr>
      <w:tblGrid>
        <w:gridCol w:w="2506"/>
        <w:gridCol w:w="146"/>
        <w:gridCol w:w="510"/>
        <w:gridCol w:w="1635"/>
        <w:gridCol w:w="146"/>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Change in Unrealized</w:t>
            </w:r>
          </w:p>
        </w:tc>
        <w:tc>
          <w:tcPr>
            <w:tcW w:w="14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Gains (Losses)</w:t>
            </w:r>
          </w:p>
        </w:tc>
        <w:tc>
          <w:tcPr>
            <w:tcW w:w="14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 on</w:t>
            </w:r>
          </w:p>
        </w:tc>
        <w:tc>
          <w:tcPr>
            <w:tcW w:w="14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Held at</w:t>
            </w:r>
          </w:p>
        </w:tc>
        <w:tc>
          <w:tcPr>
            <w:tcW w:w="14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13,761</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50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5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following tables present the fair value of Level 3 Investments at fair value and the significant unobservable inputs used in the valuations as of March 31, 2023 and December 31, 2022. The tables are not intended to be all-inclusive, but instead capture the significant unobservable inputs relevant to the Company’s determination of fair values.</w:t>
      </w:r>
    </w:p>
    <w:tbl>
      <w:tblPr>
        <w:tblW w:w="10205" w:type="dxa"/>
        <w:jc w:val="left"/>
        <w:tblInd w:w="0" w:type="dxa"/>
        <w:tblLayout w:type="fixed"/>
        <w:tblCellMar>
          <w:top w:w="28" w:type="dxa"/>
          <w:left w:w="28" w:type="dxa"/>
          <w:bottom w:w="28" w:type="dxa"/>
          <w:right w:w="28" w:type="dxa"/>
        </w:tblCellMar>
      </w:tblPr>
      <w:tblGrid>
        <w:gridCol w:w="2027"/>
        <w:gridCol w:w="146"/>
        <w:gridCol w:w="196"/>
        <w:gridCol w:w="826"/>
        <w:gridCol w:w="146"/>
        <w:gridCol w:w="146"/>
        <w:gridCol w:w="1262"/>
        <w:gridCol w:w="146"/>
        <w:gridCol w:w="1517"/>
        <w:gridCol w:w="146"/>
        <w:gridCol w:w="1962"/>
        <w:gridCol w:w="146"/>
        <w:gridCol w:w="1539"/>
      </w:tblGrid>
      <w:tr>
        <w:trPr/>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32"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r>
      <w:tr>
        <w:trPr/>
        <w:tc>
          <w:tcPr>
            <w:tcW w:w="20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r>
          </w:p>
        </w:tc>
        <w:tc>
          <w:tcPr>
            <w:tcW w:w="146" w:type="dxa"/>
            <w:tcBorders/>
            <w:vAlign w:val="center"/>
          </w:tcPr>
          <w:p>
            <w:pPr>
              <w:pStyle w:val="TableContents"/>
              <w:bidi w:val="0"/>
              <w:spacing w:before="0" w:after="0"/>
              <w:ind w:left="0" w:right="0" w:hanging="0"/>
              <w:jc w:val="left"/>
              <w:rPr/>
            </w:pPr>
            <w:r>
              <w:rPr/>
              <w:t> </w:t>
            </w:r>
          </w:p>
        </w:tc>
        <w:tc>
          <w:tcPr>
            <w:tcW w:w="151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146" w:type="dxa"/>
            <w:tcBorders/>
            <w:vAlign w:val="center"/>
          </w:tcPr>
          <w:p>
            <w:pPr>
              <w:pStyle w:val="TableContents"/>
              <w:bidi w:val="0"/>
              <w:spacing w:before="0" w:after="0"/>
              <w:ind w:left="0" w:right="0" w:hanging="0"/>
              <w:jc w:val="left"/>
              <w:rPr/>
            </w:pPr>
            <w:r>
              <w:rPr/>
              <w:t> </w:t>
            </w:r>
          </w:p>
        </w:tc>
        <w:tc>
          <w:tcPr>
            <w:tcW w:w="1962"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 (Weighted</w:t>
            </w:r>
          </w:p>
        </w:tc>
        <w:tc>
          <w:tcPr>
            <w:tcW w:w="146"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Impact to Valuation</w:t>
              <w:br/>
              <w:t>from an</w:t>
            </w:r>
          </w:p>
        </w:tc>
      </w:tr>
      <w:tr>
        <w:trPr/>
        <w:tc>
          <w:tcPr>
            <w:tcW w:w="20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to Input</w:t>
            </w:r>
          </w:p>
        </w:tc>
      </w:tr>
      <w:tr>
        <w:trPr/>
        <w:tc>
          <w:tcPr>
            <w:tcW w:w="202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First-lien debt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1,246,008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approach</w:t>
            </w:r>
          </w:p>
        </w:tc>
        <w:tc>
          <w:tcPr>
            <w:tcW w:w="146" w:type="dxa"/>
            <w:tcBorders/>
            <w:vAlign w:val="center"/>
          </w:tcPr>
          <w:p>
            <w:pPr>
              <w:pStyle w:val="TableContents"/>
              <w:bidi w:val="0"/>
              <w:spacing w:before="0" w:after="0"/>
              <w:ind w:left="0" w:right="0" w:hanging="0"/>
              <w:jc w:val="left"/>
              <w:rPr/>
            </w:pPr>
            <w:r>
              <w:rPr/>
              <w:t> </w:t>
            </w:r>
          </w:p>
        </w:tc>
        <w:tc>
          <w:tcPr>
            <w:tcW w:w="15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vAlign w:val="center"/>
          </w:tcPr>
          <w:p>
            <w:pPr>
              <w:pStyle w:val="TableContents"/>
              <w:bidi w:val="0"/>
              <w:spacing w:before="0" w:after="0"/>
              <w:ind w:left="0" w:right="0" w:hanging="0"/>
              <w:jc w:val="left"/>
              <w:rPr/>
            </w:pPr>
            <w:r>
              <w:rPr/>
              <w:t> </w:t>
            </w:r>
          </w:p>
        </w:tc>
        <w:tc>
          <w:tcPr>
            <w:tcW w:w="1962"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9.89% — 14.94% (13.18%)</w:t>
            </w:r>
          </w:p>
        </w:tc>
        <w:tc>
          <w:tcPr>
            <w:tcW w:w="146"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2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 and other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Market</w:t>
            </w:r>
            <w:r>
              <w:rPr>
                <w:rFonts w:ascii="Times New Roman" w:hAnsi="Times New Roman"/>
                <w:sz w:val="18"/>
              </w:rPr>
              <w:t xml:space="preserve"> </w:t>
            </w:r>
            <w:r>
              <w:rPr>
                <w:rFonts w:ascii="Times New Roman;serif" w:hAnsi="Times New Roman;serif"/>
                <w:b w:val="false"/>
                <w:sz w:val="18"/>
              </w:rPr>
              <w:t>Multiple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Comparable multiple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5.8x — 13.5x (12.0x)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9"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Increase</w:t>
            </w:r>
          </w:p>
        </w:tc>
      </w:tr>
      <w:tr>
        <w:trPr/>
        <w:tc>
          <w:tcPr>
            <w:tcW w:w="2027" w:type="dxa"/>
            <w:tcBorders/>
            <w:vAlign w:val="center"/>
          </w:tcPr>
          <w:p>
            <w:pPr>
              <w:pStyle w:val="TableContents"/>
              <w:bidi w:val="0"/>
              <w:spacing w:before="0" w:after="0"/>
              <w:ind w:left="200" w:right="0" w:hanging="0"/>
              <w:jc w:val="left"/>
              <w:rPr>
                <w:rFonts w:ascii="Times New Roman;serif" w:hAnsi="Times New Roman;serif"/>
                <w:b/>
                <w:sz w:val="18"/>
              </w:rPr>
            </w:pPr>
            <w:r>
              <w:rPr>
                <w:rFonts w:ascii="Times New Roman;serif" w:hAnsi="Times New Roman;serif"/>
                <w:b/>
                <w:sz w:val="18"/>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1,262,452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9"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45"/>
        <w:gridCol w:w="146"/>
        <w:gridCol w:w="196"/>
        <w:gridCol w:w="691"/>
        <w:gridCol w:w="146"/>
        <w:gridCol w:w="146"/>
        <w:gridCol w:w="1308"/>
        <w:gridCol w:w="146"/>
        <w:gridCol w:w="1563"/>
        <w:gridCol w:w="146"/>
        <w:gridCol w:w="1820"/>
        <w:gridCol w:w="146"/>
        <w:gridCol w:w="1606"/>
      </w:tblGrid>
      <w:tr>
        <w:trPr/>
        <w:tc>
          <w:tcPr>
            <w:tcW w:w="2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14" w:type="dxa"/>
            <w:gridSpan w:val="11"/>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21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8"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r>
          </w:p>
        </w:tc>
        <w:tc>
          <w:tcPr>
            <w:tcW w:w="146" w:type="dxa"/>
            <w:tcBorders/>
            <w:vAlign w:val="center"/>
          </w:tcPr>
          <w:p>
            <w:pPr>
              <w:pStyle w:val="TableContents"/>
              <w:bidi w:val="0"/>
              <w:spacing w:before="0" w:after="0"/>
              <w:ind w:left="0" w:right="0" w:hanging="0"/>
              <w:jc w:val="left"/>
              <w:rPr/>
            </w:pPr>
            <w:r>
              <w:rPr/>
              <w:t> </w:t>
            </w:r>
          </w:p>
        </w:tc>
        <w:tc>
          <w:tcPr>
            <w:tcW w:w="1563"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146"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 (Weighted</w:t>
            </w:r>
          </w:p>
        </w:tc>
        <w:tc>
          <w:tcPr>
            <w:tcW w:w="14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Impact to Valuation</w:t>
              <w:br/>
              <w:t>from an</w:t>
            </w:r>
          </w:p>
        </w:tc>
      </w:tr>
      <w:tr>
        <w:trPr/>
        <w:tc>
          <w:tcPr>
            <w:tcW w:w="21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to Input</w:t>
            </w:r>
          </w:p>
        </w:tc>
      </w:tr>
      <w:tr>
        <w:trPr/>
        <w:tc>
          <w:tcPr>
            <w:tcW w:w="2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First-lien debt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800,995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approach</w:t>
            </w:r>
          </w:p>
        </w:tc>
        <w:tc>
          <w:tcPr>
            <w:tcW w:w="146" w:type="dxa"/>
            <w:tcBorders/>
            <w:vAlign w:val="center"/>
          </w:tcPr>
          <w:p>
            <w:pPr>
              <w:pStyle w:val="TableContents"/>
              <w:bidi w:val="0"/>
              <w:spacing w:before="0" w:after="0"/>
              <w:ind w:left="0" w:right="0" w:hanging="0"/>
              <w:jc w:val="left"/>
              <w:rPr/>
            </w:pPr>
            <w:r>
              <w:rPr/>
              <w:t> </w:t>
            </w:r>
          </w:p>
        </w:tc>
        <w:tc>
          <w:tcPr>
            <w:tcW w:w="156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9.3% — 15.1% (13.1%)</w:t>
            </w:r>
          </w:p>
        </w:tc>
        <w:tc>
          <w:tcPr>
            <w:tcW w:w="14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 and other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Market Multiple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Comparable multiple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5.8x — 13.5x (13.3x)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Increase</w:t>
            </w:r>
          </w:p>
        </w:tc>
      </w:tr>
      <w:tr>
        <w:trPr/>
        <w:tc>
          <w:tcPr>
            <w:tcW w:w="2145" w:type="dxa"/>
            <w:tcBorders/>
            <w:vAlign w:val="center"/>
          </w:tcPr>
          <w:p>
            <w:pPr>
              <w:pStyle w:val="TableContents"/>
              <w:bidi w:val="0"/>
              <w:spacing w:before="0" w:after="0"/>
              <w:ind w:left="200" w:right="0" w:hanging="0"/>
              <w:jc w:val="left"/>
              <w:rPr>
                <w:rFonts w:ascii="Times New Roman;serif" w:hAnsi="Times New Roman;serif"/>
                <w:b/>
                <w:sz w:val="18"/>
              </w:rPr>
            </w:pPr>
            <w:r>
              <w:rPr>
                <w:rFonts w:ascii="Times New Roman;serif" w:hAnsi="Times New Roman;serif"/>
                <w:b/>
                <w:sz w:val="18"/>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808,801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sz w:val="20"/>
        </w:rPr>
      </w:pPr>
      <w:r>
        <w:rPr>
          <w:rFonts w:ascii="Times New Roman;serif" w:hAnsi="Times New Roman;serif"/>
          <w:b w:val="false"/>
          <w:sz w:val="20"/>
        </w:rPr>
        <w:b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Financial Instruments Not Carried at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of the Company’s Credit Facilities, which are categorized as Level 3 within the fair value hierarchy, as of March 31, 2023 and December 31, 2022, approximates their carrying value as the outstanding balance is callable at carrying value.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sz w:val="20"/>
        </w:rPr>
        <w:t>Other Financial Assets and Liabilities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fair value hierarchy, cash and cash equivalents are classified as Level 1 while the Company’s other assets and liabilities, other than investments at fair value and Revolving Credit Facility, are classified as Level 2.</w:t>
      </w:r>
    </w:p>
    <w:p>
      <w:pPr>
        <w:pStyle w:val="TextBody"/>
        <w:bidi w:val="0"/>
        <w:spacing w:before="240" w:after="0"/>
        <w:jc w:val="left"/>
        <w:rPr>
          <w:rFonts w:ascii="Times New Roman" w:hAnsi="Times New Roman"/>
          <w:sz w:val="20"/>
        </w:rPr>
      </w:pPr>
      <w:r>
        <w:rPr>
          <w:rFonts w:ascii="Times New Roman;serif" w:hAnsi="Times New Roman;serif"/>
          <w:b/>
          <w:sz w:val="20"/>
        </w:rPr>
        <w:t>6. Debt</w:t>
      </w:r>
      <w:r>
        <w:rPr>
          <w:rFonts w:ascii="Times New Roman" w:hAnsi="Times New Roman"/>
          <w:sz w:val="20"/>
        </w:rPr>
        <w:t xml:space="preserve">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Subscription Facility</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1, 2022 (the “Subscription Facility Closing Date”), the Company entered into a revolving credit agreement (the “Subscription Facility”) with Wells Fargo Bank, National Association, as administrative agent (the “Administrative Agent”), letter of credit issuer, lead arranger and as a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September 30, 2022, aggregate commitments under the facility were $400</w:t>
      </w:r>
      <w:r>
        <w:rPr>
          <w:rFonts w:ascii="Times New Roman" w:hAnsi="Times New Roman"/>
          <w:sz w:val="20"/>
        </w:rPr>
        <w:t xml:space="preserve"> </w:t>
      </w:r>
      <w:r>
        <w:rPr>
          <w:rFonts w:ascii="Times New Roman;serif" w:hAnsi="Times New Roman;serif"/>
          <w:b w:val="false"/>
          <w:sz w:val="20"/>
        </w:rPr>
        <w:t>million. Pursuant to an amendment to the Subscription Facility dated as of December 21, 2022 (the “Subscription Facility First Amendment”), the aggregate commitments under the Subscription Facility were increased to $700</w:t>
      </w:r>
      <w:r>
        <w:rPr>
          <w:rFonts w:ascii="Times New Roman" w:hAnsi="Times New Roman"/>
          <w:sz w:val="20"/>
        </w:rPr>
        <w:t xml:space="preserve"> </w:t>
      </w:r>
      <w:r>
        <w:rPr>
          <w:rFonts w:ascii="Times New Roman;serif" w:hAnsi="Times New Roman;serif"/>
          <w:b w:val="false"/>
          <w:sz w:val="20"/>
        </w:rPr>
        <w:t>million. Pursuant to lender joinder agreements dated January 18, 2023 and January 27, 2023, the aggregate commitments under the Subscription Facility were increased to $800</w:t>
      </w:r>
      <w:r>
        <w:rPr>
          <w:rFonts w:ascii="Times New Roman" w:hAnsi="Times New Roman"/>
          <w:sz w:val="20"/>
        </w:rPr>
        <w:t xml:space="preserve"> </w:t>
      </w:r>
      <w:r>
        <w:rPr>
          <w:rFonts w:ascii="Times New Roman;serif" w:hAnsi="Times New Roman;serif"/>
          <w:b w:val="false"/>
          <w:sz w:val="20"/>
        </w:rPr>
        <w:t>million and $850</w:t>
      </w:r>
      <w:r>
        <w:rPr>
          <w:rFonts w:ascii="Times New Roman" w:hAnsi="Times New Roman"/>
          <w:sz w:val="20"/>
        </w:rPr>
        <w:t xml:space="preserve"> </w:t>
      </w:r>
      <w:r>
        <w:rPr>
          <w:rFonts w:ascii="Times New Roman;serif" w:hAnsi="Times New Roman;serif"/>
          <w:b w:val="false"/>
          <w:sz w:val="20"/>
        </w:rPr>
        <w:t>million, respectively. Pursuant to lender joinder agreements dated March 28, 2023, the aggregate commitments under the facility were increased to $1.3</w:t>
      </w:r>
      <w:r>
        <w:rPr>
          <w:rFonts w:ascii="Times New Roman" w:hAnsi="Times New Roman"/>
          <w:sz w:val="20"/>
        </w:rPr>
        <w:t xml:space="preserve"> </w:t>
      </w:r>
      <w:r>
        <w:rPr>
          <w:rFonts w:ascii="Times New Roman;serif" w:hAnsi="Times New Roman;serif"/>
          <w:b w:val="false"/>
          <w:sz w:val="20"/>
        </w:rPr>
        <w:t>billion</w:t>
      </w:r>
      <w:r>
        <w:rPr>
          <w:rFonts w:ascii="Times New Roman;serif" w:hAnsi="Times New Roman;serif"/>
          <w:b w:val="false"/>
          <w:sz w:val="18"/>
        </w:rPr>
        <w:t>.</w:t>
      </w:r>
      <w:r>
        <w:rPr>
          <w:rFonts w:ascii="Times New Roman" w:hAnsi="Times New Roman"/>
          <w:sz w:val="20"/>
        </w:rPr>
        <w:t xml:space="preserve"> </w:t>
      </w:r>
      <w:r>
        <w:rPr>
          <w:rFonts w:ascii="Times New Roman;serif" w:hAnsi="Times New Roman;serif"/>
          <w:b w:val="false"/>
          <w:sz w:val="20"/>
        </w:rPr>
        <w:t>Pursuant to a lender joinder agreement dated April 27, 2023, the aggregate commitments under the facility were increased to $1.35</w:t>
      </w:r>
      <w:r>
        <w:rPr>
          <w:rFonts w:ascii="Times New Roman" w:hAnsi="Times New Roman"/>
          <w:sz w:val="20"/>
        </w:rPr>
        <w:t xml:space="preserve"> </w:t>
      </w:r>
      <w:r>
        <w:rPr>
          <w:rFonts w:ascii="Times New Roman;serif" w:hAnsi="Times New Roman;serif"/>
          <w:b w:val="false"/>
          <w:sz w:val="20"/>
        </w:rPr>
        <w:t>billion (the “Maximum Commitment”).</w:t>
      </w:r>
    </w:p>
    <w:p>
      <w:pPr>
        <w:pStyle w:val="TextBody"/>
        <w:bidi w:val="0"/>
        <w:spacing w:before="240" w:after="0"/>
        <w:jc w:val="left"/>
        <w:rPr>
          <w:rFonts w:ascii="Times New Roman" w:hAnsi="Times New Roman"/>
          <w:sz w:val="20"/>
        </w:rPr>
      </w:pPr>
      <w:r>
        <w:rPr>
          <w:rFonts w:ascii="Times New Roman;serif" w:hAnsi="Times New Roman;serif"/>
          <w:b w:val="false"/>
          <w:sz w:val="20"/>
        </w:rPr>
        <w:t>The Subscription Facility will mature upon the earliest of: (i) August 30, 2024</w:t>
      </w:r>
      <w:r>
        <w:rPr>
          <w:rFonts w:ascii="Times New Roman" w:hAnsi="Times New Roman"/>
          <w:sz w:val="20"/>
        </w:rPr>
        <w:t xml:space="preserve"> </w:t>
      </w:r>
      <w:r>
        <w:rPr>
          <w:rFonts w:ascii="Times New Roman;serif" w:hAnsi="Times New Roman;serif"/>
          <w:b w:val="false"/>
          <w:sz w:val="20"/>
        </w:rPr>
        <w:t>(the “Subscription Facility Stated Maturity”);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Subscription Facility Stated Maturity Date may be extended by up to 364 days, subject to satisfaction of customary conditions.</w:t>
      </w:r>
    </w:p>
    <w:p>
      <w:pPr>
        <w:pStyle w:val="TextBody"/>
        <w:bidi w:val="0"/>
        <w:spacing w:before="240" w:after="0"/>
        <w:jc w:val="left"/>
        <w:rPr>
          <w:rFonts w:ascii="Times New Roman" w:hAnsi="Times New Roman"/>
          <w:sz w:val="20"/>
        </w:rPr>
      </w:pPr>
      <w:r>
        <w:rPr>
          <w:rFonts w:ascii="Times New Roman;serif" w:hAnsi="Times New Roman;serif"/>
          <w:b w:val="false"/>
          <w:sz w:val="20"/>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may borrow amounts in U.S. dollars or certain other permitted currencies. As of March 31, 2023, the Company had outstanding debt denominated in British pounds of GBP 10.3</w:t>
      </w:r>
      <w:r>
        <w:rPr>
          <w:rFonts w:ascii="Times New Roman" w:hAnsi="Times New Roman"/>
          <w:sz w:val="20"/>
        </w:rPr>
        <w:t xml:space="preserve"> </w:t>
      </w:r>
      <w:r>
        <w:rPr>
          <w:rFonts w:ascii="Times New Roman;serif" w:hAnsi="Times New Roman;serif"/>
          <w:b w:val="false"/>
          <w:sz w:val="20"/>
        </w:rPr>
        <w:t>million and Euro of EUR 13.4</w:t>
      </w:r>
      <w:r>
        <w:rPr>
          <w:rFonts w:ascii="Times New Roman" w:hAnsi="Times New Roman"/>
          <w:sz w:val="20"/>
        </w:rPr>
        <w:t xml:space="preserve"> </w:t>
      </w:r>
      <w:r>
        <w:rPr>
          <w:rFonts w:ascii="Times New Roman;serif" w:hAnsi="Times New Roman;serif"/>
          <w:b w:val="false"/>
          <w:sz w:val="20"/>
        </w:rPr>
        <w:t>million on its Subscription Facility, included in the outstanding principal amount in the table above.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Subscription Facility also provides for the issuance of letters of credit up to an aggregate amount of 10% of the Maximum Commitment. As of March 31, 2023, the Company had no</w:t>
      </w:r>
      <w:r>
        <w:rPr>
          <w:rFonts w:ascii="Times New Roman" w:hAnsi="Times New Roman"/>
          <w:sz w:val="20"/>
        </w:rPr>
        <w:t xml:space="preserve"> </w:t>
      </w:r>
      <w:r>
        <w:rPr>
          <w:rFonts w:ascii="Times New Roman;serif" w:hAnsi="Times New Roman;serif"/>
          <w:b w:val="false"/>
          <w:sz w:val="20"/>
        </w:rPr>
        <w:t>outstanding letters of credit issued through the Subscription Facility. The amount available for borrowing under the Subscription Facility is reduced by any letters of credit issued through the Subscription Facility.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the Company was in compliance with the terms of the Subscription Facility.</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Revolving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On January 19,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aggregate commitments under the facility were $600</w:t>
      </w:r>
      <w:r>
        <w:rPr>
          <w:rFonts w:ascii="Times New Roman" w:hAnsi="Times New Roman"/>
          <w:sz w:val="20"/>
        </w:rPr>
        <w:t xml:space="preserve"> </w:t>
      </w:r>
      <w:r>
        <w:rPr>
          <w:rFonts w:ascii="Times New Roman;serif" w:hAnsi="Times New Roman;serif"/>
          <w:b w:val="false"/>
          <w:sz w:val="20"/>
        </w:rPr>
        <w:t>million and included an uncommitted accordion feature that allows the Company, under certain circumstances, to increase the size of the facility up to $1</w:t>
      </w:r>
      <w:r>
        <w:rPr>
          <w:rFonts w:ascii="Times New Roman" w:hAnsi="Times New Roman"/>
          <w:sz w:val="20"/>
        </w:rPr>
        <w:t xml:space="preserve"> </w:t>
      </w:r>
      <w:r>
        <w:rPr>
          <w:rFonts w:ascii="Times New Roman;serif" w:hAnsi="Times New Roman;serif"/>
          <w:b w:val="false"/>
          <w:sz w:val="20"/>
        </w:rPr>
        <w:t>billion. On February 28, 2023, the aggregate commitments under the facility were upsized to $700</w:t>
      </w:r>
      <w:r>
        <w:rPr>
          <w:rFonts w:ascii="Times New Roman" w:hAnsi="Times New Roman"/>
          <w:sz w:val="20"/>
        </w:rPr>
        <w:t xml:space="preserve"> </w:t>
      </w:r>
      <w:r>
        <w:rPr>
          <w:rFonts w:ascii="Times New Roman;serif" w:hAnsi="Times New Roman;serif"/>
          <w:b w:val="false"/>
          <w:sz w:val="20"/>
        </w:rPr>
        <w:t>million. The Revolving Credit Facility will mature on January 19, 2028</w:t>
      </w:r>
      <w:r>
        <w:rPr>
          <w:rFonts w:ascii="Times New Roman" w:hAnsi="Times New Roman"/>
          <w:sz w:val="20"/>
        </w:rPr>
        <w:t xml:space="preserve"> </w:t>
      </w:r>
      <w:r>
        <w:rPr>
          <w:rFonts w:ascii="Times New Roman;serif" w:hAnsi="Times New Roman;serif"/>
          <w:b w:val="false"/>
          <w:sz w:val="20"/>
        </w:rPr>
        <w:t>(the “Revolving Credit Facility Maturity Date”). The Company may borrow amounts in U.S. dollars or certain other permitted currencies.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may borrow amounts in U.S. dollars or certain other permitted currencies. As of March 31, 2023, the Company had outstanding debt denominated in Euro of EUR 3.4</w:t>
      </w:r>
      <w:r>
        <w:rPr>
          <w:rFonts w:ascii="Times New Roman" w:hAnsi="Times New Roman"/>
          <w:sz w:val="20"/>
        </w:rPr>
        <w:t xml:space="preserve"> </w:t>
      </w:r>
      <w:r>
        <w:rPr>
          <w:rFonts w:ascii="Times New Roman;serif" w:hAnsi="Times New Roman;serif"/>
          <w:b w:val="false"/>
          <w:sz w:val="20"/>
        </w:rPr>
        <w:t>million on its Revolving Credit Facility, included in the outstanding principal amount in the table above.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Revolving Credit Facility also provides for the issuance of letters of credit up to an aggregate amount of $175</w:t>
      </w:r>
      <w:r>
        <w:rPr>
          <w:rFonts w:ascii="Times New Roman" w:hAnsi="Times New Roman"/>
          <w:sz w:val="20"/>
        </w:rPr>
        <w:t xml:space="preserve"> </w:t>
      </w:r>
      <w:r>
        <w:rPr>
          <w:rFonts w:ascii="Times New Roman;serif" w:hAnsi="Times New Roman;serif"/>
          <w:b w:val="false"/>
          <w:sz w:val="20"/>
        </w:rPr>
        <w:t>million. As of March 31, 2023, the Company</w:t>
      </w:r>
      <w:r>
        <w:rPr>
          <w:rFonts w:ascii="Times New Roman" w:hAnsi="Times New Roman"/>
          <w:sz w:val="20"/>
        </w:rPr>
        <w:t xml:space="preserve"> </w:t>
      </w:r>
      <w:r>
        <w:rPr>
          <w:rFonts w:ascii="Times New Roman;serif" w:hAnsi="Times New Roman;serif"/>
          <w:b w:val="false"/>
          <w:sz w:val="20"/>
        </w:rPr>
        <w:t>had no</w:t>
      </w:r>
      <w:r>
        <w:rPr>
          <w:rFonts w:ascii="Times New Roman" w:hAnsi="Times New Roman"/>
          <w:sz w:val="20"/>
        </w:rPr>
        <w:t xml:space="preserve"> </w:t>
      </w:r>
      <w:r>
        <w:rPr>
          <w:rFonts w:ascii="Times New Roman;serif" w:hAnsi="Times New Roman;serif"/>
          <w:b w:val="false"/>
          <w:sz w:val="20"/>
        </w:rPr>
        <w:t>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In accordance with the 1940 Act, with certain limitations, the Company is allowed to borrow amounts such that its asset coverage, as defined in the 1940 Act, is at least 150% after such borrowing. As of March 31, 2023 and December 31, 2022, the Company's asset coverage was 202.7%</w:t>
      </w:r>
      <w:r>
        <w:rPr>
          <w:rFonts w:ascii="Times New Roman" w:hAnsi="Times New Roman"/>
          <w:sz w:val="20"/>
        </w:rPr>
        <w:t xml:space="preserve"> </w:t>
      </w:r>
      <w:r>
        <w:rPr>
          <w:rFonts w:ascii="Times New Roman;serif" w:hAnsi="Times New Roman;serif"/>
          <w:b w:val="false"/>
          <w:sz w:val="20"/>
        </w:rPr>
        <w:t>and 201.6%,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Debt obligations consisted of the following as of March 31, 2023 and December 31, 2022:</w:t>
      </w:r>
      <w:r>
        <w:rPr>
          <w:rFonts w:ascii="Times New Roman" w:hAnsi="Times New Roman"/>
          <w:sz w:val="20"/>
        </w:rPr>
        <w:t xml:space="preserve"> </w:t>
      </w:r>
    </w:p>
    <w:p>
      <w:pPr>
        <w:pStyle w:val="TextBody"/>
        <w:bidi w:val="0"/>
        <w:spacing w:before="0" w:after="0"/>
        <w:jc w:val="left"/>
        <w:rPr/>
      </w:pPr>
      <w:r>
        <w:rPr/>
        <w:t> </w:t>
      </w:r>
    </w:p>
    <w:tbl>
      <w:tblPr>
        <w:tblW w:w="7916"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3"/>
        <w:gridCol w:w="793"/>
        <w:gridCol w:w="146"/>
        <w:gridCol w:w="146"/>
        <w:gridCol w:w="211"/>
        <w:gridCol w:w="931"/>
        <w:gridCol w:w="146"/>
        <w:gridCol w:w="146"/>
        <w:gridCol w:w="211"/>
        <w:gridCol w:w="78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5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Principal</w:t>
              <w:br/>
              <w:t>Amount</w:t>
              <w:br/>
              <w:t>Committed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Amount</w:t>
              <w:br/>
              <w:t xml:space="preserve">Available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Carrying</w:t>
              <w:br/>
              <w:t xml:space="preserve">Value </w:t>
            </w:r>
            <w:r>
              <w:rPr>
                <w:rFonts w:ascii="Times New Roman;serif" w:hAnsi="Times New Roman;serif"/>
                <w:b/>
                <w:sz w:val="11"/>
              </w:rPr>
              <w:t>(2)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Subscription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548,594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542,434</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242,698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457,302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237,501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791,292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1,208,708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779,935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amount available may be subject to limitations related to the borrowing base under the Subscription Facility, Revolving Credit Facility and asset coverage requirements.</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sz w:val="24"/>
        </w:rPr>
      </w:pPr>
      <w:r>
        <w:rPr>
          <w:rFonts w:ascii="Times New Roman;serif" w:hAnsi="Times New Roman;serif"/>
          <w:b w:val="false"/>
          <w:sz w:val="20"/>
        </w:rPr>
        <w:t>The carrying values of the Subscription Facility and Revolving Credit Facility are presented net deferred financing costs of $6.2</w:t>
      </w:r>
      <w:r>
        <w:rPr>
          <w:rFonts w:ascii="Times New Roman;serif" w:hAnsi="Times New Roman;serif"/>
          <w:sz w:val="24"/>
        </w:rPr>
        <w:t xml:space="preserve"> </w:t>
      </w:r>
      <w:r>
        <w:rPr>
          <w:rFonts w:ascii="Times New Roman;serif" w:hAnsi="Times New Roman;serif"/>
          <w:b w:val="false"/>
          <w:sz w:val="20"/>
        </w:rPr>
        <w:t>million and $5.2</w:t>
      </w:r>
      <w:r>
        <w:rPr>
          <w:rFonts w:ascii="Times New Roman;serif" w:hAnsi="Times New Roman;serif"/>
          <w:sz w:val="24"/>
        </w:rPr>
        <w:t xml:space="preserve"> </w:t>
      </w:r>
      <w:r>
        <w:rPr>
          <w:rFonts w:ascii="Times New Roman;serif" w:hAnsi="Times New Roman;serif"/>
          <w:b w:val="false"/>
          <w:sz w:val="20"/>
        </w:rPr>
        <w:t>million, respectively.</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226" w:type="dxa"/>
        <w:jc w:val="left"/>
        <w:tblInd w:w="0" w:type="dxa"/>
        <w:tblLayout w:type="fixed"/>
        <w:tblCellMar>
          <w:top w:w="28" w:type="dxa"/>
          <w:left w:w="28" w:type="dxa"/>
          <w:bottom w:w="28" w:type="dxa"/>
          <w:right w:w="28" w:type="dxa"/>
        </w:tblCellMar>
      </w:tblPr>
      <w:tblGrid>
        <w:gridCol w:w="1831"/>
        <w:gridCol w:w="146"/>
        <w:gridCol w:w="211"/>
        <w:gridCol w:w="781"/>
        <w:gridCol w:w="146"/>
        <w:gridCol w:w="146"/>
        <w:gridCol w:w="213"/>
        <w:gridCol w:w="793"/>
        <w:gridCol w:w="146"/>
        <w:gridCol w:w="146"/>
        <w:gridCol w:w="211"/>
        <w:gridCol w:w="781"/>
        <w:gridCol w:w="146"/>
        <w:gridCol w:w="146"/>
        <w:gridCol w:w="211"/>
        <w:gridCol w:w="78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5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Principal</w:t>
              <w:br/>
              <w:t>Amount</w:t>
              <w:br/>
              <w:t>Committed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Amount</w:t>
              <w:br/>
              <w:t xml:space="preserve">Available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Carrying</w:t>
              <w:br/>
              <w:t xml:space="preserve">Value </w:t>
            </w:r>
            <w:r>
              <w:rPr>
                <w:rFonts w:ascii="Times New Roman;serif" w:hAnsi="Times New Roman;serif"/>
                <w:b/>
                <w:sz w:val="11"/>
              </w:rPr>
              <w:t>(2)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Subscription Facility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537,991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534,080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537,991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534,080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amount available may be subject to limitations related to the borrowing base under the Subscription Facility and asset coverage requirements.</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sz w:val="24"/>
        </w:rPr>
      </w:pPr>
      <w:r>
        <w:rPr>
          <w:rFonts w:ascii="Times New Roman;serif" w:hAnsi="Times New Roman;serif"/>
          <w:b w:val="false"/>
          <w:sz w:val="20"/>
        </w:rPr>
        <w:t>The carrying value of the Subscription Facility is presented net deferred financing costs of $3.9</w:t>
      </w:r>
      <w:r>
        <w:rPr>
          <w:rFonts w:ascii="Times New Roman;serif" w:hAnsi="Times New Roman;serif"/>
          <w:sz w:val="24"/>
        </w:rPr>
        <w:t xml:space="preserve"> </w:t>
      </w:r>
      <w:r>
        <w:rPr>
          <w:rFonts w:ascii="Times New Roman;serif" w:hAnsi="Times New Roman;serif"/>
          <w:b w:val="false"/>
          <w:sz w:val="20"/>
        </w:rPr>
        <w:t>million.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the three months ended March 31, 2023, the components of interest expense were as follows:</w:t>
      </w:r>
      <w:r>
        <w:rPr>
          <w:rFonts w:ascii="Times New Roman" w:hAnsi="Times New Roman"/>
          <w:sz w:val="20"/>
        </w:rPr>
        <w:t xml:space="preserve"> </w:t>
      </w:r>
    </w:p>
    <w:tbl>
      <w:tblPr>
        <w:tblW w:w="5804" w:type="dxa"/>
        <w:jc w:val="left"/>
        <w:tblInd w:w="0" w:type="dxa"/>
        <w:tblLayout w:type="fixed"/>
        <w:tblCellMar>
          <w:top w:w="28" w:type="dxa"/>
          <w:left w:w="28" w:type="dxa"/>
          <w:bottom w:w="28" w:type="dxa"/>
          <w:right w:w="28" w:type="dxa"/>
        </w:tblCellMar>
      </w:tblPr>
      <w:tblGrid>
        <w:gridCol w:w="3391"/>
        <w:gridCol w:w="146"/>
        <w:gridCol w:w="433"/>
        <w:gridCol w:w="1172"/>
        <w:gridCol w:w="27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righ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7,407</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 fees</w:t>
            </w:r>
          </w:p>
        </w:tc>
        <w:tc>
          <w:tcPr>
            <w:tcW w:w="146" w:type="dxa"/>
            <w:tcBorders/>
            <w:vAlign w:val="center"/>
          </w:tcPr>
          <w:p>
            <w:pPr>
              <w:pStyle w:val="TableContents"/>
              <w:bidi w:val="0"/>
              <w:spacing w:before="0" w:after="0"/>
              <w:ind w:left="0" w:right="0" w:hanging="0"/>
              <w:jc w:val="righ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vAlign w:val="center"/>
          </w:tcPr>
          <w:p>
            <w:pPr>
              <w:pStyle w:val="TableContents"/>
              <w:bidi w:val="0"/>
              <w:spacing w:before="0" w:after="0"/>
              <w:ind w:left="0" w:right="0" w:hanging="0"/>
              <w:jc w:val="righ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Interest Expense</w:t>
            </w:r>
          </w:p>
        </w:tc>
        <w:tc>
          <w:tcPr>
            <w:tcW w:w="146" w:type="dxa"/>
            <w:tcBorders/>
            <w:vAlign w:val="center"/>
          </w:tcPr>
          <w:p>
            <w:pPr>
              <w:pStyle w:val="TableContents"/>
              <w:bidi w:val="0"/>
              <w:spacing w:before="0" w:after="0"/>
              <w:ind w:left="0" w:right="0" w:hanging="0"/>
              <w:jc w:val="righ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debt outstanding (in millions)</w:t>
            </w:r>
          </w:p>
        </w:tc>
        <w:tc>
          <w:tcPr>
            <w:tcW w:w="146" w:type="dxa"/>
            <w:tcBorders/>
            <w:vAlign w:val="center"/>
          </w:tcPr>
          <w:p>
            <w:pPr>
              <w:pStyle w:val="TableContents"/>
              <w:bidi w:val="0"/>
              <w:spacing w:before="0" w:after="0"/>
              <w:ind w:left="0" w:right="0" w:hanging="0"/>
              <w:jc w:val="righ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445.6</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interest rate</w:t>
            </w:r>
          </w:p>
        </w:tc>
        <w:tc>
          <w:tcPr>
            <w:tcW w:w="146" w:type="dxa"/>
            <w:tcBorders/>
            <w:vAlign w:val="center"/>
          </w:tcPr>
          <w:p>
            <w:pPr>
              <w:pStyle w:val="TableContents"/>
              <w:bidi w:val="0"/>
              <w:spacing w:before="0" w:after="0"/>
              <w:ind w:left="0" w:right="0" w:hanging="0"/>
              <w:jc w:val="righ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7.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Portfolio Company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and December 31, 2022, the Company had the following commitments to fund investments in current portfolio companies:</w:t>
      </w:r>
      <w:r>
        <w:rPr>
          <w:rFonts w:ascii="Times New Roman" w:hAnsi="Times New Roman"/>
          <w:sz w:val="20"/>
        </w:rPr>
        <w:t xml:space="preserve"> </w:t>
      </w:r>
    </w:p>
    <w:p>
      <w:pPr>
        <w:pStyle w:val="TextBody"/>
        <w:bidi w:val="0"/>
        <w:spacing w:before="0" w:after="0"/>
        <w:jc w:val="left"/>
        <w:rPr/>
      </w:pPr>
      <w:r>
        <w:rPr/>
        <w:t> </w:t>
      </w:r>
    </w:p>
    <w:tbl>
      <w:tblPr>
        <w:tblW w:w="8885" w:type="dxa"/>
        <w:jc w:val="left"/>
        <w:tblInd w:w="0" w:type="dxa"/>
        <w:tblLayout w:type="fixed"/>
        <w:tblCellMar>
          <w:top w:w="28" w:type="dxa"/>
          <w:left w:w="28" w:type="dxa"/>
          <w:bottom w:w="28" w:type="dxa"/>
          <w:right w:w="28" w:type="dxa"/>
        </w:tblCellMar>
      </w:tblPr>
      <w:tblGrid>
        <w:gridCol w:w="4891"/>
        <w:gridCol w:w="146"/>
        <w:gridCol w:w="306"/>
        <w:gridCol w:w="1134"/>
        <w:gridCol w:w="146"/>
        <w:gridCol w:w="146"/>
        <w:gridCol w:w="409"/>
        <w:gridCol w:w="1316"/>
        <w:gridCol w:w="3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Avalara, Inc. - Revolver</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13,636</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Banyan Software Holdings, LLC - Delayed Draw</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BTRS Holdings, Inc. - Delayed Draw &amp; Revolver</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25,915</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Coupa Holdings, LLC - Delayed Draw &amp; Revolver</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Disco Parent, Inc. - Revolver</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Edge Bidco B.V - Delayed Draw &amp; Revolver</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Erling Lux Bidco SARL - Delayed Draw &amp; Revolver</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5,618</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Hornetsecurity Holding GmbH - Delayed Draw &amp; Revolver</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2,041</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Laramie Energy, LLC - Delayed Draw</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OutSystems Luxco SARL - Delayed Draw</w:t>
            </w:r>
          </w:p>
        </w:tc>
        <w:tc>
          <w:tcPr>
            <w:tcW w:w="146" w:type="dxa"/>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2,137</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Ping Identity Holding Corp. - Revolver</w:t>
            </w:r>
          </w:p>
        </w:tc>
        <w:tc>
          <w:tcPr>
            <w:tcW w:w="146" w:type="dxa"/>
            <w:tcBorders/>
            <w:vAlign w:val="center"/>
          </w:tcPr>
          <w:p>
            <w:pPr>
              <w:pStyle w:val="TableContents"/>
              <w:bidi w:val="0"/>
              <w:spacing w:before="0" w:after="0"/>
              <w:ind w:left="0" w:right="0" w:hanging="0"/>
              <w:jc w:val="right"/>
              <w:rPr/>
            </w:pPr>
            <w:r>
              <w:rPr/>
              <w:t> </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89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sz w:val="20"/>
              </w:rPr>
              <w:t>Total Portfolio Company Commitments</w:t>
            </w:r>
            <w:r>
              <w:rPr>
                <w:rFonts w:ascii="Times New Roman" w:hAnsi="Times New Roman"/>
                <w:sz w:val="20"/>
              </w:rPr>
              <w:t xml:space="preserve"> </w:t>
            </w:r>
            <w:r>
              <w:rPr>
                <w:rFonts w:ascii="Times New Roman;serif" w:hAnsi="Times New Roman;serif"/>
                <w:b/>
                <w:sz w:val="13"/>
              </w:rPr>
              <w:t>(1)(2)</w:t>
            </w:r>
          </w:p>
        </w:tc>
        <w:tc>
          <w:tcPr>
            <w:tcW w:w="146" w:type="dxa"/>
            <w:tcBorders/>
            <w:vAlign w:val="center"/>
          </w:tcPr>
          <w:p>
            <w:pPr>
              <w:pStyle w:val="TableContents"/>
              <w:bidi w:val="0"/>
              <w:spacing w:before="0" w:after="0"/>
              <w:ind w:left="0" w:right="0" w:hanging="0"/>
              <w:jc w:val="right"/>
              <w:rPr/>
            </w:pPr>
            <w:r>
              <w:rPr/>
              <w:t> </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62,983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xml:space="preserve">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 </w:t>
      </w:r>
    </w:p>
    <w:p>
      <w:pPr>
        <w:pStyle w:val="TextBody"/>
        <w:bidi w:val="0"/>
        <w:spacing w:before="40" w:after="0"/>
        <w:jc w:val="left"/>
        <w:rPr>
          <w:rFonts w:ascii="Times New Roman" w:hAnsi="Times New Roman"/>
          <w:b w:val="false"/>
          <w:sz w:val="20"/>
        </w:rPr>
      </w:pPr>
      <w:r>
        <w:rPr>
          <w:rFonts w:ascii="Times New Roman" w:hAnsi="Times New Roman"/>
          <w:b w:val="false"/>
          <w:sz w:val="20"/>
        </w:rPr>
        <w:t>(2)</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The Company’s estimate of the fair value of the current investments in these portfolio companies includes an analysis of the fair value of any unfunded commitments.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Other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the Company did not have any unfunded commitments to fund investments to new borrowers that were not current portfolio companies as of such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From time to time, the Company may become a party to certain legal proceedings incidental to the normal course of its business. As of March 31, 2023, management is not aware of any material pending or threatened litigation that would require accounting recognition or financial statement disclosure.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8. Net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its formation, the Company has the authority to issue an unlimited number of Common Shares of beneficial interest at $0.001</w:t>
      </w:r>
      <w:r>
        <w:rPr>
          <w:rFonts w:ascii="Times New Roman" w:hAnsi="Times New Roman"/>
          <w:sz w:val="20"/>
        </w:rPr>
        <w:t xml:space="preserve"> </w:t>
      </w:r>
      <w:r>
        <w:rPr>
          <w:rFonts w:ascii="Times New Roman;serif" w:hAnsi="Times New Roman;serif"/>
          <w:b w:val="false"/>
          <w:sz w:val="20"/>
        </w:rPr>
        <w:t>per share par value. On June 24, 2022, our Adviser purchased $30</w:t>
      </w:r>
      <w:r>
        <w:rPr>
          <w:rFonts w:ascii="Times New Roman" w:hAnsi="Times New Roman"/>
          <w:sz w:val="20"/>
        </w:rPr>
        <w:t xml:space="preserve"> </w:t>
      </w:r>
      <w:r>
        <w:rPr>
          <w:rFonts w:ascii="Times New Roman;serif" w:hAnsi="Times New Roman;serif"/>
          <w:b w:val="false"/>
          <w:sz w:val="20"/>
        </w:rPr>
        <w:t>thousand of Common Shares of the Company at a price of $25.00</w:t>
      </w:r>
      <w:r>
        <w:rPr>
          <w:rFonts w:ascii="Times New Roman" w:hAnsi="Times New Roman"/>
          <w:sz w:val="20"/>
        </w:rPr>
        <w:t xml:space="preserve"> </w:t>
      </w:r>
      <w:r>
        <w:rPr>
          <w:rFonts w:ascii="Times New Roman;serif" w:hAnsi="Times New Roman;serif"/>
          <w:b w:val="false"/>
          <w:sz w:val="20"/>
        </w:rPr>
        <w:t>per Common Share as our initial capital. These Common Shares were issued and sold in reliance upon Section 4(a)(2) of the Securities Act, which provides an exemption from the registration requirements of the 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br/>
        <w:t>During the period ended March 31, 2023, the Company entered into subscription agreements (the “Subscription Agreements”) with investors providing for the private placement of the Company’s Shares. Under the terms of the Subscription Agreements, investors are required to fund drawdowns to purchase the Company’s Shares up to the amount of their respective Capital Commitment on an as-needed basis each time the Company delivers a drawdown notice to its investors. As of March 31, 2023, the Company had received Capital Commitments totaling $2.8</w:t>
      </w:r>
      <w:r>
        <w:rPr>
          <w:rFonts w:ascii="Times New Roman" w:hAnsi="Times New Roman"/>
          <w:sz w:val="20"/>
        </w:rPr>
        <w:t xml:space="preserve"> </w:t>
      </w:r>
      <w:r>
        <w:rPr>
          <w:rFonts w:ascii="Times New Roman;serif" w:hAnsi="Times New Roman;serif"/>
          <w:b w:val="false"/>
          <w:sz w:val="20"/>
        </w:rPr>
        <w:t>billion ($2.0</w:t>
      </w:r>
      <w:r>
        <w:rPr>
          <w:rFonts w:ascii="Times New Roman" w:hAnsi="Times New Roman"/>
          <w:sz w:val="20"/>
        </w:rPr>
        <w:t xml:space="preserve"> </w:t>
      </w:r>
      <w:r>
        <w:rPr>
          <w:rFonts w:ascii="Times New Roman;serif" w:hAnsi="Times New Roman;serif"/>
          <w:b w:val="false"/>
          <w:sz w:val="20"/>
        </w:rPr>
        <w:t>billion remaining undrawn).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total Common Shares issued and proceeds received related to the Company’s capital drawdowns delivered pursuant to the Subscription Agreements for the three months ended March 31, 2023.</w:t>
      </w:r>
      <w:r>
        <w:rPr>
          <w:rFonts w:ascii="Times New Roman" w:hAnsi="Times New Roman"/>
          <w:sz w:val="20"/>
        </w:rPr>
        <w:t xml:space="preserve"> </w:t>
      </w:r>
    </w:p>
    <w:p>
      <w:pPr>
        <w:pStyle w:val="TextBody"/>
        <w:bidi w:val="0"/>
        <w:spacing w:before="0" w:after="0"/>
        <w:jc w:val="left"/>
        <w:rPr/>
      </w:pPr>
      <w:r>
        <w:rPr/>
        <w:t> </w:t>
      </w:r>
    </w:p>
    <w:tbl>
      <w:tblPr>
        <w:tblW w:w="6945" w:type="dxa"/>
        <w:jc w:val="left"/>
        <w:tblInd w:w="0" w:type="dxa"/>
        <w:tblLayout w:type="fixed"/>
        <w:tblCellMar>
          <w:top w:w="28" w:type="dxa"/>
          <w:left w:w="28" w:type="dxa"/>
          <w:bottom w:w="28" w:type="dxa"/>
          <w:right w:w="28" w:type="dxa"/>
        </w:tblCellMar>
      </w:tblPr>
      <w:tblGrid>
        <w:gridCol w:w="2281"/>
        <w:gridCol w:w="146"/>
        <w:gridCol w:w="351"/>
        <w:gridCol w:w="2244"/>
        <w:gridCol w:w="146"/>
        <w:gridCol w:w="146"/>
        <w:gridCol w:w="306"/>
        <w:gridCol w:w="1134"/>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Common Share Issuance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5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Common Shares 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Proceeds Received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21, 2023</w:t>
            </w:r>
          </w:p>
        </w:tc>
        <w:tc>
          <w:tcPr>
            <w:tcW w:w="146" w:type="dxa"/>
            <w:tcBorders/>
            <w:vAlign w:val="center"/>
          </w:tcPr>
          <w:p>
            <w:pPr>
              <w:pStyle w:val="TableContents"/>
              <w:bidi w:val="0"/>
              <w:spacing w:before="0" w:after="0"/>
              <w:ind w:left="0" w:right="0" w:hanging="0"/>
              <w:jc w:val="right"/>
              <w:rPr/>
            </w:pPr>
            <w:r>
              <w:rPr/>
              <w:t> </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9,643,813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9,643,813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9. Earnings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the computation of basic and diluted earnings per common share:</w:t>
      </w:r>
      <w:r>
        <w:rPr>
          <w:rFonts w:ascii="Times New Roman" w:hAnsi="Times New Roman"/>
          <w:sz w:val="20"/>
        </w:rPr>
        <w:t xml:space="preserve"> </w:t>
      </w:r>
    </w:p>
    <w:p>
      <w:pPr>
        <w:pStyle w:val="TextBody"/>
        <w:bidi w:val="0"/>
        <w:spacing w:before="120" w:after="0"/>
        <w:jc w:val="left"/>
        <w:rPr/>
      </w:pPr>
      <w:r>
        <w:rPr/>
        <w:t> </w:t>
      </w:r>
    </w:p>
    <w:tbl>
      <w:tblPr>
        <w:tblW w:w="8753" w:type="dxa"/>
        <w:jc w:val="left"/>
        <w:tblInd w:w="0" w:type="dxa"/>
        <w:tblLayout w:type="fixed"/>
        <w:tblCellMar>
          <w:top w:w="28" w:type="dxa"/>
          <w:left w:w="28" w:type="dxa"/>
          <w:bottom w:w="28" w:type="dxa"/>
          <w:right w:w="28" w:type="dxa"/>
        </w:tblCellMar>
      </w:tblPr>
      <w:tblGrid>
        <w:gridCol w:w="6316"/>
        <w:gridCol w:w="146"/>
        <w:gridCol w:w="355"/>
        <w:gridCol w:w="1745"/>
        <w:gridCol w:w="19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191" w:type="dxa"/>
            <w:tcBorders/>
            <w:vAlign w:val="center"/>
          </w:tcPr>
          <w:p>
            <w:pPr>
              <w:pStyle w:val="TableContents"/>
              <w:bidi w:val="0"/>
              <w:spacing w:before="0" w:after="0"/>
              <w:ind w:left="0" w:right="0" w:hanging="0"/>
              <w:jc w:val="center"/>
              <w:rPr/>
            </w:pPr>
            <w:r>
              <w:rPr/>
              <w:t> </w:t>
            </w:r>
          </w:p>
        </w:tc>
      </w:tr>
      <w:tr>
        <w:trPr/>
        <w:tc>
          <w:tcPr>
            <w:tcW w:w="6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Earnings per common share—basic and diluted</w:t>
            </w:r>
          </w:p>
        </w:tc>
        <w:tc>
          <w:tcPr>
            <w:tcW w:w="146" w:type="dxa"/>
            <w:tcBorders/>
            <w:vAlign w:val="center"/>
          </w:tcPr>
          <w:p>
            <w:pPr>
              <w:pStyle w:val="TableContents"/>
              <w:bidi w:val="0"/>
              <w:spacing w:before="0" w:after="0"/>
              <w:ind w:left="0" w:right="0" w:hanging="0"/>
              <w:jc w:val="left"/>
              <w:rPr/>
            </w:pPr>
            <w:r>
              <w:rPr/>
              <w:t> </w:t>
            </w:r>
          </w:p>
        </w:tc>
        <w:tc>
          <w:tcPr>
            <w:tcW w:w="210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28,218</w:t>
            </w:r>
          </w:p>
        </w:tc>
        <w:tc>
          <w:tcPr>
            <w:tcW w:w="19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of Common Shares outstanding—basic and diluted</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23,060,716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common share—basic and diluted</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 xml:space="preserve">10. Dividends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dividends declared during the three months ended March 31, 2023:</w:t>
      </w:r>
    </w:p>
    <w:p>
      <w:pPr>
        <w:pStyle w:val="TextBody"/>
        <w:bidi w:val="0"/>
        <w:spacing w:before="0" w:after="0"/>
        <w:jc w:val="left"/>
        <w:rPr/>
      </w:pPr>
      <w:r>
        <w:rPr/>
        <w:t> </w:t>
      </w:r>
    </w:p>
    <w:tbl>
      <w:tblPr>
        <w:tblW w:w="8244" w:type="dxa"/>
        <w:jc w:val="left"/>
        <w:tblInd w:w="0" w:type="dxa"/>
        <w:tblLayout w:type="fixed"/>
        <w:tblCellMar>
          <w:top w:w="28" w:type="dxa"/>
          <w:left w:w="28" w:type="dxa"/>
          <w:bottom w:w="28" w:type="dxa"/>
          <w:right w:w="28" w:type="dxa"/>
        </w:tblCellMar>
      </w:tblPr>
      <w:tblGrid>
        <w:gridCol w:w="2281"/>
        <w:gridCol w:w="346"/>
        <w:gridCol w:w="751"/>
        <w:gridCol w:w="146"/>
        <w:gridCol w:w="1396"/>
        <w:gridCol w:w="146"/>
        <w:gridCol w:w="1141"/>
        <w:gridCol w:w="146"/>
        <w:gridCol w:w="467"/>
        <w:gridCol w:w="1033"/>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5226" w:type="dxa"/>
            <w:gridSpan w:val="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5226" w:type="dxa"/>
            <w:gridSpan w:val="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346" w:type="dxa"/>
            <w:tcBorders/>
            <w:vAlign w:val="center"/>
          </w:tcPr>
          <w:p>
            <w:pPr>
              <w:pStyle w:val="TableContents"/>
              <w:bidi w:val="0"/>
              <w:spacing w:before="0" w:after="0"/>
              <w:ind w:left="0" w:right="0" w:hanging="0"/>
              <w:jc w:val="righ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 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30, 2023</w:t>
            </w:r>
          </w:p>
        </w:tc>
        <w:tc>
          <w:tcPr>
            <w:tcW w:w="346" w:type="dxa"/>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vAlign w:val="center"/>
          </w:tcPr>
          <w:p>
            <w:pPr>
              <w:pStyle w:val="TableContents"/>
              <w:bidi w:val="0"/>
              <w:spacing w:before="0" w:after="0"/>
              <w:ind w:left="0" w:right="0" w:hanging="0"/>
              <w:jc w:val="righ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May 9, 2023</w:t>
            </w:r>
          </w:p>
        </w:tc>
        <w:tc>
          <w:tcPr>
            <w:tcW w:w="146" w:type="dxa"/>
            <w:tcBorders/>
            <w:vAlign w:val="center"/>
          </w:tcPr>
          <w:p>
            <w:pPr>
              <w:pStyle w:val="TableContents"/>
              <w:bidi w:val="0"/>
              <w:spacing w:before="0" w:after="0"/>
              <w:ind w:left="0" w:right="0" w:hanging="0"/>
              <w:jc w:val="right"/>
              <w:rPr/>
            </w:pPr>
            <w:r>
              <w:rPr/>
              <w:t> </w:t>
            </w:r>
          </w:p>
        </w:tc>
        <w:tc>
          <w:tcPr>
            <w:tcW w:w="4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0.40</w:t>
            </w:r>
          </w:p>
        </w:tc>
        <w:tc>
          <w:tcPr>
            <w:tcW w:w="391" w:type="dxa"/>
            <w:tcBorders/>
            <w:vAlign w:val="center"/>
          </w:tcPr>
          <w:p>
            <w:pPr>
              <w:pStyle w:val="TableContents"/>
              <w:bidi w:val="0"/>
              <w:spacing w:before="0" w:after="0"/>
              <w:ind w:left="0" w:right="0" w:firstLine="200"/>
              <w:jc w:val="left"/>
              <w:rPr/>
            </w:pPr>
            <w:r>
              <w:rPr/>
              <w:t> </w:t>
            </w:r>
          </w:p>
        </w:tc>
      </w:tr>
      <w:tr>
        <w:trPr/>
        <w:tc>
          <w:tcPr>
            <w:tcW w:w="228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Dividends Declared</w:t>
            </w:r>
          </w:p>
        </w:tc>
        <w:tc>
          <w:tcPr>
            <w:tcW w:w="346" w:type="dxa"/>
            <w:tcBorders/>
            <w:vAlign w:val="center"/>
          </w:tcPr>
          <w:p>
            <w:pPr>
              <w:pStyle w:val="TableContents"/>
              <w:bidi w:val="0"/>
              <w:spacing w:before="0" w:after="0"/>
              <w:ind w:left="0" w:right="0" w:firstLine="200"/>
              <w:jc w:val="right"/>
              <w:rPr/>
            </w:pPr>
            <w:r>
              <w:rPr/>
              <w:t> </w:t>
            </w:r>
          </w:p>
        </w:tc>
        <w:tc>
          <w:tcPr>
            <w:tcW w:w="75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3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46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0.40</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11. Financial Highlights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per share data and ratios have been derived from information provided in the consolidated financial statements. The following are the financial highlights for one share of Common Shares outstanding for the three months ended March 31, 2023.</w:t>
      </w:r>
    </w:p>
    <w:tbl>
      <w:tblPr>
        <w:tblW w:w="7529" w:type="dxa"/>
        <w:jc w:val="left"/>
        <w:tblInd w:w="0" w:type="dxa"/>
        <w:tblLayout w:type="fixed"/>
        <w:tblCellMar>
          <w:top w:w="28" w:type="dxa"/>
          <w:left w:w="28" w:type="dxa"/>
          <w:bottom w:w="28" w:type="dxa"/>
          <w:right w:w="28" w:type="dxa"/>
        </w:tblCellMar>
      </w:tblPr>
      <w:tblGrid>
        <w:gridCol w:w="4621"/>
        <w:gridCol w:w="146"/>
        <w:gridCol w:w="355"/>
        <w:gridCol w:w="1745"/>
        <w:gridCol w:w="271"/>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 xml:space="preserve">Per Share Data </w:t>
            </w:r>
            <w:r>
              <w:rPr>
                <w:rFonts w:ascii="Times New Roman;serif" w:hAnsi="Times New Roman;serif"/>
                <w:b/>
                <w:sz w:val="13"/>
              </w:rPr>
              <w:t>(4)</w:t>
            </w:r>
          </w:p>
        </w:tc>
        <w:tc>
          <w:tcPr>
            <w:tcW w:w="146" w:type="dxa"/>
            <w:tcBorders/>
            <w:vAlign w:val="center"/>
          </w:tcPr>
          <w:p>
            <w:pPr>
              <w:pStyle w:val="TableContents"/>
              <w:bidi w:val="0"/>
              <w:spacing w:before="0" w:after="0"/>
              <w:ind w:left="0" w:right="0" w:hanging="0"/>
              <w:jc w:val="left"/>
              <w:rPr/>
            </w:pPr>
            <w:r>
              <w:rPr/>
              <w:t> </w:t>
            </w:r>
          </w:p>
        </w:tc>
        <w:tc>
          <w:tcPr>
            <w:tcW w:w="2100"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 value, beginning of period</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24.98</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investment income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0.66</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realized and unrealized </w:t>
              <w:br/>
              <w:t xml:space="preserve">   gain (loss)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6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from operations</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Common Share Issuance</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declared</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increase (decrease) in net assets</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Asset Value, End of Period</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 return based on net asset</w:t>
              <w:br/>
              <w:t xml:space="preserve">   value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shares outstanding, end of period</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31,525,841</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 xml:space="preserve">Ratios / Supplemental Data </w:t>
            </w:r>
            <w:r>
              <w:rPr>
                <w:rFonts w:ascii="Times New Roman;serif" w:hAnsi="Times New Roman;serif"/>
                <w:b/>
                <w:sz w:val="13"/>
              </w:rPr>
              <w:t>(3)</w:t>
            </w:r>
          </w:p>
        </w:tc>
        <w:tc>
          <w:tcPr>
            <w:tcW w:w="146" w:type="dxa"/>
            <w:tcBorders/>
            <w:vAlign w:val="center"/>
          </w:tcPr>
          <w:p>
            <w:pPr>
              <w:pStyle w:val="TableContents"/>
              <w:bidi w:val="0"/>
              <w:spacing w:before="0" w:after="0"/>
              <w:ind w:left="0" w:right="0" w:hanging="0"/>
              <w:jc w:val="left"/>
              <w:rPr/>
            </w:pPr>
            <w:r>
              <w:rPr/>
              <w:t> </w:t>
            </w:r>
          </w:p>
        </w:tc>
        <w:tc>
          <w:tcPr>
            <w:tcW w:w="210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Ratio of gross expenses to average</w:t>
              <w:br/>
              <w:t>   net assets without management fee waiver</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Ratio of net expenses to average</w:t>
              <w:br/>
              <w:t>   net assets with management fee waiver</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Ratio of net investment income </w:t>
              <w:br/>
              <w:t>     to average net assets without management fee waiver</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Ratio of net investment income </w:t>
              <w:br/>
              <w:t>     to average net assets with management fee waiver</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Portfolio turnover</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assets, end of period</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812,319</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per share data was derived by using the weighted average Common Shares outstanding during the period.</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sz w:val="24"/>
        </w:rPr>
      </w:pPr>
      <w:r>
        <w:rPr>
          <w:rFonts w:ascii="Times New Roman;serif" w:hAnsi="Times New Roman;serif"/>
          <w:b w:val="false"/>
          <w:sz w:val="20"/>
        </w:rPr>
        <w:t>Total return based on net asset value is calculated as the change in net asset value per share during the period plus declared dividends per share, divided by the beginning net asset value per share.</w:t>
      </w:r>
      <w:r>
        <w:rPr>
          <w:rFonts w:ascii="Times New Roman;serif" w:hAnsi="Times New Roman;serif"/>
          <w:sz w:val="24"/>
        </w:rPr>
        <w:t xml:space="preserve">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ratios, excluding nonrecurring expenses, such as organization costs, are annualized.</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jc w:val="left"/>
        <w:rPr>
          <w:rFonts w:ascii="Times New Roman;serif" w:hAnsi="Times New Roman;serif"/>
          <w:b w:val="false"/>
          <w:sz w:val="20"/>
        </w:rPr>
      </w:pPr>
      <w:r>
        <w:rPr>
          <w:rFonts w:ascii="Times New Roman;serif" w:hAnsi="Times New Roman;serif"/>
          <w:b w:val="false"/>
          <w:sz w:val="20"/>
        </w:rPr>
        <w:t>Table may not sum due to rounding.</w:t>
      </w:r>
    </w:p>
    <w:p>
      <w:pPr>
        <w:pStyle w:val="TextBody"/>
        <w:bidi w:val="0"/>
        <w:spacing w:before="240" w:after="0"/>
        <w:jc w:val="left"/>
        <w:rPr>
          <w:rFonts w:ascii="Times New Roman;serif" w:hAnsi="Times New Roman;serif"/>
          <w:b/>
          <w:sz w:val="20"/>
        </w:rPr>
      </w:pPr>
      <w:r>
        <w:rPr>
          <w:rFonts w:ascii="Times New Roman;serif" w:hAnsi="Times New Roman;serif"/>
          <w:b/>
          <w:sz w:val="20"/>
        </w:rPr>
        <w:t>12. Subsequent Events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period ended March 31,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Sixth Street Lending Partners is a Delaware statutory trust formed on April 5, 2022. The Adviser is our external manager. We have three wholly owned subsidiaries, SSLP Lending, LLC, a Delaware limited liability company, which has applied for a California finance lender and broker license, Sixth Street LP Holding, LLC and Sixth Street LP Holding II, LLC in which we may hold certain investments.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elected to be regulated as a BDC under the 1940 Act and intend to elect to be treated as a RIC under the Code. As a result, we are required to comply with various statutory and regulatory requirements, such as: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requirement to invest at least 70% of our assets in “qualifying assets”;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source of income limitations;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asset diversification requirements;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360" w:after="0"/>
        <w:jc w:val="left"/>
        <w:rPr>
          <w:rFonts w:ascii="Times New Roman;serif" w:hAnsi="Times New Roman;serif"/>
          <w:b/>
          <w:sz w:val="20"/>
        </w:rPr>
      </w:pPr>
      <w:r>
        <w:rPr>
          <w:rFonts w:ascii="Times New Roman;serif" w:hAnsi="Times New Roman;serif"/>
          <w:b/>
          <w:sz w:val="20"/>
        </w:rPr>
        <w:t>Our Investment Framework</w:t>
      </w:r>
    </w:p>
    <w:p>
      <w:pPr>
        <w:pStyle w:val="TextBody"/>
        <w:bidi w:val="0"/>
        <w:spacing w:before="120" w:after="0"/>
        <w:jc w:val="left"/>
        <w:rPr>
          <w:rFonts w:ascii="Times New Roman" w:hAnsi="Times New Roman"/>
          <w:sz w:val="20"/>
        </w:rPr>
      </w:pPr>
      <w:r>
        <w:rPr>
          <w:rFonts w:ascii="Times New Roman;serif" w:hAnsi="Times New Roman;serif"/>
          <w:b w:val="false"/>
          <w:sz w:val="20"/>
        </w:rPr>
        <w:t>Our investment objective is to generate current income by targeting investments with favorable “risk-adjusted returns,” which are expected returns that are adjusted based on the levels of risk associated with the 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seek to create a portfolio over time that includes primarily senior secured investments by investing approximately $125 million to $300 million of capital, on average, across our core positions of upper middle-market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debt in which we invest typically is not rated by any rating agency, but if these instruments were rated, they would likely receive a rating of below investment grade (that is, below BBB- or Baa3), which is often referred to as “junk.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companies in which we invest use our capital to support organic growth, acquisitions, market or product expansion and recapitalizations (including restructurings). As of March 31, 2023, the largest single investment based on fair value represented 11.7% of our total investment portfolio.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the average investment size in each of our portfolio companies was approximately $78.9 million based on fair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Through our Adviser, we consider potential investments utilizing a four-tiered investment framework and against our existing portfolio as a whole: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Business and sector selection.</w:t>
      </w:r>
      <w:r>
        <w:rPr>
          <w:rFonts w:ascii="Times New Roman" w:hAnsi="Times New Roman"/>
          <w:sz w:val="20"/>
        </w:rPr>
        <w:t xml:space="preserve"> </w:t>
      </w:r>
      <w:r>
        <w:rPr>
          <w:rFonts w:ascii="Times New Roman;serif" w:hAnsi="Times New Roman;serif"/>
          <w:b w:val="false"/>
          <w:sz w:val="20"/>
        </w:rPr>
        <w:t>We will focus on companies with enterprise values above $750 million. When reviewing potential investments, we will seek to invest in businesses with high marginal cash flow, recurring revenue streams and where we believe credit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the largest industry represented 21.3% of our total investment portfolio based on fair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Investment Structuring.</w:t>
      </w:r>
      <w:r>
        <w:rPr>
          <w:rFonts w:ascii="Times New Roman" w:hAnsi="Times New Roman"/>
          <w:sz w:val="20"/>
        </w:rPr>
        <w:t xml:space="preserve"> </w:t>
      </w:r>
      <w:r>
        <w:rPr>
          <w:rFonts w:ascii="Times New Roman;serif" w:hAnsi="Times New Roman;serif"/>
          <w:b w:val="false"/>
          <w:sz w:val="20"/>
        </w:rPr>
        <w:t>We focus on investing at the top of the capital structure and protecting that position. As of March 31, 2023, approximately 98.7% of our portfolio was invested in secured debt, including 98.7%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2023, the weighted average term on new debt investment commitments in new portfolio companies was 5.5 years.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Deal Dynamics.</w:t>
      </w:r>
      <w:r>
        <w:rPr>
          <w:rFonts w:ascii="Times New Roman" w:hAnsi="Times New Roman"/>
          <w:sz w:val="20"/>
        </w:rPr>
        <w:t xml:space="preserve"> </w:t>
      </w:r>
      <w:r>
        <w:rPr>
          <w:rFonts w:ascii="Times New Roman;serif" w:hAnsi="Times New Roman;serif"/>
          <w:b w:val="false"/>
          <w:sz w:val="20"/>
        </w:rPr>
        <w:t>We will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pStyle w:val="TextBody"/>
        <w:bidi w:val="0"/>
        <w:spacing w:before="240" w:after="0"/>
        <w:jc w:val="left"/>
        <w:rPr>
          <w:rFonts w:ascii="Times New Roman" w:hAnsi="Times New Roman"/>
          <w:sz w:val="20"/>
        </w:rPr>
      </w:pPr>
      <w:r>
        <w:rPr>
          <w:rFonts w:ascii="Times New Roman;serif" w:hAnsi="Times New Roman;serif"/>
          <w:b w:val="false"/>
          <w:i/>
          <w:sz w:val="20"/>
        </w:rPr>
        <w:t xml:space="preserve">Risk Mitigation. </w:t>
      </w:r>
      <w:r>
        <w:rPr>
          <w:rFonts w:ascii="Times New Roman;serif" w:hAnsi="Times New Roman;serif"/>
          <w:b w:val="false"/>
          <w:sz w:val="20"/>
        </w:rPr>
        <w:t>We seek to mitigate non-credit-related risk on our returns in several ways, including call protection provisions to protect future interest income. As of March 31, 2023, we had call protection on 100% of our debt investments based on fair value, with weighted average call prices of 105.5% for the first year, 102.7% for the second year and 101.1% for the third year, in each case from the date of the initial investment. As of March 31, 2023, 100% of our debt investments based on fair value bore interest at floating rates, with 100%</w:t>
      </w:r>
      <w:r>
        <w:rPr>
          <w:rFonts w:ascii="Times New Roman" w:hAnsi="Times New Roman"/>
          <w:sz w:val="20"/>
        </w:rPr>
        <w:t xml:space="preserve"> </w:t>
      </w:r>
      <w:r>
        <w:rPr>
          <w:rFonts w:ascii="Times New Roman;serif" w:hAnsi="Times New Roman;serif"/>
          <w:b w:val="false"/>
          <w:sz w:val="20"/>
        </w:rPr>
        <w:t>of these subject to interest rate floors, which we believe helps act as a portfolio-wide hedge against inflation.</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Relationship with our Adviser and Sixth Street</w:t>
      </w:r>
    </w:p>
    <w:p>
      <w:pPr>
        <w:pStyle w:val="TextBody"/>
        <w:bidi w:val="0"/>
        <w:spacing w:before="120" w:after="0"/>
        <w:jc w:val="left"/>
        <w:rPr>
          <w:rFonts w:ascii="Times New Roman" w:hAnsi="Times New Roman"/>
          <w:sz w:val="20"/>
        </w:rPr>
      </w:pPr>
      <w:r>
        <w:rPr>
          <w:rFonts w:ascii="Times New Roman;serif" w:hAnsi="Times New Roman;serif"/>
          <w:b w:val="false"/>
          <w:sz w:val="20"/>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Sixth Street is a global investment business with over $65 billion of assets under management as of March 31,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500 investment and operating professionals. As of March 31, 2023, forty-six (46) of these personnel are dedicated to direct lending, including thirty-six (36) investment professionals.</w:t>
      </w:r>
    </w:p>
    <w:p>
      <w:pPr>
        <w:pStyle w:val="TextBody"/>
        <w:bidi w:val="0"/>
        <w:spacing w:before="240" w:after="0"/>
        <w:jc w:val="left"/>
        <w:rPr>
          <w:rFonts w:ascii="Times New Roman" w:hAnsi="Times New Roman"/>
          <w:sz w:val="20"/>
        </w:rPr>
      </w:pPr>
      <w:r>
        <w:rPr>
          <w:rFonts w:ascii="Times New Roman;serif" w:hAnsi="Times New Roman;serif"/>
          <w:b w:val="false"/>
          <w:sz w:val="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pStyle w:val="TextBody"/>
        <w:bidi w:val="0"/>
        <w:spacing w:before="240" w:after="0"/>
        <w:jc w:val="left"/>
        <w:rPr>
          <w:rFonts w:ascii="Times New Roman" w:hAnsi="Times New Roman"/>
          <w:sz w:val="20"/>
        </w:rPr>
      </w:pPr>
      <w:r>
        <w:rPr>
          <w:rFonts w:ascii="Times New Roman;serif" w:hAnsi="Times New Roman;serif"/>
          <w:b w:val="false"/>
          <w:sz w:val="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Key Components of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focus primarily on the direct origination of loans to upper middle-market companies domiciled in the United States.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as part of our risk strategy on investments, we may reduce certain levels of investments through partial sales or syndication to additional investors.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Revenues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March 31, 2023, 100% of these investments based on fair value bore interest at a floating rate, with 100% of these subject to interest rate floors. Interest on debt investments is generally payable monthly or quarterly.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Dividend income on common equity investments is recorded on the record date for private portfolio companies or on the ex-dividend date for publicly traded portfolio companies.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portfolio activity may also reflect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pStyle w:val="TextBody"/>
        <w:bidi w:val="0"/>
        <w:spacing w:before="360" w:after="0"/>
        <w:jc w:val="left"/>
        <w:rPr>
          <w:rFonts w:ascii="Times New Roman" w:hAnsi="Times New Roman"/>
          <w:sz w:val="20"/>
        </w:rPr>
      </w:pPr>
      <w:r>
        <w:rPr>
          <w:rFonts w:ascii="Times New Roman;serif" w:hAnsi="Times New Roman;serif"/>
          <w:b/>
          <w:i/>
          <w:sz w:val="20"/>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r>
        <w:rPr>
          <w:rFonts w:ascii="Times New Roman" w:hAnsi="Times New Roman"/>
          <w:sz w:val="20"/>
        </w:rPr>
        <w:t xml:space="preserve"> </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calculating individual asset values and our net asset value (including the cost and expenses of any independent valuation firms);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any public offerings of our Common Shares and other securities, including registration and listing fees;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Management Fee and any Incentive Fee;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certain costs and expenses relating to distributions paid on our Common Shares;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administration fees payable under our Administration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debt service and other costs of borrowings or other financing arrangements;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Adviser’s allocable share of costs incurred in providing significant managerial assistance to those portfolio companies that request it;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amounts payable to third parties relating to, or associated with, making or holding investments;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transfer agent and custodial fees;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of hedging;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commissions and other compensation payable to brokers or dealers;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taxes;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Independent Trustees fees and expenses;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any reports, proxy statements or other notices to our shareholders (including printing and mailing costs), the costs of any shareholders’ meetings and the compensation of investor relations personnel responsible for the preparation of the foregoing and related matters;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fidelity bond;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trustees and officers/errors and omissions liability insurance, and any other insurance premiums;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indemnification payments;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direct costs and expenses of administration, including audit, accounting, consulting and legal costs;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all other expenses reasonably incurred by us in connection with making investments and administering our business. </w:t>
      </w:r>
    </w:p>
    <w:p>
      <w:pPr>
        <w:pStyle w:val="TextBody"/>
        <w:bidi w:val="0"/>
        <w:spacing w:before="240" w:after="0"/>
        <w:jc w:val="left"/>
        <w:rPr>
          <w:rFonts w:ascii="Times New Roman" w:hAnsi="Times New Roman"/>
          <w:sz w:val="20"/>
        </w:rPr>
      </w:pPr>
      <w:r>
        <w:rPr>
          <w:rFonts w:ascii="Times New Roman;serif" w:hAnsi="Times New Roman;serif"/>
          <w:b w:val="false"/>
          <w:sz w:val="20"/>
        </w:rPr>
        <w:t>We expect that during periods of asset growth, our general and administrative expenses will be relatively stable or will decline as a percentage of total assets, and will increase as a percentage of total assets during periods of asset declines.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Leverage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Market Trends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Subsequent to the global financial crisis, the implementation of regulatory changes such as Basel III requirements, Leverage Lending Guidance, and the Volker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0"/>
        <w:jc w:val="left"/>
        <w:rPr>
          <w:rFonts w:ascii="Times New Roman" w:hAnsi="Times New Roman"/>
          <w:sz w:val="20"/>
        </w:rPr>
      </w:pPr>
      <w:r>
        <w:rPr>
          <w:rFonts w:ascii="Times New Roman;serif" w:hAnsi="Times New Roman;serif"/>
          <w:b w:val="false"/>
          <w:sz w:val="20"/>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240" w:after="0"/>
        <w:jc w:val="left"/>
        <w:rPr>
          <w:rFonts w:ascii="Times New Roman" w:hAnsi="Times New Roman"/>
          <w:sz w:val="20"/>
        </w:rPr>
      </w:pPr>
      <w:r>
        <w:rPr>
          <w:rFonts w:ascii="Times New Roman;serif" w:hAnsi="Times New Roman;serif"/>
          <w:b/>
          <w:sz w:val="20"/>
        </w:rPr>
        <w:t>Portfolio and Investment Activity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our portfolio based on fair value consisted of 98.7% first-lien debt investments and 1.3% equity and other investments. As of December 31, 2022, our portfolio based on fair value consisted of 99.0% first-lien debt investments and 1.0% equity and other investments.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and December 31, 2022, our weighted average total yield of debt and income-producing securities at fair value (which includes interest income and amortization of fees and discounts) was 12.9% and 12.8% respectively, and our weighted average total yield of debt and income-producing securities at amortized cost (which includes interest income and amortization of fees and discounts) was 13.1% and 12.8%,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and December 31, 2022, we had investments in 16 and 10 portfolio companies, respectively, with an aggregate fair value of $1.3 billion and $808.8 million.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the principal amount of new investments funded was $430.2 million in six new portfolio companies. There have been no exits or repayments.</w:t>
      </w:r>
    </w:p>
    <w:p>
      <w:pPr>
        <w:pStyle w:val="TextBody"/>
        <w:bidi w:val="0"/>
        <w:spacing w:before="240" w:after="0"/>
        <w:jc w:val="left"/>
        <w:rPr>
          <w:rFonts w:ascii="Times New Roman" w:hAnsi="Times New Roman"/>
          <w:sz w:val="20"/>
        </w:rPr>
      </w:pPr>
      <w:r>
        <w:rPr>
          <w:rFonts w:ascii="Times New Roman;serif" w:hAnsi="Times New Roman;serif"/>
          <w:b w:val="false"/>
          <w:sz w:val="20"/>
        </w:rPr>
        <w:t>Our investment activity for the three months ended March 31, 2023 is presented below (information presented herein is at par value unless otherwise indicated).</w:t>
      </w:r>
      <w:r>
        <w:rPr>
          <w:rFonts w:ascii="Times New Roman" w:hAnsi="Times New Roman"/>
          <w:sz w:val="20"/>
        </w:rPr>
        <w:t xml:space="preserve"> </w:t>
      </w:r>
    </w:p>
    <w:p>
      <w:pPr>
        <w:pStyle w:val="TextBody"/>
        <w:bidi w:val="0"/>
        <w:spacing w:before="0" w:after="0"/>
        <w:jc w:val="left"/>
        <w:rPr/>
      </w:pPr>
      <w:r>
        <w:rPr/>
        <w:t> </w:t>
      </w:r>
    </w:p>
    <w:tbl>
      <w:tblPr>
        <w:tblW w:w="6388" w:type="dxa"/>
        <w:jc w:val="left"/>
        <w:tblInd w:w="0" w:type="dxa"/>
        <w:tblLayout w:type="fixed"/>
        <w:tblCellMar>
          <w:top w:w="28" w:type="dxa"/>
          <w:left w:w="28" w:type="dxa"/>
          <w:bottom w:w="28" w:type="dxa"/>
          <w:right w:w="28" w:type="dxa"/>
        </w:tblCellMar>
      </w:tblPr>
      <w:tblGrid>
        <w:gridCol w:w="4246"/>
        <w:gridCol w:w="146"/>
        <w:gridCol w:w="433"/>
        <w:gridCol w:w="1172"/>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New investment commitments: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4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Gross originations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984.8</w:t>
            </w:r>
          </w:p>
        </w:tc>
        <w:tc>
          <w:tcPr>
            <w:tcW w:w="391" w:type="dxa"/>
            <w:tcBorders/>
            <w:vAlign w:val="center"/>
          </w:tcPr>
          <w:p>
            <w:pPr>
              <w:pStyle w:val="TableContents"/>
              <w:bidi w:val="0"/>
              <w:spacing w:before="0" w:after="0"/>
              <w:ind w:left="0" w:right="0" w:firstLine="200"/>
              <w:jc w:val="left"/>
              <w:rPr/>
            </w:pPr>
            <w:r>
              <w:rPr/>
              <w:t> </w:t>
            </w:r>
          </w:p>
        </w:tc>
      </w:tr>
      <w:tr>
        <w:trPr/>
        <w:tc>
          <w:tcPr>
            <w:tcW w:w="424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Less: Syndications/sell downs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new investment commitments</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430.2</w:t>
            </w:r>
          </w:p>
        </w:tc>
        <w:tc>
          <w:tcPr>
            <w:tcW w:w="3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Principal amount of investments funded:</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First-lien</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421.6</w:t>
            </w:r>
          </w:p>
        </w:tc>
        <w:tc>
          <w:tcPr>
            <w:tcW w:w="391" w:type="dxa"/>
            <w:tcBorders/>
            <w:vAlign w:val="center"/>
          </w:tcPr>
          <w:p>
            <w:pPr>
              <w:pStyle w:val="TableContents"/>
              <w:bidi w:val="0"/>
              <w:spacing w:before="0" w:after="0"/>
              <w:ind w:left="0" w:right="0" w:firstLine="200"/>
              <w:jc w:val="left"/>
              <w:rPr/>
            </w:pPr>
            <w:r>
              <w:rPr/>
              <w:t> </w:t>
            </w:r>
          </w:p>
        </w:tc>
      </w:tr>
      <w:tr>
        <w:trPr/>
        <w:tc>
          <w:tcPr>
            <w:tcW w:w="42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and other</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430.2</w:t>
            </w:r>
          </w:p>
        </w:tc>
        <w:tc>
          <w:tcPr>
            <w:tcW w:w="3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Number of new investment commitments in</w:t>
              <w:br/>
              <w:t>   new portfolio companies</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Average new investment commitment amount in</w:t>
              <w:br/>
              <w:t>   new portfolio companies</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3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term for new investment</w:t>
              <w:br/>
              <w:t>   commitments in new portfolio companies</w:t>
              <w:br/>
              <w:t>   (in years)</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Percentage of new debt investment commitments </w:t>
              <w:br/>
              <w:t>   at floating rates</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interest rate of new</w:t>
              <w:br/>
              <w:t>   investment commitments</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Weighted average spread over reference rate of </w:t>
              <w:br/>
              <w:t>   new floating rate investment commitments</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Includes affiliates of Sixth Street.</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and December 31, 2022, our investments consisted of the following:</w:t>
      </w:r>
      <w:r>
        <w:rPr>
          <w:rFonts w:ascii="Times New Roman" w:hAnsi="Times New Roman"/>
          <w:sz w:val="20"/>
        </w:rPr>
        <w:t xml:space="preserve"> </w:t>
      </w:r>
    </w:p>
    <w:p>
      <w:pPr>
        <w:pStyle w:val="TextBody"/>
        <w:bidi w:val="0"/>
        <w:spacing w:before="0" w:after="0"/>
        <w:jc w:val="left"/>
        <w:rPr/>
      </w:pPr>
      <w:r>
        <w:rPr/>
        <w:t> </w:t>
      </w:r>
    </w:p>
    <w:tbl>
      <w:tblPr>
        <w:tblW w:w="8526" w:type="dxa"/>
        <w:jc w:val="left"/>
        <w:tblInd w:w="0" w:type="dxa"/>
        <w:tblLayout w:type="fixed"/>
        <w:tblCellMar>
          <w:top w:w="28" w:type="dxa"/>
          <w:left w:w="28" w:type="dxa"/>
          <w:bottom w:w="28" w:type="dxa"/>
          <w:right w:w="28" w:type="dxa"/>
        </w:tblCellMar>
      </w:tblPr>
      <w:tblGrid>
        <w:gridCol w:w="2506"/>
        <w:gridCol w:w="146"/>
        <w:gridCol w:w="211"/>
        <w:gridCol w:w="721"/>
        <w:gridCol w:w="246"/>
        <w:gridCol w:w="146"/>
        <w:gridCol w:w="282"/>
        <w:gridCol w:w="963"/>
        <w:gridCol w:w="246"/>
        <w:gridCol w:w="146"/>
        <w:gridCol w:w="239"/>
        <w:gridCol w:w="646"/>
        <w:gridCol w:w="246"/>
        <w:gridCol w:w="146"/>
        <w:gridCol w:w="336"/>
        <w:gridCol w:w="909"/>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6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801.2</w:t>
            </w:r>
          </w:p>
        </w:tc>
        <w:tc>
          <w:tcPr>
            <w:tcW w:w="391"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0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1,248.9</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We have no non-accrual investments as of March 31, 2023 or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weighted average yields and interest rates of our performing debt investments at fair value as of March 31, 2023 and December 31, 2022 were as follows:</w:t>
      </w:r>
      <w:r>
        <w:rPr>
          <w:rFonts w:ascii="Times New Roman" w:hAnsi="Times New Roman"/>
          <w:sz w:val="20"/>
        </w:rPr>
        <w:t xml:space="preserve"> </w:t>
      </w:r>
    </w:p>
    <w:p>
      <w:pPr>
        <w:pStyle w:val="TextBody"/>
        <w:bidi w:val="0"/>
        <w:spacing w:before="0" w:after="0"/>
        <w:jc w:val="left"/>
        <w:rPr/>
      </w:pPr>
      <w:r>
        <w:rPr/>
        <w:t> </w:t>
      </w:r>
    </w:p>
    <w:tbl>
      <w:tblPr>
        <w:tblW w:w="7925" w:type="dxa"/>
        <w:jc w:val="left"/>
        <w:tblInd w:w="0" w:type="dxa"/>
        <w:tblLayout w:type="fixed"/>
        <w:tblCellMar>
          <w:top w:w="28" w:type="dxa"/>
          <w:left w:w="28" w:type="dxa"/>
          <w:bottom w:w="28" w:type="dxa"/>
          <w:right w:w="28" w:type="dxa"/>
        </w:tblCellMar>
      </w:tblPr>
      <w:tblGrid>
        <w:gridCol w:w="4186"/>
        <w:gridCol w:w="146"/>
        <w:gridCol w:w="300"/>
        <w:gridCol w:w="960"/>
        <w:gridCol w:w="371"/>
        <w:gridCol w:w="146"/>
        <w:gridCol w:w="357"/>
        <w:gridCol w:w="1143"/>
        <w:gridCol w:w="31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Weighted average total yield of debt and income</w:t>
              <w:br/>
              <w:t xml:space="preserve">   producing securities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right"/>
              <w:rPr/>
            </w:pPr>
            <w:r>
              <w:rPr/>
              <w:t> </w:t>
            </w:r>
          </w:p>
        </w:tc>
        <w:tc>
          <w:tcPr>
            <w:tcW w:w="300"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interest rate of debt and income</w:t>
              <w:br/>
              <w:t>   producing securities</w:t>
            </w:r>
          </w:p>
        </w:tc>
        <w:tc>
          <w:tcPr>
            <w:tcW w:w="146" w:type="dxa"/>
            <w:tcBorders/>
            <w:vAlign w:val="center"/>
          </w:tcPr>
          <w:p>
            <w:pPr>
              <w:pStyle w:val="TableContents"/>
              <w:bidi w:val="0"/>
              <w:spacing w:before="0" w:after="0"/>
              <w:ind w:left="0" w:right="0" w:hanging="0"/>
              <w:jc w:val="right"/>
              <w:rPr/>
            </w:pPr>
            <w:r>
              <w:rPr/>
              <w:t> </w:t>
            </w:r>
          </w:p>
        </w:tc>
        <w:tc>
          <w:tcPr>
            <w:tcW w:w="300"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spread over reference rate of all</w:t>
              <w:br/>
              <w:t>   floating rate investments</w:t>
            </w:r>
          </w:p>
        </w:tc>
        <w:tc>
          <w:tcPr>
            <w:tcW w:w="146" w:type="dxa"/>
            <w:tcBorders/>
            <w:vAlign w:val="center"/>
          </w:tcPr>
          <w:p>
            <w:pPr>
              <w:pStyle w:val="TableContents"/>
              <w:bidi w:val="0"/>
              <w:spacing w:before="0" w:after="0"/>
              <w:ind w:left="0" w:right="0" w:hanging="0"/>
              <w:jc w:val="right"/>
              <w:rPr/>
            </w:pPr>
            <w:r>
              <w:rPr/>
              <w:t> </w:t>
            </w:r>
          </w:p>
        </w:tc>
        <w:tc>
          <w:tcPr>
            <w:tcW w:w="300"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 xml:space="preserve">Weighted average total portfolio yield at fair value was 12.7% at March 31, 2023 and 12.7% at December 31, 2022.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assessment of success of the portfolio company in adhering to its business plan and compliance with covenants;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comparisons to other companies in the industry;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attendance at, and participation in, board meetings;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review of monthly and quarterly financial statements and financial projections for portfolio companies. </w:t>
      </w:r>
    </w:p>
    <w:p>
      <w:pPr>
        <w:pStyle w:val="TextBody"/>
        <w:bidi w:val="0"/>
        <w:spacing w:before="240" w:after="0"/>
        <w:jc w:val="left"/>
        <w:rPr>
          <w:rFonts w:ascii="Times New Roman" w:hAnsi="Times New Roman"/>
          <w:sz w:val="20"/>
        </w:rPr>
      </w:pPr>
      <w:r>
        <w:rPr>
          <w:rFonts w:ascii="Times New Roman;serif" w:hAnsi="Times New Roman;serif"/>
          <w:b w:val="false"/>
          <w:sz w:val="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shows the distribution of our investments on the 1 to 5 investment performance rating scale at fair value as of March 31, 2023 and December 31, 2022.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spacing w:before="240" w:after="0"/>
        <w:jc w:val="left"/>
        <w:rPr/>
      </w:pPr>
      <w:r>
        <w:rPr/>
        <w:t> </w:t>
      </w:r>
    </w:p>
    <w:tbl>
      <w:tblPr>
        <w:tblW w:w="7539" w:type="dxa"/>
        <w:jc w:val="left"/>
        <w:tblInd w:w="0" w:type="dxa"/>
        <w:tblLayout w:type="fixed"/>
        <w:tblCellMar>
          <w:top w:w="28" w:type="dxa"/>
          <w:left w:w="28" w:type="dxa"/>
          <w:bottom w:w="28" w:type="dxa"/>
          <w:right w:w="28" w:type="dxa"/>
        </w:tblCellMar>
      </w:tblPr>
      <w:tblGrid>
        <w:gridCol w:w="1066"/>
        <w:gridCol w:w="146"/>
        <w:gridCol w:w="261"/>
        <w:gridCol w:w="894"/>
        <w:gridCol w:w="246"/>
        <w:gridCol w:w="146"/>
        <w:gridCol w:w="243"/>
        <w:gridCol w:w="957"/>
        <w:gridCol w:w="371"/>
        <w:gridCol w:w="146"/>
        <w:gridCol w:w="311"/>
        <w:gridCol w:w="844"/>
        <w:gridCol w:w="246"/>
        <w:gridCol w:w="1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Investments at</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Performance</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w:t>
            </w:r>
          </w:p>
        </w:tc>
        <w:tc>
          <w:tcPr>
            <w:tcW w:w="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w:t>
            </w:r>
          </w:p>
        </w:tc>
        <w:tc>
          <w:tcPr>
            <w:tcW w:w="316" w:type="dxa"/>
            <w:tcBorders/>
            <w:vAlign w:val="center"/>
          </w:tcPr>
          <w:p>
            <w:pPr>
              <w:pStyle w:val="TableContents"/>
              <w:bidi w:val="0"/>
              <w:spacing w:before="0" w:after="0"/>
              <w:ind w:left="0" w:right="0" w:hanging="0"/>
              <w:jc w:val="center"/>
              <w:rPr/>
            </w:pPr>
            <w:r>
              <w:rPr/>
              <w:t> </w:t>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Portfolio</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Portfolio</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w:t>
            </w:r>
          </w:p>
        </w:tc>
        <w:tc>
          <w:tcPr>
            <w:tcW w:w="3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316" w:type="dxa"/>
            <w:tcBorders/>
            <w:vAlign w:val="center"/>
          </w:tcPr>
          <w:p>
            <w:pPr>
              <w:pStyle w:val="TableContents"/>
              <w:bidi w:val="0"/>
              <w:spacing w:before="0" w:after="0"/>
              <w:ind w:left="0" w:right="0" w:hanging="0"/>
              <w:jc w:val="left"/>
              <w:rPr/>
            </w:pPr>
            <w:r>
              <w:rPr/>
              <w:t> </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results for the three months ended March 31, 2023 were as follows:</w:t>
      </w:r>
      <w:r>
        <w:rPr>
          <w:rFonts w:ascii="Times New Roman" w:hAnsi="Times New Roman"/>
          <w:sz w:val="20"/>
        </w:rPr>
        <w:t xml:space="preserve"> </w:t>
      </w:r>
    </w:p>
    <w:p>
      <w:pPr>
        <w:pStyle w:val="TextBody"/>
        <w:bidi w:val="0"/>
        <w:spacing w:before="0" w:after="0"/>
        <w:jc w:val="left"/>
        <w:rPr/>
      </w:pPr>
      <w:r>
        <w:rPr/>
        <w:t> </w:t>
      </w:r>
    </w:p>
    <w:tbl>
      <w:tblPr>
        <w:tblW w:w="7984" w:type="dxa"/>
        <w:jc w:val="left"/>
        <w:tblInd w:w="0" w:type="dxa"/>
        <w:tblLayout w:type="fixed"/>
        <w:tblCellMar>
          <w:top w:w="28" w:type="dxa"/>
          <w:left w:w="28" w:type="dxa"/>
          <w:bottom w:w="28" w:type="dxa"/>
          <w:right w:w="28" w:type="dxa"/>
        </w:tblCellMar>
      </w:tblPr>
      <w:tblGrid>
        <w:gridCol w:w="5496"/>
        <w:gridCol w:w="146"/>
        <w:gridCol w:w="500"/>
        <w:gridCol w:w="1105"/>
        <w:gridCol w:w="346"/>
        <w:gridCol w:w="391"/>
      </w:tblGrid>
      <w:tr>
        <w:trPr/>
        <w:tc>
          <w:tcPr>
            <w:tcW w:w="5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4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54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5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investment income</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5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expenses</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549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investment income before income taxes</w:t>
            </w:r>
          </w:p>
        </w:tc>
        <w:tc>
          <w:tcPr>
            <w:tcW w:w="146" w:type="dxa"/>
            <w:tcBorders/>
            <w:vAlign w:val="center"/>
          </w:tcPr>
          <w:p>
            <w:pPr>
              <w:pStyle w:val="TableContents"/>
              <w:bidi w:val="0"/>
              <w:spacing w:before="0" w:after="0"/>
              <w:ind w:left="20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346" w:type="dxa"/>
            <w:tcBorders/>
            <w:vAlign w:val="center"/>
          </w:tcPr>
          <w:p>
            <w:pPr>
              <w:pStyle w:val="TableContents"/>
              <w:bidi w:val="0"/>
              <w:spacing w:before="0" w:after="0"/>
              <w:ind w:left="0" w:right="0" w:firstLine="20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549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Less: Income taxes, including excise taxes</w:t>
            </w:r>
          </w:p>
        </w:tc>
        <w:tc>
          <w:tcPr>
            <w:tcW w:w="146" w:type="dxa"/>
            <w:tcBorders/>
            <w:vAlign w:val="center"/>
          </w:tcPr>
          <w:p>
            <w:pPr>
              <w:pStyle w:val="TableContents"/>
              <w:bidi w:val="0"/>
              <w:spacing w:before="0" w:after="0"/>
              <w:ind w:left="20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549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investment income</w:t>
            </w:r>
          </w:p>
        </w:tc>
        <w:tc>
          <w:tcPr>
            <w:tcW w:w="146" w:type="dxa"/>
            <w:tcBorders/>
            <w:vAlign w:val="center"/>
          </w:tcPr>
          <w:p>
            <w:pPr>
              <w:pStyle w:val="TableContents"/>
              <w:bidi w:val="0"/>
              <w:spacing w:before="0" w:after="0"/>
              <w:ind w:left="20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346" w:type="dxa"/>
            <w:tcBorders/>
            <w:vAlign w:val="center"/>
          </w:tcPr>
          <w:p>
            <w:pPr>
              <w:pStyle w:val="TableContents"/>
              <w:bidi w:val="0"/>
              <w:spacing w:before="0" w:after="0"/>
              <w:ind w:left="0" w:right="0" w:firstLine="200"/>
              <w:jc w:val="left"/>
              <w:rPr/>
            </w:pPr>
            <w:r>
              <w:rPr/>
              <w:t> </w:t>
            </w:r>
          </w:p>
        </w:tc>
        <w:tc>
          <w:tcPr>
            <w:tcW w:w="391" w:type="dxa"/>
            <w:tcBorders/>
            <w:vAlign w:val="center"/>
          </w:tcPr>
          <w:p>
            <w:pPr>
              <w:pStyle w:val="TableContents"/>
              <w:bidi w:val="0"/>
              <w:spacing w:before="0" w:after="0"/>
              <w:ind w:left="200" w:right="0" w:hanging="0"/>
              <w:jc w:val="left"/>
              <w:rPr/>
            </w:pPr>
            <w:r>
              <w:rPr/>
              <w:t> </w:t>
            </w:r>
          </w:p>
        </w:tc>
      </w:tr>
      <w:tr>
        <w:trPr/>
        <w:tc>
          <w:tcPr>
            <w:tcW w:w="549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realized gains (losses)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549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change in unrealized gains (losses)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5496" w:type="dxa"/>
            <w:tcBorders/>
            <w:vAlign w:val="center"/>
          </w:tcPr>
          <w:p>
            <w:pPr>
              <w:pStyle w:val="TableContents"/>
              <w:bidi w:val="0"/>
              <w:spacing w:before="0" w:after="0"/>
              <w:ind w:left="0" w:right="0" w:firstLine="200"/>
              <w:jc w:val="left"/>
              <w:rPr>
                <w:rFonts w:ascii="Times New Roman;serif" w:hAnsi="Times New Roman;serif"/>
                <w:b/>
                <w:sz w:val="20"/>
              </w:rPr>
            </w:pPr>
            <w:r>
              <w:rPr>
                <w:rFonts w:ascii="Times New Roman;serif" w:hAnsi="Times New Roman;serif"/>
                <w:b/>
                <w:sz w:val="20"/>
              </w:rPr>
              <w:t>Net increase (decrease) in net assets resulting from operations</w:t>
            </w:r>
          </w:p>
        </w:tc>
        <w:tc>
          <w:tcPr>
            <w:tcW w:w="146" w:type="dxa"/>
            <w:tcBorders/>
            <w:vAlign w:val="center"/>
          </w:tcPr>
          <w:p>
            <w:pPr>
              <w:pStyle w:val="TableContents"/>
              <w:bidi w:val="0"/>
              <w:spacing w:before="0" w:after="0"/>
              <w:ind w:left="200" w:right="0" w:hanging="0"/>
              <w:jc w:val="left"/>
              <w:rPr/>
            </w:pPr>
            <w:r>
              <w:rPr/>
              <w:t> </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391" w:type="dxa"/>
            <w:tcBorders/>
            <w:vAlign w:val="center"/>
          </w:tcPr>
          <w:p>
            <w:pPr>
              <w:pStyle w:val="TableContents"/>
              <w:bidi w:val="0"/>
              <w:spacing w:before="0" w:after="0"/>
              <w:ind w:left="20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Includes foreign exchange hedging activity.</w:t>
      </w:r>
    </w:p>
    <w:p>
      <w:pPr>
        <w:pStyle w:val="TextBody"/>
        <w:bidi w:val="0"/>
        <w:spacing w:before="360" w:after="0"/>
        <w:jc w:val="left"/>
        <w:rPr>
          <w:rFonts w:ascii="Times New Roman" w:hAnsi="Times New Roman"/>
          <w:sz w:val="20"/>
        </w:rPr>
      </w:pPr>
      <w:r>
        <w:rPr>
          <w:rFonts w:ascii="Times New Roman;serif" w:hAnsi="Times New Roman;serif"/>
          <w:b/>
          <w:i/>
          <w:sz w:val="20"/>
        </w:rPr>
        <w:t>Investment Income</w:t>
      </w:r>
      <w:r>
        <w:rPr>
          <w:rFonts w:ascii="Times New Roman" w:hAnsi="Times New Roman"/>
          <w:sz w:val="20"/>
        </w:rPr>
        <w:t xml:space="preserve"> </w:t>
      </w:r>
    </w:p>
    <w:tbl>
      <w:tblPr>
        <w:tblW w:w="4894" w:type="dxa"/>
        <w:jc w:val="left"/>
        <w:tblInd w:w="0" w:type="dxa"/>
        <w:tblLayout w:type="fixed"/>
        <w:tblCellMar>
          <w:top w:w="28" w:type="dxa"/>
          <w:left w:w="28" w:type="dxa"/>
          <w:bottom w:w="28" w:type="dxa"/>
          <w:right w:w="28" w:type="dxa"/>
        </w:tblCellMar>
      </w:tblPr>
      <w:tblGrid>
        <w:gridCol w:w="2406"/>
        <w:gridCol w:w="146"/>
        <w:gridCol w:w="500"/>
        <w:gridCol w:w="1105"/>
        <w:gridCol w:w="346"/>
        <w:gridCol w:w="3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4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4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from investments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2406" w:type="dxa"/>
            <w:tcBorders/>
            <w:vAlign w:val="center"/>
          </w:tcPr>
          <w:p>
            <w:pPr>
              <w:pStyle w:val="TableContents"/>
              <w:bidi w:val="0"/>
              <w:spacing w:before="0" w:after="0"/>
              <w:ind w:left="0" w:right="0" w:firstLine="200"/>
              <w:jc w:val="left"/>
              <w:rPr>
                <w:rFonts w:ascii="Times New Roman;serif" w:hAnsi="Times New Roman;serif"/>
                <w:b/>
                <w:sz w:val="20"/>
              </w:rPr>
            </w:pPr>
            <w:r>
              <w:rPr>
                <w:rFonts w:ascii="Times New Roman;serif" w:hAnsi="Times New Roman;serif"/>
                <w:b/>
                <w:sz w:val="20"/>
              </w:rPr>
              <w:t>Total investment income</w:t>
            </w:r>
          </w:p>
        </w:tc>
        <w:tc>
          <w:tcPr>
            <w:tcW w:w="146" w:type="dxa"/>
            <w:tcBorders/>
            <w:vAlign w:val="center"/>
          </w:tcPr>
          <w:p>
            <w:pPr>
              <w:pStyle w:val="TableContents"/>
              <w:bidi w:val="0"/>
              <w:spacing w:before="0" w:after="0"/>
              <w:ind w:left="200" w:right="0" w:hanging="0"/>
              <w:jc w:val="left"/>
              <w:rPr/>
            </w:pPr>
            <w:r>
              <w:rPr/>
              <w:t> </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391" w:type="dxa"/>
            <w:tcBorders/>
            <w:vAlign w:val="center"/>
          </w:tcPr>
          <w:p>
            <w:pPr>
              <w:pStyle w:val="TableContents"/>
              <w:bidi w:val="0"/>
              <w:spacing w:before="0" w:after="0"/>
              <w:ind w:left="20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expenses for the three months ended March 31, 2023, were as follows:</w:t>
      </w:r>
      <w:r>
        <w:rPr>
          <w:rFonts w:ascii="Times New Roman" w:hAnsi="Times New Roman"/>
          <w:sz w:val="20"/>
        </w:rPr>
        <w:t xml:space="preserve"> </w:t>
      </w:r>
    </w:p>
    <w:tbl>
      <w:tblPr>
        <w:tblW w:w="7159" w:type="dxa"/>
        <w:jc w:val="left"/>
        <w:tblInd w:w="0" w:type="dxa"/>
        <w:tblLayout w:type="fixed"/>
        <w:tblCellMar>
          <w:top w:w="28" w:type="dxa"/>
          <w:left w:w="28" w:type="dxa"/>
          <w:bottom w:w="28" w:type="dxa"/>
          <w:right w:w="28" w:type="dxa"/>
        </w:tblCellMar>
      </w:tblPr>
      <w:tblGrid>
        <w:gridCol w:w="5071"/>
        <w:gridCol w:w="146"/>
        <w:gridCol w:w="500"/>
        <w:gridCol w:w="1105"/>
        <w:gridCol w:w="146"/>
        <w:gridCol w:w="1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fees (net of waivers)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related to pre-incentive net investment income</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related to realized/unrealized capital gains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Organizational and offering expense</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Trustees fees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general and administrative</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firstLine="200"/>
              <w:jc w:val="left"/>
              <w:rPr>
                <w:rFonts w:ascii="Times New Roman;serif" w:hAnsi="Times New Roman;serif"/>
                <w:b/>
                <w:sz w:val="20"/>
              </w:rPr>
            </w:pPr>
            <w:r>
              <w:rPr>
                <w:rFonts w:ascii="Times New Roman;serif" w:hAnsi="Times New Roman;serif"/>
                <w:b/>
                <w:sz w:val="20"/>
              </w:rPr>
              <w:t>Net Expenses</w:t>
            </w:r>
          </w:p>
        </w:tc>
        <w:tc>
          <w:tcPr>
            <w:tcW w:w="146" w:type="dxa"/>
            <w:tcBorders/>
            <w:vAlign w:val="center"/>
          </w:tcPr>
          <w:p>
            <w:pPr>
              <w:pStyle w:val="TableContents"/>
              <w:bidi w:val="0"/>
              <w:spacing w:before="0" w:after="0"/>
              <w:ind w:left="200" w:right="0" w:hanging="0"/>
              <w:jc w:val="left"/>
              <w:rPr/>
            </w:pPr>
            <w:r>
              <w:rPr/>
              <w:t> </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Income Taxes, Including Excise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intend to elect to be treated as a RIC under Subchapter M of the Code, and we intend to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we recorded a net expense of $0.3 million, for U.S. federal excise tax and other taxes.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Net Realized and Unrealized Gains and Losses</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our net realized and unrealized gains (losses) for the three months March 31, 2023:</w:t>
      </w:r>
      <w:r>
        <w:rPr>
          <w:rFonts w:ascii="Times New Roman" w:hAnsi="Times New Roman"/>
          <w:sz w:val="20"/>
        </w:rPr>
        <w:t xml:space="preserve"> </w:t>
      </w:r>
    </w:p>
    <w:tbl>
      <w:tblPr>
        <w:tblW w:w="6838" w:type="dxa"/>
        <w:jc w:val="left"/>
        <w:tblInd w:w="0" w:type="dxa"/>
        <w:tblLayout w:type="fixed"/>
        <w:tblCellMar>
          <w:top w:w="28" w:type="dxa"/>
          <w:left w:w="28" w:type="dxa"/>
          <w:bottom w:w="28" w:type="dxa"/>
          <w:right w:w="28" w:type="dxa"/>
        </w:tblCellMar>
      </w:tblPr>
      <w:tblGrid>
        <w:gridCol w:w="4876"/>
        <w:gridCol w:w="146"/>
        <w:gridCol w:w="500"/>
        <w:gridCol w:w="1105"/>
        <w:gridCol w:w="21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transactions</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Realized Gains (Losses)</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unrealized gains on investments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11" w:type="dxa"/>
            <w:tcBorders/>
            <w:vAlign w:val="center"/>
          </w:tcPr>
          <w:p>
            <w:pPr>
              <w:pStyle w:val="TableContents"/>
              <w:bidi w:val="0"/>
              <w:spacing w:before="0" w:after="0"/>
              <w:ind w:left="0" w:right="0" w:hanging="0"/>
              <w:jc w:val="left"/>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unrealized (losses) on investments</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 on</w:t>
              <w:br/>
              <w:t>   Investments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11" w:type="dxa"/>
            <w:tcBorders/>
            <w:vAlign w:val="center"/>
          </w:tcPr>
          <w:p>
            <w:pPr>
              <w:pStyle w:val="TableContents"/>
              <w:bidi w:val="0"/>
              <w:spacing w:before="0" w:after="0"/>
              <w:ind w:left="0" w:right="0" w:hanging="0"/>
              <w:jc w:val="left"/>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gains (losses) on foreign currency borrowings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gains (losses) on foreign currency cash</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 on Foreign</w:t>
              <w:br/>
              <w:t>   Currency Transactions</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w:t>
            </w:r>
          </w:p>
        </w:tc>
        <w:tc>
          <w:tcPr>
            <w:tcW w:w="146" w:type="dxa"/>
            <w:tcBorders/>
            <w:vAlign w:val="center"/>
          </w:tcPr>
          <w:p>
            <w:pPr>
              <w:pStyle w:val="TableContents"/>
              <w:bidi w:val="0"/>
              <w:spacing w:before="0" w:after="0"/>
              <w:ind w:left="0" w:right="0" w:hanging="0"/>
              <w:jc w:val="left"/>
              <w:rPr/>
            </w:pPr>
            <w:r>
              <w:rPr/>
              <w:t> </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For the three months ended March 31, 2023 we had $13.7 million in unrealized gains on investments. Unrealized gains were driven by an increase in fair value, primarily due to the impact of movement in credit spreads. Unrealized losses were driven by fluctuations in the GBP and EUR exchange rates.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 three months ended March 31, 2023 unrealized losses on foreign currency borrowings were driven by fluctuations in the GBP and EUR exchange rates.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Interest Rate and Foreign Currency Hedging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current approach to hedging the foreign currency exposure in our non-U.S. dollar denominated investments is primarily to borrow the par amount in local currency under our Credit Facilities to fund these investments. For the three months ended March 31, 2023, we had $0.7 million, of unrealized losses, on the translation of our non-U.S. dollar denominated debt into U.S. dollars; such amounts approximate the corresponding unrealized gains on the translation of our non-U.S. dollar denominated investments into U.S. dollars for the three months ended March 31, 2023. See Note 2 for additional disclosure regarding our accounting for foreign currency. See Note 7 for additional disclosure regarding the amounts of outstanding debt denominated in each foreign currency at March 31, 2023. See our consolidated schedule of investments for additional disclosure regarding the foreign currency amounts (in both par and fair value) of our non-U.S. dollar denominated investments. </w:t>
        <w:br/>
      </w:r>
      <w:r>
        <w:rPr>
          <w:rFonts w:ascii="Times New Roman" w:hAnsi="Times New Roman"/>
          <w:sz w:val="20"/>
        </w:rPr>
        <w:t> </w:t>
      </w:r>
    </w:p>
    <w:p>
      <w:pPr>
        <w:pStyle w:val="TextBody"/>
        <w:bidi w:val="0"/>
        <w:spacing w:before="240" w:after="0"/>
        <w:jc w:val="left"/>
        <w:rPr>
          <w:rFonts w:ascii="Times New Roman" w:hAnsi="Times New Roman"/>
          <w:sz w:val="20"/>
        </w:rPr>
      </w:pPr>
      <w:r>
        <w:rPr>
          <w:rFonts w:ascii="Times New Roman;serif" w:hAnsi="Times New Roman;serif"/>
          <w:b/>
          <w:sz w:val="20"/>
        </w:rPr>
        <w:t>Financial Condition, 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liquidity and capital resources are derived primarily from proceeds from equity issuances, advances from our credit facilities, and cash flows from operations. The primary uses of our cash and cash equivalents are: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investments in portfolio companies and other investments and to comply with certain portfolio diversification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operations (including paying our Adviser);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debt service, repayment, and other financing costs;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cash dividends to the holders of our shares. </w:t>
      </w:r>
    </w:p>
    <w:p>
      <w:pPr>
        <w:pStyle w:val="TextBody"/>
        <w:bidi w:val="0"/>
        <w:spacing w:before="240" w:after="0"/>
        <w:jc w:val="left"/>
        <w:rPr>
          <w:rFonts w:ascii="Times New Roman" w:hAnsi="Times New Roman"/>
          <w:sz w:val="20"/>
        </w:rPr>
      </w:pPr>
      <w:r>
        <w:rPr>
          <w:rFonts w:ascii="Times New Roman;serif" w:hAnsi="Times New Roman;serif"/>
          <w:b w:val="false"/>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serif" w:hAnsi="Times New Roman;serif"/>
          <w:b w:val="false"/>
          <w:i/>
          <w:sz w:val="20"/>
        </w:rPr>
        <w:t>Key Components of Our Results of Operations —Leverage</w:t>
      </w:r>
      <w:r>
        <w:rPr>
          <w:rFonts w:ascii="Times New Roman" w:hAnsi="Times New Roman"/>
          <w:sz w:val="20"/>
        </w:rPr>
        <w:t xml:space="preserve">” </w:t>
      </w:r>
      <w:r>
        <w:rPr>
          <w:rFonts w:ascii="Times New Roman;serif" w:hAnsi="Times New Roman;serif"/>
          <w:b w:val="false"/>
          <w:sz w:val="20"/>
        </w:rPr>
        <w:t>above. As of March 31, 2023, our asset coverage ratio was 202.7%. We carefully consider our unfunded commitments for the purpose of planning our capital resources and ongoing liquidity including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0"/>
        <w:jc w:val="left"/>
        <w:rPr>
          <w:rFonts w:ascii="Times New Roman" w:hAnsi="Times New Roman"/>
          <w:sz w:val="20"/>
        </w:rPr>
      </w:pPr>
      <w:r>
        <w:rPr>
          <w:rFonts w:ascii="Times New Roman;serif" w:hAnsi="Times New Roman;serif"/>
          <w:b w:val="false"/>
          <w:sz w:val="20"/>
        </w:rPr>
        <w:t>Cash and cash equivalents as of March 31, 2023 taken together with cash available under our credit facilities, and cash available from undrawn Capital Commitments, is expected to be sufficient for our investing activities and to conduct our operations in the near term. As of March 31, 2023, we had approximately $751.4 million and $457.3 million of availability on our Subscription Facility and Revolving Credit Facility, respectively, subject to asset coverage limitations.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we had $351.7 million in cash and cash equivalents. For the three months ended March 31, 2023, cash used in operating activities was $(417.2) million, primarily attributable to funding portfolio investments of $(444.8) million, repayments on investments of $6.3 million and change in other liabilities of $6.0 million. Cash provided by financing activities was $494.3 million during the period due to borrowings of $800.6 million and proceeds from the capital call of $250.0 million, which were partially offset by paydowns on debt of $(548.0) million.</w:t>
      </w:r>
    </w:p>
    <w:p>
      <w:pPr>
        <w:pStyle w:val="TextBody"/>
        <w:bidi w:val="0"/>
        <w:spacing w:before="360" w:after="0"/>
        <w:jc w:val="left"/>
        <w:rPr>
          <w:rFonts w:ascii="Times New Roman" w:hAnsi="Times New Roman"/>
          <w:sz w:val="20"/>
        </w:rPr>
      </w:pPr>
      <w:r>
        <w:rPr>
          <w:rFonts w:ascii="Times New Roman;serif" w:hAnsi="Times New Roman;serif"/>
          <w:b/>
          <w:i/>
          <w:sz w:val="20"/>
        </w:rPr>
        <w:t>Equity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total Shares issued and proceeds received related to the Company’s capital drawdowns delivered pursuant to the Subscription Agreements for the three months ended March 31, 2023:</w:t>
      </w:r>
    </w:p>
    <w:p>
      <w:pPr>
        <w:pStyle w:val="TextBody"/>
        <w:bidi w:val="0"/>
        <w:spacing w:before="0" w:after="0"/>
        <w:jc w:val="left"/>
        <w:rPr/>
      </w:pPr>
      <w:r>
        <w:rPr/>
        <w:t> </w:t>
      </w:r>
    </w:p>
    <w:tbl>
      <w:tblPr>
        <w:tblW w:w="7980" w:type="dxa"/>
        <w:jc w:val="left"/>
        <w:tblInd w:w="0" w:type="dxa"/>
        <w:tblLayout w:type="fixed"/>
        <w:tblCellMar>
          <w:top w:w="28" w:type="dxa"/>
          <w:left w:w="28" w:type="dxa"/>
          <w:bottom w:w="28" w:type="dxa"/>
          <w:right w:w="28" w:type="dxa"/>
        </w:tblCellMar>
      </w:tblPr>
      <w:tblGrid>
        <w:gridCol w:w="2281"/>
        <w:gridCol w:w="146"/>
        <w:gridCol w:w="351"/>
        <w:gridCol w:w="2244"/>
        <w:gridCol w:w="146"/>
        <w:gridCol w:w="146"/>
        <w:gridCol w:w="668"/>
        <w:gridCol w:w="1807"/>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Common Share Issuance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5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Common Shares 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Proceeds Received ($ in millions)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21, 2023</w:t>
            </w:r>
          </w:p>
        </w:tc>
        <w:tc>
          <w:tcPr>
            <w:tcW w:w="146" w:type="dxa"/>
            <w:tcBorders/>
            <w:vAlign w:val="center"/>
          </w:tcPr>
          <w:p>
            <w:pPr>
              <w:pStyle w:val="TableContents"/>
              <w:bidi w:val="0"/>
              <w:spacing w:before="0" w:after="0"/>
              <w:ind w:left="0" w:right="0" w:hanging="0"/>
              <w:jc w:val="right"/>
              <w:rPr/>
            </w:pPr>
            <w:r>
              <w:rPr/>
              <w:t> </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9,643,813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9,643,813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Subscription Facility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September 1, 2022, (the “Closing Date”), the Company entered into a revolving credit agreement (the “Subscription Facility”) with Wells Fargo Bank, National Association, as administrative agent (the “Administrative Agent”), letter of credit issuer, lead arranger and as a lender.</w:t>
      </w:r>
    </w:p>
    <w:p>
      <w:pPr>
        <w:pStyle w:val="TextBody"/>
        <w:bidi w:val="0"/>
        <w:spacing w:before="120" w:after="0"/>
        <w:jc w:val="left"/>
        <w:rPr>
          <w:rFonts w:ascii="Times New Roman" w:hAnsi="Times New Roman"/>
          <w:sz w:val="20"/>
        </w:rPr>
      </w:pPr>
      <w:r>
        <w:rPr>
          <w:rFonts w:ascii="Times New Roman;serif" w:hAnsi="Times New Roman;serif"/>
          <w:b w:val="false"/>
          <w:sz w:val="20"/>
        </w:rPr>
        <w:t>As of September 30, 2022, aggregate commitments under the facility were $400 million. Pursuant to an amendment to the Subscription Facility dated as of December 21, 2022 (the “Subscription Facility First Amendment”), the aggregate commitments under the Subscription Facility were increased to $700 million, with the increased amount being brought in by the joinder of State Street Bank and Trust Company as a new lender, subject to availability under the borrowing base, which is based on unfunded capital commitments. Pursuant to lender joinder agreements dated January 18, 2023 and January 27, 2023, aggregate commitments under the Subscription Facility were increased to $800 million and $850 million, respectively. Pursuant to lender joinder agreements dated March 28, 2023, the aggregate commitments under the facility were increased to $1.3 billion. Pursuant to a lender joinder agreement dated April 27, 2023, the aggregate commitments under the facility were increased to $1.35 billion (the “Maximum Commitment”).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Subscription Facility will mature upon the earliest of: (i) August 30, 2024 (the “Stated Maturity”);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Stated Maturity Date may be extended by up to 364 days, subject to satisfaction of customary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may borrow amounts in U.S. dollars or certain other permitted currencies. As of March 31, 2023, we had outstanding debt denominated in British pounds of GBP 10.3 million, and Euro of EUR 13.4 million on our Subscription Facility, included in the outstanding principal amount in the table above.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Subscription Facility also provides for the issuance of letters of credit up to an aggregate amount of 10% of the Maximum</w:t>
        <w:br/>
        <w:t>Commitment. As of March 31, 2023, we had no outstanding letters of credit issued through the Subscription Facility. The amount available for borrowing under the Subscription Facility is reduced by any letters of credit issued through the Subscription Facility.</w:t>
      </w:r>
    </w:p>
    <w:p>
      <w:pPr>
        <w:pStyle w:val="TextBody"/>
        <w:bidi w:val="0"/>
        <w:spacing w:before="240" w:after="0"/>
        <w:jc w:val="left"/>
        <w:rPr>
          <w:rFonts w:ascii="Times New Roman" w:hAnsi="Times New Roman"/>
          <w:sz w:val="20"/>
        </w:rPr>
      </w:pPr>
      <w:r>
        <w:rPr>
          <w:rFonts w:ascii="Times New Roman;serif" w:hAnsi="Times New Roman;serif"/>
          <w:b w:val="false"/>
          <w:sz w:val="20"/>
        </w:rPr>
        <w:t>The Subscription Facility includes customary events of default, as well as customary covenants, including restrictions on certain distributions and financial covenants.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Revolving Credit Facility</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19, 2023 (the “Revolving Credit Facility Closing Date”),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aggregate commitments under the facility were $600 million and included an uncommitted accordion feature that allows us, under certain circumstances, to increase the size of the facility up to $1 billion. On February 28, 2023, the aggregate commitments under the facility were upsized to $700 million. The Revolving Credit Facility will mature on January 19, 2028 (the “Revolving Credit Facility Maturity Date”). We may borrow amounts in U.S. dollars or certain other permitted currencies.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borrow amounts in U.S. dollars or certain other permitted currencies. As of March 31, 2023, we had outstanding debt denominated in Euro of EUR 3.4 million on its Revolving Credit Facility, included in the outstanding principal amount in the table above.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Revolving Credit Facility also provides for the issuance of letters of credit up to an aggregate amount of $175 million. As of March 31, 2023, we had no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240" w:after="0"/>
        <w:jc w:val="left"/>
        <w:rPr>
          <w:rFonts w:ascii="Times New Roman" w:hAnsi="Times New Roman"/>
          <w:sz w:val="20"/>
        </w:rPr>
      </w:pPr>
      <w:r>
        <w:rPr>
          <w:rFonts w:ascii="Times New Roman;serif" w:hAnsi="Times New Roman;serif"/>
          <w:b w:val="false"/>
          <w:sz w:val="20"/>
        </w:rPr>
        <w:t>Debt obligations consisted of the following as of March 31, 2023 and December 31, 2022:</w:t>
      </w:r>
      <w:r>
        <w:rPr>
          <w:rFonts w:ascii="Times New Roman" w:hAnsi="Times New Roman"/>
          <w:sz w:val="20"/>
        </w:rPr>
        <w:t xml:space="preserve"> </w:t>
      </w:r>
    </w:p>
    <w:tbl>
      <w:tblPr>
        <w:tblW w:w="795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71"/>
        <w:gridCol w:w="735"/>
        <w:gridCol w:w="146"/>
        <w:gridCol w:w="146"/>
        <w:gridCol w:w="217"/>
        <w:gridCol w:w="743"/>
        <w:gridCol w:w="146"/>
        <w:gridCol w:w="146"/>
        <w:gridCol w:w="211"/>
        <w:gridCol w:w="57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19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Principal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391" w:type="dxa"/>
            <w:tcBorders/>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Committed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Available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Value </w:t>
            </w:r>
            <w:r>
              <w:rPr>
                <w:rFonts w:ascii="Times New Roman;serif" w:hAnsi="Times New Roman;serif"/>
                <w:b/>
                <w:sz w:val="11"/>
              </w:rPr>
              <w:t>(2)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Subscription Facility</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542.4</w:t>
            </w:r>
          </w:p>
        </w:tc>
        <w:tc>
          <w:tcPr>
            <w:tcW w:w="391"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2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amount available may be subject to limitations related to the borrowing base under the Subscription Facility, Revolving Credit Facility and asset coverage requirements. </w:t>
      </w:r>
    </w:p>
    <w:p>
      <w:pPr>
        <w:pStyle w:val="TextBody"/>
        <w:bidi w:val="0"/>
        <w:spacing w:before="40" w:after="0"/>
        <w:jc w:val="left"/>
        <w:rPr>
          <w:rFonts w:ascii="Times New Roman" w:hAnsi="Times New Roman"/>
          <w:b w:val="false"/>
          <w:sz w:val="20"/>
        </w:rPr>
      </w:pPr>
      <w:r>
        <w:rPr>
          <w:rFonts w:ascii="Times New Roman" w:hAnsi="Times New Roman"/>
          <w:b w:val="false"/>
          <w:sz w:val="20"/>
        </w:rPr>
        <w:t>(2)</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The carrying values of the Subscription Facility and Revolving Credit Facility are presented net of deferred financing costs of $6.2 million and $5.2 million, respectively.</w:t>
      </w:r>
    </w:p>
    <w:p>
      <w:pPr>
        <w:pStyle w:val="TextBody"/>
        <w:bidi w:val="0"/>
        <w:spacing w:before="40" w:after="0"/>
        <w:jc w:val="left"/>
        <w:rPr/>
      </w:pPr>
      <w:r>
        <w:rPr/>
        <w:t> </w:t>
      </w:r>
    </w:p>
    <w:tbl>
      <w:tblPr>
        <w:tblW w:w="7567" w:type="dxa"/>
        <w:jc w:val="left"/>
        <w:tblInd w:w="0" w:type="dxa"/>
        <w:tblLayout w:type="fixed"/>
        <w:tblCellMar>
          <w:top w:w="28" w:type="dxa"/>
          <w:left w:w="28" w:type="dxa"/>
          <w:bottom w:w="28" w:type="dxa"/>
          <w:right w:w="28" w:type="dxa"/>
        </w:tblCellMar>
      </w:tblPr>
      <w:tblGrid>
        <w:gridCol w:w="1831"/>
        <w:gridCol w:w="146"/>
        <w:gridCol w:w="425"/>
        <w:gridCol w:w="1150"/>
        <w:gridCol w:w="146"/>
        <w:gridCol w:w="146"/>
        <w:gridCol w:w="271"/>
        <w:gridCol w:w="735"/>
        <w:gridCol w:w="146"/>
        <w:gridCol w:w="146"/>
        <w:gridCol w:w="258"/>
        <w:gridCol w:w="702"/>
        <w:gridCol w:w="146"/>
        <w:gridCol w:w="146"/>
        <w:gridCol w:w="211"/>
        <w:gridCol w:w="57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19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Principal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391" w:type="dxa"/>
            <w:tcBorders/>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Committed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Available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Value </w:t>
            </w:r>
            <w:r>
              <w:rPr>
                <w:rFonts w:ascii="Times New Roman;serif" w:hAnsi="Times New Roman;serif"/>
                <w:b/>
                <w:sz w:val="11"/>
              </w:rPr>
              <w:t>(2)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Subscription Facility</w:t>
            </w:r>
          </w:p>
        </w:tc>
        <w:tc>
          <w:tcPr>
            <w:tcW w:w="146" w:type="dxa"/>
            <w:tcBorders/>
            <w:vAlign w:val="center"/>
          </w:tcPr>
          <w:p>
            <w:pPr>
              <w:pStyle w:val="TableContents"/>
              <w:bidi w:val="0"/>
              <w:spacing w:before="0" w:after="0"/>
              <w:ind w:left="0" w:right="0" w:hanging="0"/>
              <w:jc w:val="right"/>
              <w:rPr/>
            </w:pPr>
            <w:r>
              <w:rPr/>
              <w:t> </w:t>
            </w:r>
          </w:p>
        </w:tc>
        <w:tc>
          <w:tcPr>
            <w:tcW w:w="4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vAlign w:val="center"/>
          </w:tcPr>
          <w:p>
            <w:pPr>
              <w:pStyle w:val="TableContents"/>
              <w:bidi w:val="0"/>
              <w:spacing w:before="0" w:after="0"/>
              <w:ind w:left="0" w:right="0" w:hanging="0"/>
              <w:jc w:val="right"/>
              <w:rPr/>
            </w:pPr>
            <w:r>
              <w:rPr/>
              <w:t> </w:t>
            </w:r>
          </w:p>
        </w:tc>
        <w:tc>
          <w:tcPr>
            <w:tcW w:w="4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amount available may be subject to limitations related to the borrowing base under the Subscription Facility and asset coverage requirements.</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b w:val="false"/>
          <w:sz w:val="20"/>
        </w:rPr>
      </w:pPr>
      <w:r>
        <w:rPr>
          <w:rFonts w:ascii="Times New Roman;serif" w:hAnsi="Times New Roman;serif"/>
          <w:b w:val="false"/>
          <w:sz w:val="20"/>
        </w:rPr>
        <w:t>The carrying value of the Subscription Facility is presented net deferred financing costs of $3.9 million.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we were in compliance with the terms of our debt arrangements. We intend to continue to utilize our credit facility to fund investments and for other general corporate purposes.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Portfolio Company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March 31, 2023 and December 31, 2022 we had the following commitments to fund investments in current portfolio companies:</w:t>
      </w:r>
      <w:r>
        <w:rPr>
          <w:rFonts w:ascii="Times New Roman" w:hAnsi="Times New Roman"/>
          <w:sz w:val="20"/>
        </w:rPr>
        <w:t xml:space="preserve"> </w:t>
      </w:r>
    </w:p>
    <w:p>
      <w:pPr>
        <w:pStyle w:val="TextBody"/>
        <w:bidi w:val="0"/>
        <w:spacing w:before="120" w:after="0"/>
        <w:jc w:val="left"/>
        <w:rPr/>
      </w:pPr>
      <w:r>
        <w:rPr/>
        <w:t> </w:t>
      </w:r>
    </w:p>
    <w:tbl>
      <w:tblPr>
        <w:tblW w:w="8885" w:type="dxa"/>
        <w:jc w:val="left"/>
        <w:tblInd w:w="0" w:type="dxa"/>
        <w:tblLayout w:type="fixed"/>
        <w:tblCellMar>
          <w:top w:w="28" w:type="dxa"/>
          <w:left w:w="28" w:type="dxa"/>
          <w:bottom w:w="28" w:type="dxa"/>
          <w:right w:w="28" w:type="dxa"/>
        </w:tblCellMar>
      </w:tblPr>
      <w:tblGrid>
        <w:gridCol w:w="4891"/>
        <w:gridCol w:w="146"/>
        <w:gridCol w:w="388"/>
        <w:gridCol w:w="1052"/>
        <w:gridCol w:w="146"/>
        <w:gridCol w:w="146"/>
        <w:gridCol w:w="537"/>
        <w:gridCol w:w="1188"/>
        <w:gridCol w:w="3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in millions)</w:t>
            </w:r>
          </w:p>
        </w:tc>
        <w:tc>
          <w:tcPr>
            <w:tcW w:w="146" w:type="dxa"/>
            <w:tcBorders/>
            <w:vAlign w:val="center"/>
          </w:tcPr>
          <w:p>
            <w:pPr>
              <w:pStyle w:val="TableContents"/>
              <w:bidi w:val="0"/>
              <w:spacing w:before="0" w:after="0"/>
              <w:ind w:left="0" w:right="0" w:hanging="0"/>
              <w:jc w:val="righ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Avalara, Inc. - Revolver</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Banyan Software Holdings, LLC - Delayed Draw</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BTRS Holdings, Inc. - Delayed Draw &amp; Revolver</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Coupa Holdings, LLC - Delayed Draw &amp; Revolver</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Disco Parent, Inc. - Revolver</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Edge Bidco B.V - Delayed Draw &amp; Revolver</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Erling Lux Bidco SARL - Delayed Draw &amp; Revolver</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Hornetsecurity Holding GmbH - Delayed Draw &amp; Revolver</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Laramie Energy, LLC - Delayed Draw</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OutSystems Luxco SARL - Delayed Draw</w:t>
            </w:r>
          </w:p>
        </w:tc>
        <w:tc>
          <w:tcPr>
            <w:tcW w:w="146"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91" w:type="dxa"/>
            <w:tcBorders/>
            <w:vAlign w:val="center"/>
          </w:tcPr>
          <w:p>
            <w:pPr>
              <w:pStyle w:val="TableContents"/>
              <w:bidi w:val="0"/>
              <w:spacing w:before="0" w:after="0"/>
              <w:ind w:left="0" w:right="0" w:hanging="0"/>
              <w:jc w:val="left"/>
              <w:rPr/>
            </w:pPr>
            <w:r>
              <w:rPr/>
              <w:t> </w:t>
            </w:r>
          </w:p>
        </w:tc>
      </w:tr>
      <w:tr>
        <w:trPr/>
        <w:tc>
          <w:tcPr>
            <w:tcW w:w="48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Ping Identity Holding Corp. - Revolver</w:t>
            </w:r>
          </w:p>
        </w:tc>
        <w:tc>
          <w:tcPr>
            <w:tcW w:w="146" w:type="dxa"/>
            <w:tcBorders/>
            <w:vAlign w:val="center"/>
          </w:tcPr>
          <w:p>
            <w:pPr>
              <w:pStyle w:val="TableContents"/>
              <w:bidi w:val="0"/>
              <w:spacing w:before="0" w:after="0"/>
              <w:ind w:left="0" w:right="0" w:hanging="0"/>
              <w:jc w:val="righ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89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sz w:val="20"/>
              </w:rPr>
              <w:t>Total Portfolio Company Commitments</w:t>
            </w:r>
            <w:r>
              <w:rPr>
                <w:rFonts w:ascii="Times New Roman" w:hAnsi="Times New Roman"/>
                <w:sz w:val="20"/>
              </w:rPr>
              <w:t xml:space="preserve"> </w:t>
            </w:r>
            <w:r>
              <w:rPr>
                <w:rFonts w:ascii="Times New Roman;serif" w:hAnsi="Times New Roman;serif"/>
                <w:b/>
                <w:sz w:val="13"/>
              </w:rPr>
              <w:t>(1)(2)</w:t>
            </w:r>
          </w:p>
        </w:tc>
        <w:tc>
          <w:tcPr>
            <w:tcW w:w="146" w:type="dxa"/>
            <w:tcBorders/>
            <w:vAlign w:val="center"/>
          </w:tcPr>
          <w:p>
            <w:pPr>
              <w:pStyle w:val="TableContents"/>
              <w:bidi w:val="0"/>
              <w:spacing w:before="0" w:after="0"/>
              <w:ind w:left="0" w:right="0" w:hanging="0"/>
              <w:jc w:val="righ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bidi w:val="0"/>
        <w:spacing w:before="40" w:after="0"/>
        <w:jc w:val="left"/>
        <w:rPr>
          <w:rFonts w:ascii="Times New Roman" w:hAnsi="Times New Roman"/>
          <w:b w:val="false"/>
          <w:sz w:val="20"/>
        </w:rPr>
      </w:pPr>
      <w:r>
        <w:rPr>
          <w:rFonts w:ascii="Times New Roman" w:hAnsi="Times New Roman"/>
          <w:b w:val="false"/>
          <w:sz w:val="20"/>
        </w:rPr>
        <w:t>(2)</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Our estimate of the fair value of the current investments in these portfolio companies includes an analysis of the fair value of any unfunded commitments.</w:t>
      </w:r>
    </w:p>
    <w:p>
      <w:pPr>
        <w:pStyle w:val="TextBody"/>
        <w:bidi w:val="0"/>
        <w:spacing w:before="360" w:after="0"/>
        <w:jc w:val="left"/>
        <w:rPr>
          <w:rFonts w:ascii="Times New Roman" w:hAnsi="Times New Roman"/>
          <w:sz w:val="20"/>
        </w:rPr>
      </w:pPr>
      <w:r>
        <w:rPr>
          <w:rFonts w:ascii="Times New Roman;serif" w:hAnsi="Times New Roman;serif"/>
          <w:b/>
          <w:i/>
          <w:sz w:val="20"/>
        </w:rPr>
        <w:t>Other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we did not have any unfunded commitments to fund new investments to new borrowers that were not current portfolio companies as of such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have certain contracts under which we have material future commitments. Under the Investment Advisory Agreement, our Adviser provides us with investment advisory and management services. For these services, we pay the Management Fee and the Incentive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Contractual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summary of our contractual payment obligations as of March 31, 2023 is as follows:</w:t>
      </w:r>
      <w:r>
        <w:rPr>
          <w:rFonts w:ascii="Times New Roman" w:hAnsi="Times New Roman"/>
          <w:sz w:val="20"/>
        </w:rPr>
        <w:t xml:space="preserve"> </w:t>
      </w:r>
    </w:p>
    <w:p>
      <w:pPr>
        <w:pStyle w:val="TextBody"/>
        <w:bidi w:val="0"/>
        <w:spacing w:before="120" w:after="0"/>
        <w:jc w:val="left"/>
        <w:rPr/>
      </w:pPr>
      <w:r>
        <w:rPr/>
        <w:t> </w:t>
      </w:r>
    </w:p>
    <w:tbl>
      <w:tblPr>
        <w:tblW w:w="8582" w:type="dxa"/>
        <w:jc w:val="left"/>
        <w:tblInd w:w="0" w:type="dxa"/>
        <w:tblLayout w:type="fixed"/>
        <w:tblCellMar>
          <w:top w:w="28" w:type="dxa"/>
          <w:left w:w="28" w:type="dxa"/>
          <w:bottom w:w="28" w:type="dxa"/>
          <w:right w:w="28" w:type="dxa"/>
        </w:tblCellMar>
      </w:tblPr>
      <w:tblGrid>
        <w:gridCol w:w="2686"/>
        <w:gridCol w:w="146"/>
        <w:gridCol w:w="211"/>
        <w:gridCol w:w="571"/>
        <w:gridCol w:w="146"/>
        <w:gridCol w:w="146"/>
        <w:gridCol w:w="295"/>
        <w:gridCol w:w="485"/>
        <w:gridCol w:w="146"/>
        <w:gridCol w:w="146"/>
        <w:gridCol w:w="211"/>
        <w:gridCol w:w="571"/>
        <w:gridCol w:w="146"/>
        <w:gridCol w:w="146"/>
        <w:gridCol w:w="211"/>
        <w:gridCol w:w="571"/>
        <w:gridCol w:w="146"/>
        <w:gridCol w:w="146"/>
        <w:gridCol w:w="403"/>
        <w:gridCol w:w="662"/>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359"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1-3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After 5 years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Subscription Facility</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68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Total Contractual Obligations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intend to elect to be regulated and qualify for U.S. federal income tax purposes as a RIC under subchapter M of the Code. To maintain RIC status, we must distribute (or be treated as distributing) in each taxable year dividends for tax purposes equal to at least 90 percent of the sum of our:</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investment company taxable income (which is generally our ordinary income plus the excess of realized net short-term capital gains over realized net long-term capital losses), determined without regard to the deduction for dividends paid, for such taxable year;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net tax-exempt interest income (which is the excess of our gross tax-exempt interest income over certain disallowed deductions) for such taxable year. </w:t>
      </w:r>
    </w:p>
    <w:p>
      <w:pPr>
        <w:pStyle w:val="TextBody"/>
        <w:bidi w:val="0"/>
        <w:spacing w:before="240" w:after="0"/>
        <w:jc w:val="left"/>
        <w:rPr>
          <w:rFonts w:ascii="Times New Roman" w:hAnsi="Times New Roman"/>
          <w:sz w:val="20"/>
        </w:rPr>
      </w:pPr>
      <w:r>
        <w:rPr>
          <w:rFonts w:ascii="Times New Roman;serif" w:hAnsi="Times New Roman;serif"/>
          <w:b w:val="false"/>
          <w:sz w:val="20"/>
        </w:rPr>
        <w:t>As a RIC, we (but not our shareholders) generally will not be subject to U.S. federal income tax on investment company taxable income and net capital gains that we distribute to our shareholders.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98% of our net ordinary income excluding certain ordinary gains or losses for that calendar year;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98.2% of our capital gain net income, adjusted for certain ordinary gains and losses, recognized for the twelve-month period ending on October 31 of that calendar year;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100% of any income or gains recognized, but not distributed, in preceding years. </w:t>
      </w:r>
    </w:p>
    <w:p>
      <w:pPr>
        <w:pStyle w:val="TextBody"/>
        <w:bidi w:val="0"/>
        <w:spacing w:before="240" w:after="0"/>
        <w:jc w:val="left"/>
        <w:rPr>
          <w:rFonts w:ascii="Times New Roman" w:hAnsi="Times New Roman"/>
          <w:sz w:val="20"/>
        </w:rPr>
      </w:pPr>
      <w:r>
        <w:rPr>
          <w:rFonts w:ascii="Times New Roman;serif" w:hAnsi="Times New Roman;serif"/>
          <w:b w:val="false"/>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shares of Common Shares will be subject to the same U.S. federal, state and local tax consequences as if they received cash distributions.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Related-Party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entered into a number of business relationships with affiliated or related parties,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Investment Advisory Agreement;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Administration Agreement</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disclosed in “Item 1A. Risk Factors” of our Annual Report on Form 10-K for the fiscal year ended December 31, 2022.</w:t>
      </w:r>
    </w:p>
    <w:p>
      <w:pPr>
        <w:pStyle w:val="TextBody"/>
        <w:bidi w:val="0"/>
        <w:spacing w:before="360" w:after="0"/>
        <w:jc w:val="left"/>
        <w:rPr>
          <w:rFonts w:ascii="Times New Roman" w:hAnsi="Times New Roman"/>
          <w:sz w:val="20"/>
        </w:rPr>
      </w:pPr>
      <w:r>
        <w:rPr>
          <w:rFonts w:ascii="Times New Roman;serif" w:hAnsi="Times New Roman;serif"/>
          <w:b/>
          <w:i/>
          <w:sz w:val="20"/>
        </w:rPr>
        <w:t>Investments at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part of the valuation process, the Board takes into account relevant factors in determining the fair value of our investments, including and in combination of:</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estimated enterprise value of a portfolio company (that is, the total value of the portfolio company’s net debt and equity);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nature and realizable value of any collateral;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portfolio company’s ability to make payments based on its earnings and cash flow;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markets in which the portfolio company does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comparison of the portfolio company’s securities to any similar publicly traded securities;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overall changes in the interest rate environment and the credit markets that may affect the price at which similar investments may be made in the future. </w:t>
      </w:r>
    </w:p>
    <w:p>
      <w:pPr>
        <w:pStyle w:val="TextBody"/>
        <w:bidi w:val="0"/>
        <w:spacing w:before="240" w:after="0"/>
        <w:jc w:val="left"/>
        <w:rPr>
          <w:rFonts w:ascii="Times New Roman" w:hAnsi="Times New Roman"/>
          <w:sz w:val="20"/>
        </w:rPr>
      </w:pPr>
      <w:r>
        <w:rPr>
          <w:rFonts w:ascii="Times New Roman;serif" w:hAnsi="Times New Roman;serif"/>
          <w:b w:val="false"/>
          <w:sz w:val="20"/>
        </w:rPr>
        <w:t>When an external event, such as a purchase transaction, public offering or subsequent equity sale occurs, the Board considers whether the pricing indicated by the external event corroborates our 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Board undertakes a multi-step valuation process, which includes, among other procedures,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Adviser’s management reviews the preliminary valuations with the investment professionals. Agreed-upon valuation recommendations are presented to the Audit Committee.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Audit Committee reviews the valuations presented and recommends values for each investment to the Board.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conduct this valuation process on a quarterly basis.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Board has engaged independent third-party valuation firms to perform certain limited procedures that the Board has identified and requested them to perform in connection with the valuation process. At March 31, 2023,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We apply Financial Accounting Standards Board Accounting Standards Codification Topic 820, </w:t>
      </w:r>
      <w:r>
        <w:rPr>
          <w:rFonts w:ascii="Times New Roman;serif" w:hAnsi="Times New Roman;serif"/>
          <w:b w:val="false"/>
          <w:i/>
          <w:sz w:val="20"/>
        </w:rPr>
        <w:t>Fair Value Measurement</w:t>
      </w:r>
      <w:r>
        <w:rPr>
          <w:rFonts w:ascii="Times New Roman" w:hAnsi="Times New Roman"/>
          <w:sz w:val="20"/>
        </w:rPr>
        <w:t xml:space="preserve"> </w:t>
      </w:r>
      <w:r>
        <w:rPr>
          <w:rFonts w:ascii="Times New Roman;serif" w:hAnsi="Times New Roman;serif"/>
          <w:b w:val="false"/>
          <w:sz w:val="20"/>
        </w:rPr>
        <w:t>(“ASC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1—Valuations based on quoted prices in active markets for identical assets or liabilities that we have the ability to access.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2—Valuations based on quoted prices in markets that are not active or for which all significant inputs are observable, either directly or indirectly.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Level 3—Valuations based on inputs that are unobservable and significant to the overall fair value measurement. </w:t>
      </w:r>
    </w:p>
    <w:p>
      <w:pPr>
        <w:pStyle w:val="TextBody"/>
        <w:bidi w:val="0"/>
        <w:spacing w:before="240" w:after="0"/>
        <w:jc w:val="left"/>
        <w:rPr>
          <w:rFonts w:ascii="Times New Roman" w:hAnsi="Times New Roman"/>
          <w:sz w:val="20"/>
        </w:rPr>
      </w:pPr>
      <w:r>
        <w:rPr>
          <w:rFonts w:ascii="Times New Roman;serif" w:hAnsi="Times New Roman;serif"/>
          <w:b w:val="false"/>
          <w:sz w:val="20"/>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See Note 5 to our consolidated financial statements included in this Form 10-Q for more information on the fair value of our investments.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Interest and Dividend Income Recognition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Unless providing services in connection with an investment, such as syndication, structuring or diligence, all or a portion of any loan fees received by us will be deferred and amortized over the investment’s life using the effective interest method.</w:t>
      </w:r>
    </w:p>
    <w:p>
      <w:pPr>
        <w:pStyle w:val="TextBody"/>
        <w:bidi w:val="0"/>
        <w:spacing w:before="240" w:after="0"/>
        <w:jc w:val="left"/>
        <w:rPr>
          <w:rFonts w:ascii="Times New Roman" w:hAnsi="Times New Roman"/>
          <w:sz w:val="20"/>
        </w:rPr>
      </w:pPr>
      <w:r>
        <w:rPr>
          <w:rFonts w:ascii="Times New Roman;serif" w:hAnsi="Times New Roman;serif"/>
          <w:b w:val="false"/>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accounting policy on interest and dividend income recognition is critical because it involves the primary source of our revenue and accordingly is significant to the financial results as disclosed in our consolidated financial statements.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U.S. Federal 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elected to be treated as a BDC under the 1940 Act. We also intend to be treated as a RIC under the Code. So long as we maintain our status as a RIC, we will generally not pay corporate-level U.S. federal income or excise taxes on any ordinary income or capital gains that we distribute at least annually to our shareholders as dividends. As a result, any tax liability related to income earned and distributed by us represents obligations of our shareholders and will not be reflected in our consolidated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March 31, 2023, we did not have any uncertain tax positions that met the recognition or measurement criteria, nor did we have any unrecognized tax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accounting policy on income taxes is critical because if we are unable to maintain our status as a RIC, we would be required to record a provision for corporate-level U.S. federal income taxes which may be significant to our financial results.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Valuation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pStyle w:val="TextBody"/>
        <w:bidi w:val="0"/>
        <w:spacing w:before="24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rate sensitivity refers to the change in earnings that may result from changes in the level of interest rates. We also fund</w:t>
        <w:br/>
        <w:t>portions of our investments with borrowings. Our net investment income is affected by the difference between the rate at which we</w:t>
        <w:br/>
        <w:t>invest and the rate at which we borrow. Accordingly, we cannot assure you that a significant change in market interest rates will not</w:t>
        <w:br/>
        <w:t>have a material adverse effect on our net investment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regularly measure our exposure to interest rate risk. We assess interest rate risk and manage our interest rate exposure on an</w:t>
        <w:br/>
        <w:t>ongoing basis by comparing our interest rate-sensitive assets to our interest rate-sensitive liabilities. Based on that review, we</w:t>
        <w:br/>
        <w:t>determine whether or not any hedging transactions are necessary to mitigate exposure to changes in interest rates.</w:t>
        <w:br/>
        <w:t>As of March 31, 2023, 100% of our debt investments based on fair value in our portfolio bore interest at floating rates, with 100% of these subject to interest rate floors. Our credit facility also bears interest at floating rates.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Assuming that our consolidated balance sheet as of March 31, 2023 were to remain constant and that we took no actions to</w:t>
        <w:br/>
        <w:t>alter our existing interest rate sensitivity, the following table shows the annualized impact of hypothetical base rate changes in interest</w:t>
        <w:br/>
        <w:t>rates (considering interest rate floors for floating rate instruments):</w:t>
      </w:r>
    </w:p>
    <w:p>
      <w:pPr>
        <w:pStyle w:val="TextBody"/>
        <w:bidi w:val="0"/>
        <w:spacing w:before="120" w:after="0"/>
        <w:jc w:val="left"/>
        <w:rPr/>
      </w:pPr>
      <w:r>
        <w:rPr/>
        <w:t> </w:t>
      </w:r>
    </w:p>
    <w:tbl>
      <w:tblPr>
        <w:tblW w:w="6892" w:type="dxa"/>
        <w:jc w:val="left"/>
        <w:tblInd w:w="0" w:type="dxa"/>
        <w:tblLayout w:type="fixed"/>
        <w:tblCellMar>
          <w:top w:w="28" w:type="dxa"/>
          <w:left w:w="28" w:type="dxa"/>
          <w:bottom w:w="28" w:type="dxa"/>
          <w:right w:w="28" w:type="dxa"/>
        </w:tblCellMar>
      </w:tblPr>
      <w:tblGrid>
        <w:gridCol w:w="1861"/>
        <w:gridCol w:w="146"/>
        <w:gridCol w:w="383"/>
        <w:gridCol w:w="847"/>
        <w:gridCol w:w="166"/>
        <w:gridCol w:w="146"/>
        <w:gridCol w:w="401"/>
        <w:gridCol w:w="889"/>
        <w:gridCol w:w="166"/>
        <w:gridCol w:w="146"/>
        <w:gridCol w:w="477"/>
        <w:gridCol w:w="1053"/>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vAlign w:val="center"/>
          </w:tcPr>
          <w:p>
            <w:pPr>
              <w:pStyle w:val="TableContents"/>
              <w:bidi w:val="0"/>
              <w:spacing w:before="0" w:after="0"/>
              <w:ind w:left="0" w:right="0" w:hanging="0"/>
              <w:jc w:val="right"/>
              <w:rPr/>
            </w:pPr>
            <w:r>
              <w:rPr/>
              <w:t> </w:t>
            </w:r>
          </w:p>
        </w:tc>
        <w:tc>
          <w:tcPr>
            <w:tcW w:w="123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Basis Point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Expense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Interest Income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 300 basis points</w:t>
            </w:r>
          </w:p>
        </w:tc>
        <w:tc>
          <w:tcPr>
            <w:tcW w:w="146" w:type="dxa"/>
            <w:tcBorders/>
            <w:vAlign w:val="center"/>
          </w:tcPr>
          <w:p>
            <w:pPr>
              <w:pStyle w:val="TableContents"/>
              <w:bidi w:val="0"/>
              <w:spacing w:before="0" w:after="0"/>
              <w:ind w:left="0" w:right="0" w:hanging="0"/>
              <w:jc w:val="right"/>
              <w:rPr/>
            </w:pPr>
            <w:r>
              <w:rPr/>
              <w:t> </w:t>
            </w:r>
          </w:p>
        </w:tc>
        <w:tc>
          <w:tcPr>
            <w:tcW w:w="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11"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 200 basis points</w:t>
            </w:r>
          </w:p>
        </w:tc>
        <w:tc>
          <w:tcPr>
            <w:tcW w:w="146" w:type="dxa"/>
            <w:tcBorders/>
            <w:vAlign w:val="center"/>
          </w:tcPr>
          <w:p>
            <w:pPr>
              <w:pStyle w:val="TableContents"/>
              <w:bidi w:val="0"/>
              <w:spacing w:before="0" w:after="0"/>
              <w:ind w:left="0" w:right="0" w:hanging="0"/>
              <w:jc w:val="right"/>
              <w:rPr/>
            </w:pPr>
            <w:r>
              <w:rPr/>
              <w:t> </w:t>
            </w:r>
          </w:p>
        </w:tc>
        <w:tc>
          <w:tcPr>
            <w:tcW w:w="383"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11"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Up 100 basis points</w:t>
            </w:r>
          </w:p>
        </w:tc>
        <w:tc>
          <w:tcPr>
            <w:tcW w:w="146" w:type="dxa"/>
            <w:tcBorders/>
            <w:vAlign w:val="center"/>
          </w:tcPr>
          <w:p>
            <w:pPr>
              <w:pStyle w:val="TableContents"/>
              <w:bidi w:val="0"/>
              <w:spacing w:before="0" w:after="0"/>
              <w:ind w:left="0" w:right="0" w:hanging="0"/>
              <w:jc w:val="right"/>
              <w:rPr/>
            </w:pPr>
            <w:r>
              <w:rPr/>
              <w:t> </w:t>
            </w:r>
          </w:p>
        </w:tc>
        <w:tc>
          <w:tcPr>
            <w:tcW w:w="383"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Down 25 basis points</w:t>
            </w:r>
          </w:p>
        </w:tc>
        <w:tc>
          <w:tcPr>
            <w:tcW w:w="146" w:type="dxa"/>
            <w:tcBorders/>
            <w:vAlign w:val="center"/>
          </w:tcPr>
          <w:p>
            <w:pPr>
              <w:pStyle w:val="TableContents"/>
              <w:bidi w:val="0"/>
              <w:spacing w:before="0" w:after="0"/>
              <w:ind w:left="0" w:right="0" w:hanging="0"/>
              <w:jc w:val="right"/>
              <w:rPr/>
            </w:pPr>
            <w:r>
              <w:rPr/>
              <w:t> </w:t>
            </w:r>
          </w:p>
        </w:tc>
        <w:tc>
          <w:tcPr>
            <w:tcW w:w="383"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Down 50 basis points</w:t>
            </w:r>
          </w:p>
        </w:tc>
        <w:tc>
          <w:tcPr>
            <w:tcW w:w="146" w:type="dxa"/>
            <w:tcBorders/>
            <w:vAlign w:val="center"/>
          </w:tcPr>
          <w:p>
            <w:pPr>
              <w:pStyle w:val="TableContents"/>
              <w:bidi w:val="0"/>
              <w:spacing w:before="0" w:after="0"/>
              <w:ind w:left="0" w:right="0" w:hanging="0"/>
              <w:jc w:val="right"/>
              <w:rPr/>
            </w:pPr>
            <w:r>
              <w:rPr/>
              <w:t> </w:t>
            </w:r>
          </w:p>
        </w:tc>
        <w:tc>
          <w:tcPr>
            <w:tcW w:w="383"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believe that this analysis is indicative of our existing sensitivity to interest rate changes, it does not adjust for changes</w:t>
        <w:br/>
        <w:t>in the credit market, credit quality, the size and composition of the assets in our portfolio and other business developments that could</w:t>
        <w:br/>
        <w:t>affect our net income. Accordingly, we cannot assure you that actual results would not differ materially from the analysis above.</w:t>
        <w:br/>
      </w:r>
      <w:r>
        <w:rPr>
          <w:rFonts w:ascii="Times New Roman" w:hAnsi="Times New Roman"/>
          <w:sz w:val="20"/>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in the future hedge against interest rate fluctuations by using hedging instruments such as additional interest rate swaps,</w:t>
        <w:br/>
        <w:t>futures, options and forward contracts. While hedging activities may mitigate our exposure to adverse fluctuations in interest rates,</w:t>
        <w:br/>
        <w:t>certain hedging transactions that we may enter into in the future, such as interest rate swap agreements, may also limit our ability to</w:t>
        <w:br/>
        <w:t>participate in the benefits of changes in interest rates with respect to our portfolio investments.</w:t>
      </w:r>
    </w:p>
    <w:p>
      <w:pPr>
        <w:pStyle w:val="TextBody"/>
        <w:bidi w:val="0"/>
        <w:spacing w:before="240" w:after="0"/>
        <w:jc w:val="left"/>
        <w:rPr>
          <w:rFonts w:ascii="Times New Roman" w:hAnsi="Times New Roman"/>
          <w:sz w:val="20"/>
        </w:rPr>
      </w:pPr>
      <w:r>
        <w:rPr>
          <w:rFonts w:ascii="Times New Roman;serif" w:hAnsi="Times New Roman;serif"/>
          <w:b/>
          <w:i/>
          <w:sz w:val="20"/>
        </w:rPr>
        <w:t>Currency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pStyle w:val="TextBody"/>
        <w:bidi w:val="0"/>
        <w:spacing w:before="240" w:after="0"/>
        <w:jc w:val="left"/>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 w:hAnsi="Times New Roman"/>
          <w:sz w:val="20"/>
        </w:rPr>
      </w:pPr>
      <w:r>
        <w:rPr>
          <w:rFonts w:ascii="Times New Roman;serif" w:hAnsi="Times New Roman;serif"/>
          <w:b/>
          <w:i/>
          <w:sz w:val="20"/>
        </w:rPr>
        <w:t>Evaluation of Disclosure Controls and Procedures.</w:t>
      </w:r>
      <w:r>
        <w:rPr>
          <w:rFonts w:ascii="Times New Roman" w:hAnsi="Times New Roman"/>
          <w:sz w:val="20"/>
        </w:rPr>
        <w:t xml:space="preserve"> </w:t>
      </w:r>
      <w:r>
        <w:rPr>
          <w:rFonts w:ascii="Times New Roman;serif" w:hAnsi="Times New Roman;serif"/>
          <w:b w:val="false"/>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r>
        <w:rPr>
          <w:rFonts w:ascii="Times New Roman;serif" w:hAnsi="Times New Roman;serif"/>
          <w:b w:val="false"/>
          <w:sz w:val="20"/>
        </w:rPr>
        <w:t>There have been no changes in our internal control over financial reporting that occurred during our most recently completed fiscal quarter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3" w:name="part_ii_or_information"/>
      <w:bookmarkEnd w:id="13"/>
      <w:r>
        <w:rPr>
          <w:rFonts w:ascii="Times New Roman;serif" w:hAnsi="Times New Roman;serif"/>
          <w:b/>
          <w:sz w:val="20"/>
        </w:rPr>
        <w:t>PART II – OTHER INFORMATION</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4" w:name="item_1_legal_proceedings"/>
      <w:bookmarkEnd w:id="14"/>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information regarding factors that could affect our results of operations, financial condition and liquidity, see the risk factors discussed in Part I, “Item 1A. Risk Factors” in our Annual Report on Form 10-K for the fiscal year ended December 31, 2022.</w:t>
      </w:r>
    </w:p>
    <w:p>
      <w:pPr>
        <w:pStyle w:val="TextBody"/>
        <w:bidi w:val="0"/>
        <w:spacing w:before="36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Refer to our Current Reports on Form 8-K filed with SEC on March 24, 2023 for information about unregistered sales of our equity securities during the quarter.</w:t>
      </w:r>
    </w:p>
    <w:p>
      <w:pPr>
        <w:pStyle w:val="TextBody"/>
        <w:bidi w:val="0"/>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9" w:name="item_5_or_information"/>
      <w:bookmarkEnd w:id="19"/>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 w:hAnsi="Times New Roman"/>
          <w:sz w:val="20"/>
        </w:rPr>
      </w:pPr>
      <w:bookmarkStart w:id="20" w:name="item_6_exhibits"/>
      <w:bookmarkEnd w:id="20"/>
      <w:r>
        <w:rPr>
          <w:rFonts w:ascii="Times New Roman;serif" w:hAnsi="Times New Roman;serif"/>
          <w:b/>
          <w:sz w:val="20"/>
        </w:rPr>
        <w:t>Item 6. Exhibits.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(a)</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Exhibits. </w:t>
      </w:r>
    </w:p>
    <w:tbl>
      <w:tblPr>
        <w:tblW w:w="10205" w:type="dxa"/>
        <w:jc w:val="left"/>
        <w:tblInd w:w="0" w:type="dxa"/>
        <w:tblLayout w:type="fixed"/>
        <w:tblCellMar>
          <w:top w:w="28" w:type="dxa"/>
          <w:left w:w="28" w:type="dxa"/>
          <w:bottom w:w="28" w:type="dxa"/>
          <w:right w:w="28" w:type="dxa"/>
        </w:tblCellMar>
      </w:tblPr>
      <w:tblGrid>
        <w:gridCol w:w="481"/>
        <w:gridCol w:w="146"/>
        <w:gridCol w:w="9578"/>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8" w:type="dxa"/>
            <w:tcBorders/>
            <w:vAlign w:val="center"/>
          </w:tcPr>
          <w:p>
            <w:pPr>
              <w:pStyle w:val="TableContents"/>
              <w:bidi w:val="0"/>
              <w:spacing w:before="0" w:after="283"/>
              <w:jc w:val="left"/>
              <w:rPr>
                <w:sz w:val="4"/>
                <w:szCs w:val="4"/>
              </w:rPr>
            </w:pPr>
            <w:r>
              <w:rPr>
                <w:sz w:val="4"/>
                <w:szCs w:val="4"/>
              </w:rPr>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Second Amended and Restated Declaration of Trust</w:t>
              </w:r>
            </w:hyperlink>
            <w:r>
              <w:rPr>
                <w:rFonts w:ascii="Times New Roman" w:hAnsi="Times New Roman"/>
                <w:sz w:val="20"/>
              </w:rPr>
              <w:t> </w:t>
            </w:r>
            <w:r>
              <w:rPr>
                <w:rFonts w:ascii="Times New Roman;serif" w:hAnsi="Times New Roman;serif"/>
                <w:b w:val="false"/>
                <w:sz w:val="13"/>
              </w:rPr>
              <w:t>(1)</w:t>
            </w:r>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Bylaws</w:t>
              </w:r>
            </w:hyperlink>
            <w:r>
              <w:rPr>
                <w:rFonts w:ascii="Times New Roman" w:hAnsi="Times New Roman"/>
                <w:sz w:val="20"/>
              </w:rPr>
              <w:t> </w:t>
            </w:r>
            <w:r>
              <w:rPr>
                <w:rFonts w:ascii="Times New Roman;serif" w:hAnsi="Times New Roman;serif"/>
                <w:b w:val="false"/>
                <w:sz w:val="13"/>
              </w:rPr>
              <w:t>(2)</w:t>
            </w:r>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Form of Subscription Agreement</w:t>
              </w:r>
            </w:hyperlink>
            <w:r>
              <w:rPr>
                <w:rFonts w:ascii="Times New Roman" w:hAnsi="Times New Roman"/>
                <w:sz w:val="20"/>
              </w:rPr>
              <w:t> </w:t>
            </w:r>
            <w:r>
              <w:rPr>
                <w:rFonts w:ascii="Times New Roman;serif" w:hAnsi="Times New Roman;serif"/>
                <w:b w:val="false"/>
                <w:sz w:val="13"/>
              </w:rPr>
              <w:t>(3)</w:t>
            </w:r>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Advisory Agreement</w:t>
              </w:r>
            </w:hyperlink>
            <w:r>
              <w:rPr>
                <w:rFonts w:ascii="Times New Roman" w:hAnsi="Times New Roman"/>
                <w:sz w:val="20"/>
              </w:rPr>
              <w:t> </w:t>
            </w:r>
            <w:r>
              <w:rPr>
                <w:rFonts w:ascii="Times New Roman;serif" w:hAnsi="Times New Roman;serif"/>
                <w:b w:val="false"/>
                <w:sz w:val="13"/>
              </w:rPr>
              <w:t>(4)</w:t>
            </w:r>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 xml:space="preserve">Administration Agreement </w:t>
              </w:r>
            </w:hyperlink>
            <w:hyperlink r:id="rId7">
              <w:r>
                <w:rPr>
                  <w:rStyle w:val="InternetLink"/>
                  <w:rFonts w:ascii="Times New Roman;serif" w:hAnsi="Times New Roman;serif"/>
                  <w:b w:val="false"/>
                  <w:sz w:val="13"/>
                </w:rPr>
                <w:t>(5)</w:t>
              </w:r>
            </w:hyperlink>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 xml:space="preserve">Trademark and License Agreement </w:t>
              </w:r>
            </w:hyperlink>
            <w:hyperlink r:id="rId9">
              <w:r>
                <w:rPr>
                  <w:rStyle w:val="InternetLink"/>
                  <w:rFonts w:ascii="Times New Roman;serif" w:hAnsi="Times New Roman;serif"/>
                  <w:b w:val="false"/>
                  <w:sz w:val="13"/>
                </w:rPr>
                <w:t>(6)</w:t>
              </w:r>
            </w:hyperlink>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10">
              <w:r>
                <w:rPr>
                  <w:rStyle w:val="InternetLink"/>
                  <w:rFonts w:ascii="Times New Roman;serif" w:hAnsi="Times New Roman;serif"/>
                  <w:b w:val="false"/>
                  <w:sz w:val="20"/>
                  <w:u w:val="single"/>
                </w:rPr>
                <w:t>Expense Support and Conditional Reimbursement Agreement</w:t>
              </w:r>
            </w:hyperlink>
            <w:r>
              <w:rPr>
                <w:rFonts w:ascii="Times New Roman" w:hAnsi="Times New Roman"/>
                <w:sz w:val="20"/>
              </w:rPr>
              <w:t> </w:t>
            </w:r>
            <w:r>
              <w:rPr>
                <w:rFonts w:ascii="Times New Roman;serif" w:hAnsi="Times New Roman;serif"/>
                <w:b w:val="false"/>
                <w:sz w:val="13"/>
              </w:rPr>
              <w:t>(7)</w:t>
            </w:r>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11">
              <w:r>
                <w:rPr>
                  <w:rStyle w:val="InternetLink"/>
                  <w:rFonts w:ascii="Times New Roman;serif" w:hAnsi="Times New Roman;serif"/>
                  <w:b w:val="false"/>
                  <w:sz w:val="20"/>
                  <w:u w:val="single"/>
                </w:rPr>
                <w:t>Revolving Credit Agreement, dated as of September 1, 2022, by and among Sixth Street Lending Partners and Wells Fargo Bank, N.A.</w:t>
              </w:r>
            </w:hyperlink>
            <w:r>
              <w:rPr>
                <w:rFonts w:ascii="Times New Roman" w:hAnsi="Times New Roman"/>
                <w:sz w:val="20"/>
              </w:rPr>
              <w:t> </w:t>
            </w:r>
            <w:r>
              <w:rPr>
                <w:rFonts w:ascii="Times New Roman;serif" w:hAnsi="Times New Roman;serif"/>
                <w:b w:val="false"/>
                <w:sz w:val="13"/>
              </w:rPr>
              <w:t>(8)</w:t>
            </w:r>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12">
              <w:r>
                <w:rPr>
                  <w:rStyle w:val="InternetLink"/>
                  <w:rFonts w:ascii="Times New Roman;serif" w:hAnsi="Times New Roman;serif"/>
                  <w:b w:val="false"/>
                  <w:sz w:val="20"/>
                  <w:u w:val="single"/>
                </w:rPr>
                <w:t>Lender Joinder and First Amendment to Revolving Credit Agreement, dated as of December 21, 2022, by and among Sixth Street Lending Partners and Wells Fargo Bank, N.A.</w:t>
              </w:r>
            </w:hyperlink>
            <w:r>
              <w:rPr>
                <w:rFonts w:ascii="Times New Roman" w:hAnsi="Times New Roman"/>
                <w:sz w:val="20"/>
              </w:rPr>
              <w:t xml:space="preserve"> </w:t>
            </w:r>
            <w:r>
              <w:rPr>
                <w:rFonts w:ascii="Times New Roman;serif" w:hAnsi="Times New Roman;serif"/>
                <w:b w:val="false"/>
                <w:sz w:val="13"/>
              </w:rPr>
              <w:t>(9)</w:t>
            </w:r>
          </w:p>
          <w:p>
            <w:pPr>
              <w:pStyle w:val="TableContents"/>
              <w:bidi w:val="0"/>
              <w:spacing w:before="0" w:after="0"/>
              <w:ind w:left="0" w:right="0" w:hanging="0"/>
              <w:jc w:val="left"/>
              <w:rPr/>
            </w:pPr>
            <w:r>
              <w:rPr/>
              <w:t> </w:t>
            </w:r>
          </w:p>
        </w:tc>
      </w:tr>
      <w:tr>
        <w:trPr/>
        <w:tc>
          <w:tcPr>
            <w:tcW w:w="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vAlign w:val="center"/>
          </w:tcPr>
          <w:p>
            <w:pPr>
              <w:pStyle w:val="TableContents"/>
              <w:bidi w:val="0"/>
              <w:spacing w:before="0" w:after="0"/>
              <w:ind w:left="0" w:right="0" w:hanging="0"/>
              <w:jc w:val="left"/>
              <w:rPr/>
            </w:pPr>
            <w:r>
              <w:rPr/>
              <w:t> </w:t>
            </w:r>
          </w:p>
        </w:tc>
        <w:tc>
          <w:tcPr>
            <w:tcW w:w="9578" w:type="dxa"/>
            <w:tcBorders/>
            <w:vAlign w:val="center"/>
          </w:tcPr>
          <w:p>
            <w:pPr>
              <w:pStyle w:val="TableContents"/>
              <w:bidi w:val="0"/>
              <w:spacing w:before="0" w:after="0"/>
              <w:ind w:left="0" w:right="0" w:hanging="0"/>
              <w:jc w:val="left"/>
              <w:rPr/>
            </w:pPr>
            <w:hyperlink r:id="rId13">
              <w:r>
                <w:rPr>
                  <w:rStyle w:val="InternetLink"/>
                  <w:rFonts w:ascii="Times New Roman;serif" w:hAnsi="Times New Roman;serif"/>
                  <w:b w:val="false"/>
                  <w:sz w:val="20"/>
                  <w:u w:val="single"/>
                </w:rPr>
                <w:t>Senior Secured Revolving Credit Agreement, dated January 19, 2023, between Sixth Street Lending Partners, the Lenders and Issuing Banks party thereto and Truist Bank as Administrative Agent.</w:t>
              </w:r>
            </w:hyperlink>
            <w:r>
              <w:rPr>
                <w:rFonts w:ascii="Times New Roman" w:hAnsi="Times New Roman"/>
                <w:sz w:val="20"/>
              </w:rPr>
              <w:t xml:space="preserve"> </w:t>
            </w:r>
            <w:r>
              <w:rPr>
                <w:rFonts w:ascii="Times New Roman;serif" w:hAnsi="Times New Roman;serif"/>
                <w:b w:val="false"/>
                <w:sz w:val="13"/>
              </w:rPr>
              <w:t>(10)</w:t>
            </w:r>
          </w:p>
          <w:p>
            <w:pPr>
              <w:pStyle w:val="TableContents"/>
              <w:bidi w:val="0"/>
              <w:spacing w:before="0" w:after="0"/>
              <w:ind w:left="0" w:right="0" w:hanging="0"/>
              <w:jc w:val="left"/>
              <w:rPr/>
            </w:pPr>
            <w:r>
              <w:rPr/>
              <w:t> </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37"/>
        <w:gridCol w:w="146"/>
        <w:gridCol w:w="9322"/>
      </w:tblGrid>
      <w:tr>
        <w:trPr/>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2" w:type="dxa"/>
            <w:tcBorders/>
            <w:vAlign w:val="center"/>
          </w:tcPr>
          <w:p>
            <w:pPr>
              <w:pStyle w:val="TableContents"/>
              <w:bidi w:val="0"/>
              <w:spacing w:before="0" w:after="283"/>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pPr>
            <w:hyperlink w:anchor="ck0001925309-ex31_1.htm">
              <w:r>
                <w:rPr>
                  <w:rStyle w:val="InternetLink"/>
                  <w:rFonts w:ascii="Times New Roman;serif" w:hAnsi="Times New Roman;serif"/>
                  <w:b w:val="false"/>
                  <w:sz w:val="20"/>
                  <w:u w:val="single"/>
                </w:rPr>
                <w:t>Certification of Chief Executive Officer Pursuant to 18 U.S.C. Section 1350, as Adopted Pursuant to Section 302 of the Sarbanes-Oxley Act of 2002</w:t>
              </w:r>
            </w:hyperlink>
          </w:p>
          <w:p>
            <w:pPr>
              <w:pStyle w:val="TableContents"/>
              <w:bidi w:val="0"/>
              <w:spacing w:before="0" w:after="0"/>
              <w:ind w:left="0" w:right="0" w:hanging="0"/>
              <w:jc w:val="left"/>
              <w:rPr/>
            </w:pPr>
            <w:r>
              <w:rPr/>
              <w:t> </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pPr>
            <w:hyperlink w:anchor="ck0001925309-ex31_2.htm">
              <w:r>
                <w:rPr>
                  <w:rStyle w:val="InternetLink"/>
                  <w:rFonts w:ascii="Times New Roman;serif" w:hAnsi="Times New Roman;serif"/>
                  <w:b w:val="false"/>
                  <w:sz w:val="20"/>
                  <w:u w:val="single"/>
                </w:rPr>
                <w:t>Certification of Chief Financial Officer Pursuant to 18 U.S.C. Section 1350, as Adopted Pursuant to Section 302 of the Sarbanes-Oxley Act of 2002</w:t>
              </w:r>
            </w:hyperlink>
          </w:p>
          <w:p>
            <w:pPr>
              <w:pStyle w:val="TableContents"/>
              <w:bidi w:val="0"/>
              <w:spacing w:before="0" w:after="0"/>
              <w:ind w:left="0" w:right="0" w:hanging="0"/>
              <w:jc w:val="left"/>
              <w:rPr/>
            </w:pPr>
            <w:r>
              <w:rPr/>
              <w:t> </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pPr>
            <w:hyperlink w:anchor="ck0001925309-ex32.htm">
              <w:r>
                <w:rPr>
                  <w:rStyle w:val="InternetLink"/>
                  <w:rFonts w:ascii="Times New Roman;serif" w:hAnsi="Times New Roman;serif"/>
                  <w:b w:val="false"/>
                  <w:sz w:val="20"/>
                  <w:u w:val="single"/>
                </w:rPr>
                <w:t>Certification of CEO and CFO Pursuant to 18 U.S.C. Section 1350, as Adopted Pursuant to Section 906 of the Sarbanes-Oxley Act of 2002</w:t>
              </w:r>
            </w:hyperlink>
          </w:p>
          <w:p>
            <w:pPr>
              <w:pStyle w:val="TableContents"/>
              <w:bidi w:val="0"/>
              <w:spacing w:before="0" w:after="0"/>
              <w:ind w:left="0" w:right="0" w:hanging="0"/>
              <w:jc w:val="left"/>
              <w:rPr/>
            </w:pPr>
            <w:r>
              <w:rPr/>
              <w:t> </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3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Incorporated by reference to Exhibit 3.1 to the Company’s Registration Statement on Form 10 (File No. 000-56455), filed on August 22,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 Incorporated by reference to Exhibit 3.2 to the Company’s Registration Statement on Form 10 (File No. 000-56455), filed on June 28,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(3) Incorporated by reference to Exhibit 4.1 to the Company’s Registration Statement on Form 10 (File No. 000-56455), filed on June 28,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(4) Incorporated by reference to Exhibit 10.1 to the Company’s Registration Statement on Form 10 (File No. 000-56455), filed on June 28,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(5) Incorporated by reference to Exhibit 10.2 to the Company’s Registration Statement on Form 10 (File No. 000-56455), filed on June 28,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(6) Incorporated by reference to Exhibit 10.3 to the Company’s Registration Statement on Form 10 (File No. 000-56455), filed on June 28,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(7) Incorporated by reference to Exhibit 10.5 to the Company’s Registration Statement on Form 10 (File No. 000-56455), filed on June 28,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(8) Incorporated by reference to Exhibit 10.1 to the Company’s Current Report on Form 8-K (File No. 814-01543), filed on September 6,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(9) Incorporated by reference to Exhibit 10.1 to the Company’s Current Report on Form 8-K (File No. 814-01543), filed on December 22,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(10) Incorporated by reference to Exhibit 10.1 to the Company’s Current Report on Form 8-K (File No. 814-01543), filed on January 24, 2023.</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1" w:name="signatures"/>
      <w:bookmarkEnd w:id="21"/>
      <w:r>
        <w:rPr>
          <w:rFonts w:ascii="Times New Roman;serif" w:hAnsi="Times New Roman;serif"/>
          <w:b/>
          <w:caps/>
          <w:sz w:val="20"/>
        </w:rPr>
        <w:t>SIGNATURES</w:t>
      </w:r>
      <w:r>
        <w:rPr>
          <w:rFonts w:ascii="Times New Roman" w:hAnsi="Times New Roman"/>
          <w:caps/>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4510" w:type="dxa"/>
        <w:jc w:val="left"/>
        <w:tblInd w:w="0" w:type="dxa"/>
        <w:tblLayout w:type="fixed"/>
        <w:tblCellMar>
          <w:top w:w="28" w:type="dxa"/>
          <w:left w:w="28" w:type="dxa"/>
          <w:bottom w:w="28" w:type="dxa"/>
          <w:right w:w="28" w:type="dxa"/>
        </w:tblCellMar>
      </w:tblPr>
      <w:tblGrid>
        <w:gridCol w:w="1741"/>
        <w:gridCol w:w="146"/>
        <w:gridCol w:w="406"/>
        <w:gridCol w:w="14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623"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Sixth Street Lending Partners</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12,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12,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2" w:name="ck0001925309-ex31_1.htm"/>
      <w:bookmarkStart w:id="23" w:name="ksck0001925309ex31_1"/>
      <w:bookmarkEnd w:id="22"/>
      <w:bookmarkEnd w:id="23"/>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u w:val="single"/>
        </w:rPr>
        <w:t>CEO CERTIFICATION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Joshua Easterly, certify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(1) I have reviewed this quarterly report on Form 10-Q of Sixth Street Lending Partners (the “registrant”);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4510" w:type="dxa"/>
        <w:jc w:val="left"/>
        <w:tblInd w:w="0" w:type="dxa"/>
        <w:tblLayout w:type="fixed"/>
        <w:tblCellMar>
          <w:top w:w="28" w:type="dxa"/>
          <w:left w:w="28" w:type="dxa"/>
          <w:bottom w:w="28" w:type="dxa"/>
          <w:right w:w="28" w:type="dxa"/>
        </w:tblCellMar>
      </w:tblPr>
      <w:tblGrid>
        <w:gridCol w:w="1741"/>
        <w:gridCol w:w="146"/>
        <w:gridCol w:w="406"/>
        <w:gridCol w:w="14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12,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1741"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406"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2071" w:type="dxa"/>
            <w:tcBorders/>
            <w:vAlign w:val="center"/>
          </w:tcPr>
          <w:p>
            <w:pPr>
              <w:pStyle w:val="TableContents"/>
              <w:bidi w:val="0"/>
              <w:spacing w:before="4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4" w:name="ck0001925309-ex31_2.htm"/>
      <w:bookmarkStart w:id="25" w:name="ksck0001925309ex31_2"/>
      <w:bookmarkEnd w:id="24"/>
      <w:bookmarkEnd w:id="25"/>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u w:val="single"/>
        </w:rPr>
        <w:t>CFO CERTIFICATION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Ian Simmonds, certify that: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Sixth Street Lending Partners (the “registrant”);</w:t>
      </w:r>
    </w:p>
    <w:p>
      <w:pPr>
        <w:pStyle w:val="TextBody"/>
        <w:bidi w:val="0"/>
        <w:spacing w:before="12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4450" w:type="dxa"/>
        <w:jc w:val="left"/>
        <w:tblInd w:w="0" w:type="dxa"/>
        <w:tblLayout w:type="fixed"/>
        <w:tblCellMar>
          <w:top w:w="28" w:type="dxa"/>
          <w:left w:w="28" w:type="dxa"/>
          <w:bottom w:w="28" w:type="dxa"/>
          <w:right w:w="28" w:type="dxa"/>
        </w:tblCellMar>
      </w:tblPr>
      <w:tblGrid>
        <w:gridCol w:w="1741"/>
        <w:gridCol w:w="146"/>
        <w:gridCol w:w="406"/>
        <w:gridCol w:w="146"/>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12,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01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1741"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406" w:type="dxa"/>
            <w:tcBorders/>
            <w:vAlign w:val="center"/>
          </w:tcPr>
          <w:p>
            <w:pPr>
              <w:pStyle w:val="TableContents"/>
              <w:bidi w:val="0"/>
              <w:spacing w:before="40" w:after="0"/>
              <w:ind w:left="0" w:right="0" w:hanging="0"/>
              <w:jc w:val="left"/>
              <w:rPr/>
            </w:pPr>
            <w:r>
              <w:rPr/>
              <w:t> </w:t>
            </w:r>
          </w:p>
        </w:tc>
        <w:tc>
          <w:tcPr>
            <w:tcW w:w="146" w:type="dxa"/>
            <w:tcBorders/>
            <w:vAlign w:val="center"/>
          </w:tcPr>
          <w:p>
            <w:pPr>
              <w:pStyle w:val="TableContents"/>
              <w:bidi w:val="0"/>
              <w:spacing w:before="40" w:after="0"/>
              <w:ind w:left="0" w:right="0" w:hanging="0"/>
              <w:jc w:val="left"/>
              <w:rPr/>
            </w:pPr>
            <w:r>
              <w:rPr/>
              <w:t> </w:t>
            </w:r>
          </w:p>
        </w:tc>
        <w:tc>
          <w:tcPr>
            <w:tcW w:w="2011" w:type="dxa"/>
            <w:tcBorders/>
            <w:vAlign w:val="center"/>
          </w:tcPr>
          <w:p>
            <w:pPr>
              <w:pStyle w:val="TableContents"/>
              <w:bidi w:val="0"/>
              <w:spacing w:before="4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26" w:name="ck0001925309-ex32.htm"/>
      <w:bookmarkStart w:id="27" w:name="ksck0001925309ex32"/>
      <w:bookmarkEnd w:id="26"/>
      <w:bookmarkEnd w:id="27"/>
      <w:r>
        <w:rPr>
          <w:rFonts w:ascii="Times New Roman;serif" w:hAnsi="Times New Roman;serif"/>
          <w:b/>
          <w:sz w:val="20"/>
        </w:rPr>
        <w:t>Exhibit 32</w:t>
      </w:r>
      <w:r>
        <w:rPr>
          <w:rFonts w:ascii="Times New Roman" w:hAnsi="Times New Roman"/>
          <w:sz w:val="20"/>
        </w:rPr>
        <w:t xml:space="preserve"> </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CEO and CFO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on Form 10-Q of Sixth Street Lending Partners (the “Company”) for the quarterly period ended March 31, 2023,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(1) The Report fully complies with the requirements of Section 13(a) or 15(d) of the Securities Exchange Act of 1934, as amended;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(2) The information contained in the Report fairly presents, in all material respects, the financial condition and results of operations of the Company.</w:t>
      </w:r>
      <w:r>
        <w:rPr>
          <w:rFonts w:ascii="Times New Roman" w:hAnsi="Times New Roman"/>
          <w:sz w:val="20"/>
        </w:rPr>
        <w:t xml:space="preserve"> </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12, 2023</w:t>
            </w:r>
          </w:p>
        </w:tc>
      </w:tr>
    </w:tbl>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12, 2023</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foregoing certification is being furnished solely pursuant to 18 U.S.C. §1350 and is not being filed as part of the Report or as a separate disclosure document.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5309/000119312522226504/d260658dex31.htm" TargetMode="External"/><Relationship Id="rId3" Type="http://schemas.openxmlformats.org/officeDocument/2006/relationships/hyperlink" Target="https://www.sec.gov/Archives/edgar/data/1925309/000119312522183512/d260658dex32.htm" TargetMode="External"/><Relationship Id="rId4" Type="http://schemas.openxmlformats.org/officeDocument/2006/relationships/hyperlink" Target="https://www.sec.gov/Archives/edgar/data/1925309/000119312522183512/d260658dex41.htm" TargetMode="External"/><Relationship Id="rId5" Type="http://schemas.openxmlformats.org/officeDocument/2006/relationships/hyperlink" Target="https://www.sec.gov/Archives/edgar/data/1925309/000119312522183512/d260658dex101.htm" TargetMode="External"/><Relationship Id="rId6" Type="http://schemas.openxmlformats.org/officeDocument/2006/relationships/hyperlink" Target="https://www.sec.gov/Archives/edgar/data/1925309/000119312522183512/d260658dex102.htm" TargetMode="External"/><Relationship Id="rId7" Type="http://schemas.openxmlformats.org/officeDocument/2006/relationships/hyperlink" Target="https://www.sec.gov/Archives/edgar/data/1925309/000119312522183512/d260658dex102.htm" TargetMode="External"/><Relationship Id="rId8" Type="http://schemas.openxmlformats.org/officeDocument/2006/relationships/hyperlink" Target="https://www.sec.gov/Archives/edgar/data/1925309/000119312522183512/d260658dex103.htm" TargetMode="External"/><Relationship Id="rId9" Type="http://schemas.openxmlformats.org/officeDocument/2006/relationships/hyperlink" Target="https://www.sec.gov/Archives/edgar/data/1925309/000119312522183512/d260658dex103.htm" TargetMode="External"/><Relationship Id="rId10" Type="http://schemas.openxmlformats.org/officeDocument/2006/relationships/hyperlink" Target="https://www.sec.gov/Archives/edgar/data/1925309/000119312522183512/d260658dex105.htm" TargetMode="External"/><Relationship Id="rId11" Type="http://schemas.openxmlformats.org/officeDocument/2006/relationships/hyperlink" Target="https://www.sec.gov/Archives/edgar/data/1925309/000119312522239007/d304088dex101.htm" TargetMode="External"/><Relationship Id="rId12" Type="http://schemas.openxmlformats.org/officeDocument/2006/relationships/hyperlink" Target="https://www.sec.gov/Archives/edgar/data/1925309/000119312522311034/d413255dex101.htm" TargetMode="External"/><Relationship Id="rId13" Type="http://schemas.openxmlformats.org/officeDocument/2006/relationships/hyperlink" Target="https://www.sec.gov/Archives/edgar/data/1925309/000119312523014261/d426575d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26103</Words>
  <Characters>142265</Characters>
  <CharactersWithSpaces>170539</CharactersWithSpaces>
  <Paragraphs>6782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