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55390dsc13da.htm"/>
      <w:bookmarkStart w:id="1" w:name="ksd555390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SIXTH STREET LENDING PARTNERS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shares of beneficial interest, par value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Ricardo Davidovich, Esq. </w:t>
      </w:r>
    </w:p>
    <w:p>
      <w:pPr>
        <w:pStyle w:val="TextBody"/>
        <w:bidi w:val="0"/>
        <w:spacing w:before="0" w:after="0"/>
        <w:jc w:val="center"/>
        <w:rPr>
          <w:rFonts w:ascii="Times New Roman" w:hAnsi="Times New Roman"/>
          <w:b/>
          <w:sz w:val="20"/>
        </w:rPr>
      </w:pPr>
      <w:r>
        <w:rPr>
          <w:rFonts w:ascii="Times New Roman" w:hAnsi="Times New Roman"/>
          <w:b/>
          <w:sz w:val="20"/>
        </w:rPr>
        <w:t xml:space="preserve">Haynes and Boone, LLP </w:t>
      </w:r>
    </w:p>
    <w:p>
      <w:pPr>
        <w:pStyle w:val="TextBody"/>
        <w:bidi w:val="0"/>
        <w:spacing w:before="0" w:after="0"/>
        <w:jc w:val="center"/>
        <w:rPr>
          <w:rFonts w:ascii="Times New Roman" w:hAnsi="Times New Roman"/>
          <w:b/>
          <w:sz w:val="20"/>
        </w:rPr>
      </w:pPr>
      <w:r>
        <w:rPr>
          <w:rFonts w:ascii="Times New Roman" w:hAnsi="Times New Roman"/>
          <w:b/>
          <w:sz w:val="20"/>
        </w:rPr>
        <w:t xml:space="preserve">30 Rockefeller Plaza </w:t>
      </w:r>
    </w:p>
    <w:p>
      <w:pPr>
        <w:pStyle w:val="TextBody"/>
        <w:bidi w:val="0"/>
        <w:spacing w:before="0" w:after="0"/>
        <w:jc w:val="center"/>
        <w:rPr>
          <w:rFonts w:ascii="Times New Roman" w:hAnsi="Times New Roman"/>
          <w:b/>
          <w:sz w:val="20"/>
        </w:rPr>
      </w:pPr>
      <w:r>
        <w:rPr>
          <w:rFonts w:ascii="Times New Roman" w:hAnsi="Times New Roman"/>
          <w:b/>
          <w:sz w:val="20"/>
        </w:rPr>
        <w:t xml:space="preserve">26th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10112 </w:t>
      </w:r>
    </w:p>
    <w:p>
      <w:pPr>
        <w:pStyle w:val="TextBody"/>
        <w:bidi w:val="0"/>
        <w:spacing w:before="0" w:after="0"/>
        <w:jc w:val="center"/>
        <w:rPr>
          <w:rFonts w:ascii="Times New Roman" w:hAnsi="Times New Roman"/>
          <w:b/>
          <w:sz w:val="20"/>
        </w:rPr>
      </w:pPr>
      <w:r>
        <w:rPr>
          <w:rFonts w:ascii="Times New Roman" w:hAnsi="Times New Roman"/>
          <w:b/>
          <w:sz w:val="20"/>
        </w:rPr>
        <w:t xml:space="preserve">(212) 835-4837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480" w:after="0"/>
        <w:jc w:val="center"/>
        <w:rPr>
          <w:rFonts w:ascii="Times New Roman" w:hAnsi="Times New Roman"/>
          <w:b/>
          <w:sz w:val="20"/>
        </w:rPr>
      </w:pPr>
      <w:r>
        <w:rPr>
          <w:rFonts w:ascii="Times New Roman" w:hAnsi="Times New Roman"/>
          <w:b/>
          <w:sz w:val="20"/>
        </w:rPr>
        <w:t xml:space="preserve">September 26,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Schedules filed in paper format shall include a signed original and five copies of the schedule, including all exhibits. See §240.13d-7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as amended (</w:t>
      </w:r>
      <w:r>
        <w:rPr>
          <w:rFonts w:ascii="Times New Roman" w:hAnsi="Times New Roman"/>
          <w:b/>
          <w:i/>
          <w:sz w:val="20"/>
        </w:rPr>
        <w:t>Act</w:t>
      </w:r>
      <w:r>
        <w:rPr>
          <w:rFonts w:ascii="Times New Roman" w:hAnsi="Times New Roman"/>
          <w:sz w:val="20"/>
        </w:rPr>
        <w:t xml:space="preserve">)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N/A </w:t>
      </w:r>
    </w:p>
    <w:p>
      <w:pPr>
        <w:pStyle w:val="TextBody"/>
        <w:bidi w:val="0"/>
        <w:spacing w:before="0" w:after="0"/>
        <w:jc w:val="left"/>
        <w:rPr/>
      </w:pPr>
      <w:r>
        <w:rPr/>
        <w:t> </w:t>
      </w:r>
    </w:p>
    <w:tbl>
      <w:tblPr>
        <w:tblW w:w="4900" w:type="pct"/>
        <w:jc w:val="left"/>
        <w:tblInd w:w="0" w:type="dxa"/>
        <w:tblLayout w:type="fixed"/>
        <w:tblCellMar>
          <w:top w:w="0" w:type="dxa"/>
          <w:left w:w="0" w:type="dxa"/>
          <w:bottom w:w="0" w:type="dxa"/>
          <w:right w:w="0" w:type="dxa"/>
        </w:tblCellMar>
      </w:tblPr>
      <w:tblGrid>
        <w:gridCol w:w="506"/>
        <w:gridCol w:w="123"/>
        <w:gridCol w:w="752"/>
        <w:gridCol w:w="188"/>
        <w:gridCol w:w="178"/>
        <w:gridCol w:w="188"/>
        <w:gridCol w:w="8065"/>
      </w:tblGrid>
      <w:tr>
        <w:trPr/>
        <w:tc>
          <w:tcPr>
            <w:tcW w:w="5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8065" w:type="dxa"/>
            <w:tcBorders/>
            <w:vAlign w:val="center"/>
          </w:tcPr>
          <w:p>
            <w:pPr>
              <w:pStyle w:val="TableContents"/>
              <w:bidi w:val="0"/>
              <w:spacing w:before="0" w:after="283"/>
              <w:jc w:val="left"/>
              <w:rPr>
                <w:sz w:val="4"/>
                <w:szCs w:val="4"/>
              </w:rPr>
            </w:pPr>
            <w:r>
              <w:rPr>
                <w:sz w:val="4"/>
                <w:szCs w:val="4"/>
              </w:rPr>
            </w:r>
          </w:p>
        </w:tc>
      </w:tr>
      <w:tr>
        <w:trPr/>
        <w:tc>
          <w:tcPr>
            <w:tcW w:w="50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7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The Public Institution for Social Security</w:t>
            </w:r>
          </w:p>
        </w:tc>
      </w:tr>
      <w:tr>
        <w:trPr/>
        <w:tc>
          <w:tcPr>
            <w:tcW w:w="50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7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0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7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0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7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WC</w:t>
            </w:r>
          </w:p>
        </w:tc>
      </w:tr>
      <w:tr>
        <w:trPr/>
        <w:tc>
          <w:tcPr>
            <w:tcW w:w="50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7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0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7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Kuwait</w:t>
            </w:r>
          </w:p>
        </w:tc>
      </w:tr>
    </w:tbl>
    <w:tbl>
      <w:tblPr>
        <w:tblW w:w="4900" w:type="pct"/>
        <w:jc w:val="left"/>
        <w:tblInd w:w="0" w:type="dxa"/>
        <w:tblLayout w:type="fixed"/>
        <w:tblCellMar>
          <w:top w:w="0" w:type="dxa"/>
          <w:left w:w="0" w:type="dxa"/>
          <w:bottom w:w="0" w:type="dxa"/>
          <w:right w:w="0" w:type="dxa"/>
        </w:tblCellMar>
      </w:tblPr>
      <w:tblGrid>
        <w:gridCol w:w="1166"/>
        <w:gridCol w:w="120"/>
        <w:gridCol w:w="340"/>
        <w:gridCol w:w="107"/>
        <w:gridCol w:w="8267"/>
      </w:tblGrid>
      <w:tr>
        <w:trPr/>
        <w:tc>
          <w:tcPr>
            <w:tcW w:w="11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8267" w:type="dxa"/>
            <w:tcBorders/>
            <w:vAlign w:val="center"/>
          </w:tcPr>
          <w:p>
            <w:pPr>
              <w:pStyle w:val="TableContents"/>
              <w:bidi w:val="0"/>
              <w:spacing w:before="0" w:after="283"/>
              <w:jc w:val="left"/>
              <w:rPr>
                <w:sz w:val="4"/>
                <w:szCs w:val="4"/>
              </w:rPr>
            </w:pPr>
            <w:r>
              <w:rPr>
                <w:sz w:val="4"/>
                <w:szCs w:val="4"/>
              </w:rPr>
            </w:r>
          </w:p>
        </w:tc>
      </w:tr>
      <w:tr>
        <w:trPr/>
        <w:tc>
          <w:tcPr>
            <w:tcW w:w="1166" w:type="dxa"/>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rFonts w:ascii="Times New Roman" w:hAnsi="Times New Roman"/>
                <w:sz w:val="20"/>
              </w:rPr>
            </w:pP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0" w:type="dxa"/>
            <w:tcBorders>
              <w:bottom w:val="single" w:sz="2" w:space="0" w:color="000000"/>
            </w:tcBorders>
            <w:tcMar>
              <w:bottom w:w="28" w:type="dxa"/>
            </w:tcMar>
          </w:tcPr>
          <w:p>
            <w:pPr>
              <w:pStyle w:val="TableContents"/>
              <w:bidi w:val="0"/>
              <w:spacing w:before="0" w:after="283"/>
              <w:jc w:val="left"/>
              <w:rPr/>
            </w:pPr>
            <w:r>
              <w:rPr/>
              <w:t> </w:t>
            </w:r>
            <w:r>
              <w:rPr/>
              <w:t>7.  </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26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5,214,717</w:t>
            </w:r>
          </w:p>
        </w:tc>
      </w:tr>
      <w:tr>
        <w:trPr/>
        <w:tc>
          <w:tcPr>
            <w:tcW w:w="1166" w:type="dxa"/>
            <w:vMerge w:val="continue"/>
            <w:tcBorders>
              <w:left w:val="single" w:sz="2" w:space="0" w:color="000000"/>
            </w:tcBorders>
            <w:tcMar>
              <w:left w:w="160" w:type="dxa"/>
            </w:tcMar>
            <w:vAlign w:val="center"/>
          </w:tcPr>
          <w:p>
            <w:pPr>
              <w:pStyle w:val="Normal"/>
              <w:bidi w:val="0"/>
              <w:jc w:val="left"/>
              <w:rPr/>
            </w:pPr>
            <w:r>
              <w:rPr/>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0" w:type="dxa"/>
            <w:tcBorders>
              <w:bottom w:val="single" w:sz="2" w:space="0" w:color="000000"/>
            </w:tcBorders>
            <w:tcMar>
              <w:bottom w:w="28" w:type="dxa"/>
            </w:tcMar>
          </w:tcPr>
          <w:p>
            <w:pPr>
              <w:pStyle w:val="TableContents"/>
              <w:bidi w:val="0"/>
              <w:spacing w:before="0" w:after="283"/>
              <w:jc w:val="left"/>
              <w:rPr/>
            </w:pPr>
            <w:r>
              <w:rPr/>
              <w:t> </w:t>
            </w:r>
            <w:r>
              <w:rPr/>
              <w:t>8.</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26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166" w:type="dxa"/>
            <w:vMerge w:val="continue"/>
            <w:tcBorders>
              <w:left w:val="single" w:sz="2" w:space="0" w:color="000000"/>
            </w:tcBorders>
            <w:tcMar>
              <w:left w:w="160" w:type="dxa"/>
            </w:tcMar>
            <w:vAlign w:val="center"/>
          </w:tcPr>
          <w:p>
            <w:pPr>
              <w:pStyle w:val="Normal"/>
              <w:bidi w:val="0"/>
              <w:jc w:val="left"/>
              <w:rPr/>
            </w:pPr>
            <w:r>
              <w:rPr/>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40" w:type="dxa"/>
            <w:tcBorders>
              <w:bottom w:val="single" w:sz="2" w:space="0" w:color="000000"/>
            </w:tcBorders>
            <w:tcMar>
              <w:bottom w:w="28" w:type="dxa"/>
            </w:tcMar>
          </w:tcPr>
          <w:p>
            <w:pPr>
              <w:pStyle w:val="TableContents"/>
              <w:bidi w:val="0"/>
              <w:spacing w:before="0" w:after="283"/>
              <w:jc w:val="left"/>
              <w:rPr/>
            </w:pPr>
            <w:r>
              <w:rPr/>
              <w:t> </w:t>
            </w:r>
            <w:r>
              <w:rPr/>
              <w:t>9.</w:t>
            </w:r>
          </w:p>
        </w:tc>
        <w:tc>
          <w:tcPr>
            <w:tcW w:w="1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26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5,214,717</w:t>
            </w:r>
          </w:p>
        </w:tc>
      </w:tr>
      <w:tr>
        <w:trPr/>
        <w:tc>
          <w:tcPr>
            <w:tcW w:w="1166" w:type="dxa"/>
            <w:vMerge w:val="continue"/>
            <w:tcBorders>
              <w:left w:val="single" w:sz="2" w:space="0" w:color="000000"/>
            </w:tcBorders>
            <w:tcMar>
              <w:left w:w="160" w:type="dxa"/>
            </w:tcMar>
            <w:vAlign w:val="center"/>
          </w:tcPr>
          <w:p>
            <w:pPr>
              <w:pStyle w:val="Normal"/>
              <w:bidi w:val="0"/>
              <w:jc w:val="left"/>
              <w:rPr/>
            </w:pPr>
            <w:r>
              <w:rPr/>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pPr>
            <w:r>
              <w:rPr/>
              <w:t>10.</w:t>
            </w:r>
          </w:p>
        </w:tc>
        <w:tc>
          <w:tcPr>
            <w:tcW w:w="107" w:type="dxa"/>
            <w:tcBorders>
              <w:left w:val="single" w:sz="2" w:space="0" w:color="000000"/>
            </w:tcBorders>
            <w:tcMar>
              <w:left w:w="28" w:type="dxa"/>
            </w:tcMar>
            <w:vAlign w:val="bottom"/>
          </w:tcPr>
          <w:p>
            <w:pPr>
              <w:pStyle w:val="TableContents"/>
              <w:bidi w:val="0"/>
              <w:spacing w:before="0" w:after="283"/>
              <w:jc w:val="left"/>
              <w:rPr/>
            </w:pPr>
            <w:r>
              <w:rPr/>
              <w:t> </w:t>
            </w:r>
          </w:p>
        </w:tc>
        <w:tc>
          <w:tcPr>
            <w:tcW w:w="826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00" w:type="pct"/>
        <w:jc w:val="left"/>
        <w:tblInd w:w="0" w:type="dxa"/>
        <w:tblLayout w:type="fixed"/>
        <w:tblCellMar>
          <w:top w:w="0" w:type="dxa"/>
          <w:left w:w="0" w:type="dxa"/>
          <w:bottom w:w="0" w:type="dxa"/>
          <w:right w:w="0" w:type="dxa"/>
        </w:tblCellMar>
      </w:tblPr>
      <w:tblGrid>
        <w:gridCol w:w="517"/>
        <w:gridCol w:w="126"/>
        <w:gridCol w:w="668"/>
        <w:gridCol w:w="212"/>
        <w:gridCol w:w="205"/>
        <w:gridCol w:w="212"/>
        <w:gridCol w:w="8060"/>
      </w:tblGrid>
      <w:tr>
        <w:trPr/>
        <w:tc>
          <w:tcPr>
            <w:tcW w:w="51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51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6"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35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5,214,717</w:t>
            </w:r>
          </w:p>
        </w:tc>
      </w:tr>
      <w:tr>
        <w:trPr/>
        <w:tc>
          <w:tcPr>
            <w:tcW w:w="51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1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12.81%</w:t>
            </w:r>
            <w:r>
              <w:rPr>
                <w:rFonts w:ascii="Times New Roman" w:hAnsi="Times New Roman"/>
                <w:sz w:val="20"/>
              </w:rPr>
              <w:t xml:space="preserve"> </w:t>
            </w:r>
            <w:r>
              <w:rPr>
                <w:rFonts w:ascii="Times New Roman" w:hAnsi="Times New Roman"/>
                <w:b/>
                <w:sz w:val="20"/>
              </w:rPr>
              <w:t>(1)</w:t>
            </w:r>
          </w:p>
        </w:tc>
      </w:tr>
      <w:tr>
        <w:trPr/>
        <w:tc>
          <w:tcPr>
            <w:tcW w:w="51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35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EP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upon 40,712,963 Shares outstanding as of September 26, 2023, as disclosed by the Issuer to the Reporting Person in connection with the September Issuance (as defined below).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This Amendment to Schedule 13D (as amended, this </w:t>
      </w:r>
      <w:r>
        <w:rPr>
          <w:rFonts w:ascii="Times New Roman" w:hAnsi="Times New Roman"/>
          <w:b/>
          <w:i/>
          <w:sz w:val="20"/>
        </w:rPr>
        <w:t>Schedule 13D</w:t>
      </w:r>
      <w:r>
        <w:rPr>
          <w:rFonts w:ascii="Times New Roman" w:hAnsi="Times New Roman"/>
          <w:sz w:val="20"/>
        </w:rPr>
        <w:t>) is being filed by the Reporting Person to amend the Schedule 13D related to common shares of beneficial interest, par value $0.001 per share (the </w:t>
      </w:r>
      <w:r>
        <w:rPr>
          <w:rFonts w:ascii="Times New Roman" w:hAnsi="Times New Roman"/>
          <w:b/>
          <w:i/>
          <w:sz w:val="20"/>
        </w:rPr>
        <w:t>Shares</w:t>
      </w:r>
      <w:r>
        <w:rPr>
          <w:rFonts w:ascii="Times New Roman" w:hAnsi="Times New Roman"/>
          <w:sz w:val="20"/>
        </w:rPr>
        <w:t>), of Sixth Street Lending Partners, a Delaware statutory trust (the </w:t>
      </w:r>
      <w:r>
        <w:rPr>
          <w:rFonts w:ascii="Times New Roman" w:hAnsi="Times New Roman"/>
          <w:b/>
          <w:i/>
          <w:sz w:val="20"/>
        </w:rPr>
        <w:t>Issuer</w:t>
      </w:r>
      <w:r>
        <w:rPr>
          <w:rFonts w:ascii="Times New Roman" w:hAnsi="Times New Roman"/>
          <w:sz w:val="20"/>
        </w:rPr>
        <w:t>), initially filed with the Securities and Exchange Commission (the </w:t>
      </w:r>
      <w:r>
        <w:rPr>
          <w:rFonts w:ascii="Times New Roman" w:hAnsi="Times New Roman"/>
          <w:b/>
          <w:i/>
          <w:sz w:val="20"/>
        </w:rPr>
        <w:t>SEC</w:t>
      </w:r>
      <w:r>
        <w:rPr>
          <w:rFonts w:ascii="Times New Roman" w:hAnsi="Times New Roman"/>
          <w:sz w:val="20"/>
        </w:rPr>
        <w:t xml:space="preserve">) on December 22, 2022. </w:t>
      </w:r>
    </w:p>
    <w:p>
      <w:pPr>
        <w:pStyle w:val="TextBody"/>
        <w:bidi w:val="0"/>
        <w:spacing w:before="240" w:after="0"/>
        <w:jc w:val="left"/>
        <w:rPr>
          <w:rFonts w:ascii="Times New Roman" w:hAnsi="Times New Roman"/>
          <w:sz w:val="20"/>
        </w:rPr>
      </w:pPr>
      <w:r>
        <w:rPr>
          <w:rFonts w:ascii="Times New Roman" w:hAnsi="Times New Roman"/>
          <w:sz w:val="20"/>
        </w:rPr>
        <w:t>This Amendment to Schedule 13D is being filed to update the aggregate percentage of Shares owned by the Reporting Person, which changed primarily due to the Issuers issuance of additional Shares on September 26, 2023 (the </w:t>
      </w:r>
      <w:r>
        <w:rPr>
          <w:rFonts w:ascii="Times New Roman" w:hAnsi="Times New Roman"/>
          <w:b/>
          <w:i/>
          <w:sz w:val="20"/>
        </w:rPr>
        <w:t>September Issuance</w:t>
      </w:r>
      <w:r>
        <w:rPr>
          <w:rFonts w:ascii="Times New Roman" w:hAnsi="Times New Roman"/>
          <w:sz w:val="20"/>
        </w:rPr>
        <w:t xml:space="preserve">), rather than as a result of any acquisition or disposition of Shares by the Reporting Person. Based on 40,712,963 Shares outstanding as of September 26, 2023, as disclosed by the Issuer to the Reporting Person in connection with the September Issuance, such September Issuance contributed to a decrease of over one percent (1%) in the aggregate percentage ownership reported by the Reporting Person in the Amendment to Schedule 13D filed on March 23, 2023. </w:t>
      </w:r>
    </w:p>
    <w:p>
      <w:pPr>
        <w:pStyle w:val="TextBody"/>
        <w:bidi w:val="0"/>
        <w:spacing w:before="240" w:after="0"/>
        <w:jc w:val="left"/>
        <w:rPr>
          <w:rFonts w:ascii="Times New Roman" w:hAnsi="Times New Roman"/>
          <w:sz w:val="20"/>
        </w:rPr>
      </w:pPr>
      <w:r>
        <w:rPr>
          <w:rFonts w:ascii="Times New Roman" w:hAnsi="Times New Roman"/>
          <w:sz w:val="20"/>
        </w:rPr>
        <w:t xml:space="preserve">Each capitalized term used and not defined herein shall have the meaning assigned to such term in the Schedule 13D. Except as otherwise provided herein, each Item of the Schedule 13D remains unchanged. </w:t>
      </w:r>
    </w:p>
    <w:p>
      <w:pPr>
        <w:pStyle w:val="TextBody"/>
        <w:bidi w:val="0"/>
        <w:spacing w:before="360" w:after="0"/>
        <w:jc w:val="left"/>
        <w:rPr>
          <w:rFonts w:ascii="Times New Roman" w:hAnsi="Times New Roman"/>
          <w:b/>
          <w:sz w:val="20"/>
        </w:rPr>
      </w:pPr>
      <w:r>
        <w:rPr>
          <w:rFonts w:ascii="Times New Roman" w:hAnsi="Times New Roman"/>
          <w:b/>
          <w:sz w:val="20"/>
        </w:rPr>
        <w:t xml:space="preserve">Item 3. Source and Amount of Funds or Other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Item 3 is hereby amended and supplemented as follows: </w:t>
      </w:r>
    </w:p>
    <w:p>
      <w:pPr>
        <w:pStyle w:val="TextBody"/>
        <w:bidi w:val="0"/>
        <w:spacing w:before="120" w:after="0"/>
        <w:jc w:val="left"/>
        <w:rPr>
          <w:rFonts w:ascii="Times New Roman" w:hAnsi="Times New Roman"/>
          <w:sz w:val="20"/>
        </w:rPr>
      </w:pPr>
      <w:r>
        <w:rPr>
          <w:rFonts w:ascii="Times New Roman" w:hAnsi="Times New Roman"/>
          <w:sz w:val="20"/>
        </w:rPr>
        <w:t>Pursuant to a dividend reinvestment plan (the </w:t>
      </w:r>
      <w:r>
        <w:rPr>
          <w:rFonts w:ascii="Times New Roman" w:hAnsi="Times New Roman"/>
          <w:b/>
          <w:i/>
          <w:sz w:val="20"/>
        </w:rPr>
        <w:t>DRIP</w:t>
      </w:r>
      <w:r>
        <w:rPr>
          <w:rFonts w:ascii="Times New Roman" w:hAnsi="Times New Roman"/>
          <w:sz w:val="20"/>
        </w:rPr>
        <w:t>) adopted by the board of trustees of the Issuer (the </w:t>
      </w:r>
      <w:r>
        <w:rPr>
          <w:rFonts w:ascii="Times New Roman" w:hAnsi="Times New Roman"/>
          <w:b/>
          <w:i/>
          <w:sz w:val="20"/>
        </w:rPr>
        <w:t>Board</w:t>
      </w:r>
      <w:r>
        <w:rPr>
          <w:rFonts w:ascii="Times New Roman" w:hAnsi="Times New Roman"/>
          <w:sz w:val="20"/>
        </w:rPr>
        <w:t xml:space="preserve">), the Issuer reinvests all cash dividends or distributions declared by the Board on behalf of investors who have not elected to receive their cash dividends or distrubutions in cash. As a result, any shareholders who have not elected to opt out of the DRIP will have their cash dividends or distributions automatically reinvested in additional Shares. Under the DRIP, no action is required on the part of a registered shareholder to have its cash dividend or other distribution reinvested in Shares. A registered shareholder is able to elect to receive an entire cash dividend or distribution in cash by notifying the plan administrator in writing no later than ten (10) days prior to the record date for the declared cash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As the Reporting Person did not opt out of the DRIP in connection with certain dividends declared by the Board on March 30, 2023, and June 30, 2023, in lieu of distributing cash in respect of such dividends, the Issuer instead used those dividends to acquire additional Shares on behalf of the Reporting Person. As a result, the Reporting Person acquired an additional 77,712 Shares and an additional 130,367 Shares on May 10, 2023, and August 16, 2023, respectively. No additional cash was paid by the Reporting Person in connection with the acquisition of these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DRIP does not purport to be complete and is qualified in its entirety by reference to the Dividend Reinvestment Plan of Sixth Street Lending Partners, which is incorporated herein by reference to Exhibit 99.2 to this Schedule 13D.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 in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Item 5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Items 3 and 4 of this Schedule 13D is hereby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 The aggregate number and percentage of the class of securities identified pursuant to Item 1 beneficially owned by the Reporting Person is stated in Items 11 and 13 on the cover page(s) hereto.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as to which the Reporting Person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vote or to direct the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7 on the cover page(s)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vote or to direct the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8 on the cover page(s)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dispose or to direct the disposition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9 on the cover page(s)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dispose or to direct the disposition 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10 on the cover page(s) hereto.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the Reporting Person owns only the Shares of the Issuer as set forth in this Item 5. </w:t>
      </w:r>
    </w:p>
    <w:p>
      <w:pPr>
        <w:pStyle w:val="TextBody"/>
        <w:bidi w:val="0"/>
        <w:spacing w:before="240" w:after="0"/>
        <w:jc w:val="left"/>
        <w:rPr>
          <w:rFonts w:ascii="Times New Roman" w:hAnsi="Times New Roman"/>
          <w:sz w:val="20"/>
        </w:rPr>
      </w:pPr>
      <w:r>
        <w:rPr>
          <w:rFonts w:ascii="Times New Roman" w:hAnsi="Times New Roman"/>
          <w:sz w:val="20"/>
        </w:rPr>
        <w:t xml:space="preserve">(c) Other than as set forth on </w:t>
      </w:r>
      <w:r>
        <w:rPr>
          <w:rFonts w:ascii="Times New Roman" w:hAnsi="Times New Roman"/>
          <w:sz w:val="20"/>
          <w:u w:val="single"/>
        </w:rPr>
        <w:t>Annex A</w:t>
      </w:r>
      <w:r>
        <w:rPr>
          <w:rFonts w:ascii="Times New Roman" w:hAnsi="Times New Roman"/>
          <w:sz w:val="20"/>
        </w:rPr>
        <w:t xml:space="preserve"> hereto, there have been no transactions in the class of securities reported on that were effected by the Reporting Person during the past sixty days or since the most recent filing of Schedule 13D, whichever is less. </w:t>
      </w:r>
    </w:p>
    <w:p>
      <w:pPr>
        <w:pStyle w:val="TextBody"/>
        <w:bidi w:val="0"/>
        <w:spacing w:before="240" w:after="0"/>
        <w:jc w:val="left"/>
        <w:rPr>
          <w:rFonts w:ascii="Times New Roman" w:hAnsi="Times New Roman"/>
          <w:sz w:val="20"/>
        </w:rPr>
      </w:pPr>
      <w:r>
        <w:rPr>
          <w:rFonts w:ascii="Times New Roman" w:hAnsi="Times New Roman"/>
          <w:sz w:val="20"/>
        </w:rPr>
        <w:t xml:space="preserve">(d)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7. Material to be Filed as Exhibits </w:t>
      </w:r>
    </w:p>
    <w:p>
      <w:pPr>
        <w:pStyle w:val="TextBody"/>
        <w:bidi w:val="0"/>
        <w:spacing w:before="120" w:after="0"/>
        <w:jc w:val="left"/>
        <w:rPr>
          <w:rFonts w:ascii="Times New Roman" w:hAnsi="Times New Roman"/>
          <w:sz w:val="20"/>
        </w:rPr>
      </w:pPr>
      <w:r>
        <w:rPr>
          <w:rFonts w:ascii="Times New Roman" w:hAnsi="Times New Roman"/>
          <w:sz w:val="20"/>
        </w:rPr>
        <w:t xml:space="preserve">Item 7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as exhibits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
        <w:gridCol w:w="423"/>
        <w:gridCol w:w="9228"/>
      </w:tblGrid>
      <w:tr>
        <w:trPr/>
        <w:tc>
          <w:tcPr>
            <w:tcW w:w="554"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9228" w:type="dxa"/>
            <w:tcBorders/>
            <w:vAlign w:val="center"/>
          </w:tcPr>
          <w:p>
            <w:pPr>
              <w:pStyle w:val="TableContents"/>
              <w:bidi w:val="0"/>
              <w:spacing w:before="0" w:after="283"/>
              <w:jc w:val="left"/>
              <w:rPr>
                <w:sz w:val="4"/>
                <w:szCs w:val="4"/>
              </w:rPr>
            </w:pPr>
            <w:r>
              <w:rPr>
                <w:sz w:val="4"/>
                <w:szCs w:val="4"/>
              </w:rPr>
            </w:r>
          </w:p>
        </w:tc>
      </w:tr>
      <w:tr>
        <w:trPr/>
        <w:tc>
          <w:tcPr>
            <w:tcW w:w="5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423" w:type="dxa"/>
            <w:tcBorders/>
            <w:vAlign w:val="bottom"/>
          </w:tcPr>
          <w:p>
            <w:pPr>
              <w:pStyle w:val="TableContents"/>
              <w:bidi w:val="0"/>
              <w:spacing w:before="0" w:after="283"/>
              <w:jc w:val="left"/>
              <w:rPr/>
            </w:pPr>
            <w:r>
              <w:rPr/>
              <w:t>  </w:t>
            </w:r>
          </w:p>
        </w:tc>
        <w:tc>
          <w:tcPr>
            <w:tcW w:w="922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Exhibit</w:t>
            </w:r>
          </w:p>
        </w:tc>
      </w:tr>
      <w:tr>
        <w:trPr/>
        <w:tc>
          <w:tcPr>
            <w:tcW w:w="554" w:type="dxa"/>
            <w:tcBorders/>
          </w:tcPr>
          <w:p>
            <w:pPr>
              <w:pStyle w:val="TableContents"/>
              <w:bidi w:val="0"/>
              <w:spacing w:before="0" w:after="283"/>
              <w:jc w:val="left"/>
              <w:rPr/>
            </w:pPr>
            <w:r>
              <w:rPr/>
              <w:t>24.1</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Power of Attorney (incorporated by reference to Exhibit 24.1 in the Schedule 13D filed with the Securities and Exchange Commission on December 22, 2022).</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99.1</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Form of Subscription Agreement between Sixth Street Lending Partners and The Public Institution for Social Security (incorporated by reference to Exhibit 4.1 to the Issuers Form 10-12G filed with the Securities and Exchange Commission on June 28, 2022).</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99.2</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Dividend Reinvestment Plan of Sixth Street Lending Partners, effective as of June 28, 2022 (incorporated by reference to Exhibit 10.4 to the Issuers Form 10-12G filed with the Securities and Exchange Commission on June 28, 2022).</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2"/>
        <w:gridCol w:w="105"/>
        <w:gridCol w:w="400"/>
        <w:gridCol w:w="105"/>
        <w:gridCol w:w="333"/>
        <w:gridCol w:w="105"/>
        <w:gridCol w:w="4625"/>
      </w:tblGrid>
      <w:tr>
        <w:trPr/>
        <w:tc>
          <w:tcPr>
            <w:tcW w:w="453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r>
      <w:tr>
        <w:trPr/>
        <w:tc>
          <w:tcPr>
            <w:tcW w:w="45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 September 28, 2023</w:t>
            </w:r>
          </w:p>
        </w:tc>
        <w:tc>
          <w:tcPr>
            <w:tcW w:w="10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5063" w:type="dxa"/>
            <w:gridSpan w:val="3"/>
            <w:tcBorders/>
            <w:vAlign w:val="bottom"/>
          </w:tcPr>
          <w:p>
            <w:pPr>
              <w:pStyle w:val="TableContents"/>
              <w:bidi w:val="0"/>
              <w:spacing w:before="0" w:after="283"/>
              <w:jc w:val="left"/>
              <w:rPr>
                <w:b/>
              </w:rPr>
            </w:pPr>
            <w:r>
              <w:rPr>
                <w:b/>
              </w:rPr>
              <w:t>THE PUBLIC INSTITUTION FOR SOCIAL SECURITY</w:t>
            </w:r>
          </w:p>
        </w:tc>
      </w:tr>
      <w:tr>
        <w:trPr>
          <w:trHeight w:val="240" w:hRule="atLeast"/>
        </w:trPr>
        <w:tc>
          <w:tcPr>
            <w:tcW w:w="4532" w:type="dxa"/>
            <w:tcBorders/>
            <w:vAlign w:val="center"/>
          </w:tcPr>
          <w:p>
            <w:pPr>
              <w:pStyle w:val="TableContents"/>
              <w:bidi w:val="0"/>
              <w:spacing w:before="0" w:after="283"/>
              <w:jc w:val="left"/>
              <w:rPr>
                <w:sz w:val="4"/>
                <w:szCs w:val="4"/>
              </w:rPr>
            </w:pPr>
            <w:r>
              <w:rPr>
                <w:sz w:val="4"/>
                <w:szCs w:val="4"/>
              </w:rPr>
            </w:r>
          </w:p>
        </w:tc>
        <w:tc>
          <w:tcPr>
            <w:tcW w:w="505" w:type="dxa"/>
            <w:gridSpan w:val="2"/>
            <w:tcBorders/>
            <w:vAlign w:val="center"/>
          </w:tcPr>
          <w:p>
            <w:pPr>
              <w:pStyle w:val="TableContents"/>
              <w:bidi w:val="0"/>
              <w:spacing w:before="0" w:after="283"/>
              <w:jc w:val="left"/>
              <w:rPr>
                <w:sz w:val="4"/>
                <w:szCs w:val="4"/>
              </w:rPr>
            </w:pPr>
            <w:r>
              <w:rPr>
                <w:sz w:val="4"/>
                <w:szCs w:val="4"/>
              </w:rPr>
            </w:r>
          </w:p>
        </w:tc>
        <w:tc>
          <w:tcPr>
            <w:tcW w:w="438" w:type="dxa"/>
            <w:gridSpan w:val="2"/>
            <w:tcBorders/>
            <w:vAlign w:val="center"/>
          </w:tcPr>
          <w:p>
            <w:pPr>
              <w:pStyle w:val="TableContents"/>
              <w:bidi w:val="0"/>
              <w:spacing w:before="0" w:after="283"/>
              <w:jc w:val="left"/>
              <w:rPr>
                <w:sz w:val="4"/>
                <w:szCs w:val="4"/>
              </w:rPr>
            </w:pPr>
            <w:r>
              <w:rPr>
                <w:sz w:val="4"/>
                <w:szCs w:val="4"/>
              </w:rPr>
            </w:r>
          </w:p>
        </w:tc>
        <w:tc>
          <w:tcPr>
            <w:tcW w:w="4730" w:type="dxa"/>
            <w:gridSpan w:val="2"/>
            <w:tcBorders/>
            <w:vAlign w:val="center"/>
          </w:tcPr>
          <w:p>
            <w:pPr>
              <w:pStyle w:val="TableContents"/>
              <w:bidi w:val="0"/>
              <w:spacing w:before="0" w:after="283"/>
              <w:jc w:val="left"/>
              <w:rPr>
                <w:sz w:val="4"/>
                <w:szCs w:val="4"/>
              </w:rPr>
            </w:pPr>
            <w:r>
              <w:rPr>
                <w:sz w:val="4"/>
                <w:szCs w:val="4"/>
              </w:rPr>
            </w:r>
          </w:p>
        </w:tc>
      </w:tr>
      <w:tr>
        <w:trPr/>
        <w:tc>
          <w:tcPr>
            <w:tcW w:w="453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462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Ricardo Davidovich</w:t>
            </w:r>
          </w:p>
        </w:tc>
      </w:tr>
      <w:tr>
        <w:trPr/>
        <w:tc>
          <w:tcPr>
            <w:tcW w:w="453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Ricardo Davidovich</w:t>
            </w:r>
          </w:p>
        </w:tc>
      </w:tr>
      <w:tr>
        <w:trPr/>
        <w:tc>
          <w:tcPr>
            <w:tcW w:w="453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RECENT TRANSACTIONS BY THE REPORTING PERSON IN SHARES OF </w:t>
      </w:r>
    </w:p>
    <w:p>
      <w:pPr>
        <w:pStyle w:val="TextBody"/>
        <w:bidi w:val="0"/>
        <w:spacing w:before="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0"/>
        <w:gridCol w:w="135"/>
        <w:gridCol w:w="64"/>
        <w:gridCol w:w="1199"/>
        <w:gridCol w:w="60"/>
        <w:gridCol w:w="135"/>
        <w:gridCol w:w="3497"/>
        <w:gridCol w:w="135"/>
        <w:gridCol w:w="60"/>
        <w:gridCol w:w="1127"/>
        <w:gridCol w:w="60"/>
        <w:gridCol w:w="135"/>
        <w:gridCol w:w="208"/>
        <w:gridCol w:w="833"/>
        <w:gridCol w:w="67"/>
      </w:tblGrid>
      <w:tr>
        <w:trPr/>
        <w:tc>
          <w:tcPr>
            <w:tcW w:w="249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49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Person</w:t>
            </w:r>
          </w:p>
        </w:tc>
        <w:tc>
          <w:tcPr>
            <w:tcW w:w="135"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Date of</w:t>
              <w:br/>
              <w:t>Transaction</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4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Description</w:t>
            </w:r>
          </w:p>
          <w:p>
            <w:pPr>
              <w:pStyle w:val="TableContents"/>
              <w:bidi w:val="0"/>
              <w:spacing w:before="0" w:after="20"/>
              <w:jc w:val="center"/>
              <w:rPr>
                <w:rFonts w:ascii="Times New Roman" w:hAnsi="Times New Roman"/>
                <w:b/>
                <w:sz w:val="16"/>
              </w:rPr>
            </w:pPr>
            <w:r>
              <w:rPr>
                <w:rFonts w:ascii="Times New Roman" w:hAnsi="Times New Roman"/>
                <w:b/>
                <w:sz w:val="16"/>
              </w:rPr>
              <w:t>of Transaction</w:t>
            </w:r>
          </w:p>
        </w:tc>
        <w:tc>
          <w:tcPr>
            <w:tcW w:w="135"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Acquired</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pPr>
            <w:r>
              <w:rPr>
                <w:b/>
              </w:rPr>
              <w:t>Price</w:t>
            </w:r>
            <w:r>
              <w:rPr/>
              <w:br/>
            </w:r>
            <w:r>
              <w:rPr>
                <w:b/>
              </w:rPr>
              <w:t>Per Share</w:t>
            </w:r>
          </w:p>
        </w:tc>
        <w:tc>
          <w:tcPr>
            <w:tcW w:w="67" w:type="dxa"/>
            <w:tcBorders/>
            <w:vAlign w:val="bottom"/>
          </w:tcPr>
          <w:p>
            <w:pPr>
              <w:pStyle w:val="TableContents"/>
              <w:bidi w:val="0"/>
              <w:spacing w:before="0" w:after="283"/>
              <w:jc w:val="left"/>
              <w:rPr/>
            </w:pPr>
            <w:r>
              <w:rPr/>
              <w:t> </w:t>
            </w:r>
          </w:p>
        </w:tc>
      </w:tr>
      <w:tr>
        <w:trPr/>
        <w:tc>
          <w:tcPr>
            <w:tcW w:w="2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Public Institution for Social Security</w:t>
            </w:r>
          </w:p>
        </w:tc>
        <w:tc>
          <w:tcPr>
            <w:tcW w:w="13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08/16/2023</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3497" w:type="dxa"/>
            <w:tcBorders/>
            <w:shd w:fill="CCEEFF" w:val="clear"/>
            <w:vAlign w:val="bottom"/>
          </w:tcPr>
          <w:p>
            <w:pPr>
              <w:pStyle w:val="TableContents"/>
              <w:bidi w:val="0"/>
              <w:spacing w:before="0" w:after="283"/>
              <w:jc w:val="center"/>
              <w:rPr/>
            </w:pPr>
            <w:r>
              <w:rPr/>
              <w:t>Reinvestment of Dividends</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130,367.00</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26.13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1600</Words>
  <Characters>7862</Characters>
  <CharactersWithSpaces>9491</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