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10,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N-14</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tbl>
      <w:tblPr>
        <w:tblLayout w:type="fixed"/>
        <w:tblInd w:w="3880" w:type="dxa"/>
        <w:tblCellMar>
          <w:top w:w="0" w:type="dxa"/>
          <w:left w:w="0" w:type="dxa"/>
          <w:bottom w:w="0" w:type="dxa"/>
          <w:right w:w="0" w:type="dxa"/>
        </w:tblCellMar>
      </w:tblPr>
      <w:tr>
        <w:trPr>
          <w:trHeight w:val="213"/>
        </w:trPr>
        <w:tc>
          <w:tcPr>
            <w:tcW w:w="5080" w:type="dxa"/>
            <w:vAlign w:val="bottom"/>
          </w:tcPr>
          <w:p>
            <w:pPr>
              <w:ind w:left="1360"/>
              <w:spacing w:after="0" w:line="213" w:lineRule="exact"/>
              <w:rPr>
                <w:sz w:val="20"/>
                <w:szCs w:val="20"/>
                <w:color w:val="auto"/>
              </w:rPr>
            </w:pPr>
            <w:r>
              <w:rPr>
                <w:rFonts w:ascii="Times New Roman" w:cs="Times New Roman" w:eastAsia="Times New Roman" w:hAnsi="Times New Roman"/>
                <w:sz w:val="22"/>
                <w:szCs w:val="22"/>
                <w:b w:val="1"/>
                <w:bCs w:val="1"/>
                <w:i w:val="1"/>
                <w:iCs w:val="1"/>
                <w:color w:val="auto"/>
              </w:rPr>
              <w:t>UNDER</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080" w:type="dxa"/>
            <w:vAlign w:val="bottom"/>
          </w:tcPr>
          <w:p>
            <w:pPr>
              <w:jc w:val="center"/>
              <w:ind w:right="1852"/>
              <w:spacing w:after="0" w:line="245" w:lineRule="exact"/>
              <w:rPr>
                <w:sz w:val="20"/>
                <w:szCs w:val="20"/>
                <w:color w:val="auto"/>
              </w:rPr>
            </w:pPr>
            <w:r>
              <w:rPr>
                <w:rFonts w:ascii="Times New Roman" w:cs="Times New Roman" w:eastAsia="Times New Roman" w:hAnsi="Times New Roman"/>
                <w:sz w:val="22"/>
                <w:szCs w:val="22"/>
                <w:b w:val="1"/>
                <w:bCs w:val="1"/>
                <w:i w:val="1"/>
                <w:iCs w:val="1"/>
                <w:color w:val="auto"/>
                <w:w w:val="98"/>
              </w:rPr>
              <w:t>THE SECURITIES ACT OF 1933</w:t>
            </w:r>
          </w:p>
        </w:tc>
        <w:tc>
          <w:tcPr>
            <w:tcW w:w="2120" w:type="dxa"/>
            <w:vAlign w:val="bottom"/>
            <w:vMerge w:val="restart"/>
          </w:tcPr>
          <w:p>
            <w:pPr>
              <w:ind w:left="19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0"/>
        </w:trPr>
        <w:tc>
          <w:tcPr>
            <w:tcW w:w="5080" w:type="dxa"/>
            <w:vAlign w:val="bottom"/>
          </w:tcPr>
          <w:p>
            <w:pPr>
              <w:jc w:val="center"/>
              <w:ind w:right="1872"/>
              <w:spacing w:after="0" w:line="221" w:lineRule="exact"/>
              <w:rPr>
                <w:sz w:val="20"/>
                <w:szCs w:val="20"/>
                <w:color w:val="auto"/>
              </w:rPr>
            </w:pPr>
            <w:r>
              <w:rPr>
                <w:rFonts w:ascii="Times New Roman" w:cs="Times New Roman" w:eastAsia="Times New Roman" w:hAnsi="Times New Roman"/>
                <w:sz w:val="22"/>
                <w:szCs w:val="22"/>
                <w:b w:val="1"/>
                <w:bCs w:val="1"/>
                <w:color w:val="auto"/>
                <w:w w:val="98"/>
              </w:rPr>
              <w:t>Pre-Effective Amendment No. 1</w:t>
            </w: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5080" w:type="dxa"/>
            <w:vAlign w:val="bottom"/>
          </w:tcPr>
          <w:p>
            <w:pPr>
              <w:jc w:val="center"/>
              <w:ind w:right="1852"/>
              <w:spacing w:after="0"/>
              <w:rPr>
                <w:sz w:val="20"/>
                <w:szCs w:val="20"/>
                <w:color w:val="auto"/>
              </w:rPr>
            </w:pPr>
            <w:r>
              <w:rPr>
                <w:rFonts w:ascii="Times New Roman" w:cs="Times New Roman" w:eastAsia="Times New Roman" w:hAnsi="Times New Roman"/>
                <w:sz w:val="22"/>
                <w:szCs w:val="22"/>
                <w:b w:val="1"/>
                <w:bCs w:val="1"/>
                <w:color w:val="auto"/>
                <w:w w:val="97"/>
              </w:rPr>
              <w:t>Post-Effective Amendment No.</w:t>
            </w:r>
          </w:p>
        </w:tc>
        <w:tc>
          <w:tcPr>
            <w:tcW w:w="2120" w:type="dxa"/>
            <w:vAlign w:val="bottom"/>
          </w:tcPr>
          <w:p>
            <w:pPr>
              <w:ind w:left="19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6"/>
        </w:trPr>
        <w:tc>
          <w:tcPr>
            <w:tcW w:w="5080" w:type="dxa"/>
            <w:vAlign w:val="bottom"/>
          </w:tcPr>
          <w:p>
            <w:pPr>
              <w:jc w:val="center"/>
              <w:ind w:right="1872"/>
              <w:spacing w:after="0"/>
              <w:rPr>
                <w:sz w:val="20"/>
                <w:szCs w:val="20"/>
                <w:color w:val="auto"/>
              </w:rPr>
            </w:pPr>
            <w:r>
              <w:rPr>
                <w:rFonts w:ascii="Times New Roman" w:cs="Times New Roman" w:eastAsia="Times New Roman" w:hAnsi="Times New Roman"/>
                <w:sz w:val="22"/>
                <w:szCs w:val="22"/>
                <w:b w:val="1"/>
                <w:bCs w:val="1"/>
                <w:color w:val="auto"/>
                <w:w w:val="97"/>
              </w:rPr>
              <w:t>(Check appropriate box or boxes)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224155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2100 McKinney Avenue, Suite 1500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Dallas, TX 75201</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(469) 621-3001</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(Number, Street, City, State, Zip Code))</w:t>
      </w: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Joshua Peck</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2100 McKinney Avenue, Suite 1500</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Dallas, TX 75201</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Rajib Chanda, Esq.</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Steven Grigoriou, Esq.</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Jonathan Pacheco, Esq.</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Simpson Thacher &amp; Bartlett LLP</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900 G Street, N.W.</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Proposed Public Offering: </w:t>
      </w:r>
      <w:r>
        <w:rPr>
          <w:rFonts w:ascii="Times New Roman" w:cs="Times New Roman" w:eastAsia="Times New Roman" w:hAnsi="Times New Roman"/>
          <w:sz w:val="18"/>
          <w:szCs w:val="18"/>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We may not complete the exchange offers and issue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FF4338"/>
        </w:rPr>
        <w:t>SUBJECT TO COMPLETION, DATED DECEMBER 10, 2024</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FF4338"/>
        </w:rPr>
        <w:t>PRELIMINARY PROSPECTUS</w:t>
      </w:r>
    </w:p>
    <w:p>
      <w:pPr>
        <w:spacing w:after="0" w:line="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Offer to Exchange</w:t>
      </w:r>
    </w:p>
    <w:p>
      <w:pPr>
        <w:spacing w:after="0" w:line="81" w:lineRule="exact"/>
        <w:rPr>
          <w:sz w:val="20"/>
          <w:szCs w:val="20"/>
          <w:color w:val="auto"/>
        </w:rPr>
      </w:pPr>
    </w:p>
    <w:p>
      <w:pPr>
        <w:ind w:left="2500" w:right="2380"/>
        <w:spacing w:after="0" w:line="286" w:lineRule="auto"/>
        <w:rPr>
          <w:sz w:val="20"/>
          <w:szCs w:val="20"/>
          <w:color w:val="auto"/>
        </w:rPr>
      </w:pPr>
      <w:r>
        <w:rPr>
          <w:rFonts w:ascii="Times New Roman" w:cs="Times New Roman" w:eastAsia="Times New Roman" w:hAnsi="Times New Roman"/>
          <w:sz w:val="21"/>
          <w:szCs w:val="21"/>
          <w:b w:val="1"/>
          <w:bCs w:val="1"/>
          <w:color w:val="auto"/>
        </w:rPr>
        <w:t>$750,000,000 aggregate principal amount of 6.500% Notes due 2029 $600,000,000 aggregate principal amount of 5.750% Notes due 2030</w:t>
      </w:r>
    </w:p>
    <w:p>
      <w:pPr>
        <w:spacing w:after="0" w:line="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For</w:t>
      </w:r>
    </w:p>
    <w:p>
      <w:pPr>
        <w:spacing w:after="0" w:line="98" w:lineRule="exact"/>
        <w:rPr>
          <w:sz w:val="20"/>
          <w:szCs w:val="20"/>
          <w:color w:val="auto"/>
        </w:rPr>
      </w:pPr>
    </w:p>
    <w:p>
      <w:pPr>
        <w:jc w:val="center"/>
        <w:ind w:left="440" w:right="2380"/>
        <w:spacing w:after="0" w:line="246" w:lineRule="auto"/>
        <w:rPr>
          <w:sz w:val="20"/>
          <w:szCs w:val="20"/>
          <w:color w:val="auto"/>
        </w:rPr>
      </w:pPr>
      <w:r>
        <w:rPr>
          <w:rFonts w:ascii="Times New Roman" w:cs="Times New Roman" w:eastAsia="Times New Roman" w:hAnsi="Times New Roman"/>
          <w:sz w:val="22"/>
          <w:szCs w:val="22"/>
          <w:b w:val="1"/>
          <w:bCs w:val="1"/>
          <w:color w:val="auto"/>
        </w:rPr>
        <w:t>$750,000,000 aggregate principal amount of 6.500% Notes due 2029 $600,000,000 aggregate principal amount of 5.750% Notes due 2030 registered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Sixth Street Lending Partners (the “Company”, “we”, “us”, or “our”) is offering to exchange all of its outstanding (i) 6.500% Notes due 2029 that were issued in transactions not requiring registration under the Securities Act of 1933, as amended (the “1933 Act”) on March 11, 2024, and June 17, 2024 (the “6.500% Restricted Notes”) and (ii) 5.750% Notes due 2030 that were issued in a transaction not requiring registration under the 1933 Act on September 16, 2024 (the “5.750% Restricted Notes” and together with the 6.500% Restricted Notes, the “Restricted Notes”), for an equal aggregate principal amount of its new (a) 6.500% Notes due 2029 (the “6.500% Exchange Notes”) and (b) 5.750% Notes due 2030 (the “5.750% Exchange Notes” and together with the 6.500% Exchange Notes, the “Exchange Notes”), respectively, that have been registered with the Securities and Exchange Commission (the “SEC”) under the 1933 Act. We refer to the 6.500% Restricted Notes and the 6.500% Exchange Notes together as the “6.500% Notes” and the 5.750% Restricted Notes and the 5.750% Exchange Notes together as the “5.750% Notes.” We refer to the Restricted Notes and the Exchange Notes collectively as the “Notes.”</w:t>
      </w:r>
    </w:p>
    <w:p>
      <w:pPr>
        <w:spacing w:after="0" w:line="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you participate in the exchange offer, you will receive Exchange Notes for your Restricted Notes that are validly tendered. The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w:t>
      </w:r>
    </w:p>
    <w:p>
      <w:pPr>
        <w:spacing w:after="0" w:line="6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MATERIAL TERMS OF THE EXCHANGE OFFER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exchange offer expires at 11:59 p.m., New York City time, on             , 2024, unless extended.</w:t>
      </w:r>
    </w:p>
    <w:p>
      <w:pPr>
        <w:spacing w:after="0" w:line="117"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will exchange all 6.500% Restricted Notes and 5.750% Restricted Notes that are validly tendered and not withdrawn prior to the expiration of the exchange offer for the 6.500% Exchange Notes and 5.750% Exchange Notes, respectively. You may withdraw tendered Restricted Notes at any time prior to the expiration of the exchange offer.</w:t>
      </w:r>
    </w:p>
    <w:p>
      <w:pPr>
        <w:spacing w:after="0" w:line="68"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only conditions to completing the exchange offer are that the exchange offer not violate any applicable law or applicable interpretation of the staff of the SEC and that no injunction, order or decree has been or is issued that would prohibit, prevent or materially impair our ability to complete the exchange offer.</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cash proceeds from the exchange offer.</w:t>
      </w:r>
    </w:p>
    <w:p>
      <w:pPr>
        <w:spacing w:after="0" w:line="11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There is no active trading market for the Restricted Notes, and we do not intend to list the Exchange Notes on any securities exchange or to seek approval for quotations through any automated dealer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Investing in the Exchange Notes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12 of this prospectus.</w:t>
      </w:r>
    </w:p>
    <w:p>
      <w:pPr>
        <w:spacing w:after="0" w:line="107"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Exchange Notes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129540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No dealer, salesperson or other person is authorized to give any information or to represent anything not contained in this prospectus. You must not rely on any unauthorized information or representations. This prospectus is an offer to sell only the Exchange Notes offered hereby, but only under circumstances and in jurisdictions where it is lawful to do so. The information contained in this prospectus is current only as of its date.</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29"/>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58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8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6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THE EXCHANGE OFFER</w:t>
            </w:r>
          </w:p>
        </w:tc>
        <w:tc>
          <w:tcPr>
            <w:tcW w:w="534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EXCHANGE NOTES</w:t>
            </w:r>
          </w:p>
        </w:tc>
        <w:tc>
          <w:tcPr>
            <w:tcW w:w="716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6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CERTAIN MATERIAL U.S. FEDERAL INCOME TAX CONSIDERATIONS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3560" w:type="dxa"/>
            <w:vAlign w:val="bottom"/>
            <w:tcBorders>
              <w:top w:val="single" w:sz="8" w:color="0000EE"/>
            </w:tcBorders>
            <w:gridSpan w:val="14"/>
          </w:tcPr>
          <w:p>
            <w:pPr>
              <w:spacing w:after="0"/>
              <w:rPr>
                <w:sz w:val="17"/>
                <w:szCs w:val="17"/>
                <w:color w:val="auto"/>
              </w:rPr>
            </w:pPr>
          </w:p>
        </w:tc>
        <w:tc>
          <w:tcPr>
            <w:tcW w:w="50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06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6140" w:type="dxa"/>
            <w:vAlign w:val="bottom"/>
            <w:tcBorders>
              <w:top w:val="single" w:sz="8" w:color="0000EE"/>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760" w:type="dxa"/>
            <w:vAlign w:val="bottom"/>
            <w:tcBorders>
              <w:top w:val="single" w:sz="8" w:color="0000EE"/>
            </w:tcBorders>
            <w:gridSpan w:val="2"/>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600" w:type="dxa"/>
            <w:vAlign w:val="bottom"/>
            <w:gridSpan w:val="2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06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BUSINESS OF THE COMPANY</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REGULATION OF THE COMPANY</w:t>
            </w:r>
          </w:p>
        </w:tc>
        <w:tc>
          <w:tcPr>
            <w:tcW w:w="792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SENIOR SECURITIES</w:t>
            </w:r>
          </w:p>
        </w:tc>
        <w:tc>
          <w:tcPr>
            <w:tcW w:w="894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06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PORTFOLIO COMPANIES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13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40" w:type="dxa"/>
            <w:vAlign w:val="bottom"/>
            <w:tcBorders>
              <w:top w:val="single" w:sz="8" w:color="0000EE"/>
            </w:tcBorders>
            <w:gridSpan w:val="9"/>
          </w:tcPr>
          <w:p>
            <w:pPr>
              <w:spacing w:after="0"/>
              <w:rPr>
                <w:sz w:val="17"/>
                <w:szCs w:val="17"/>
                <w:color w:val="auto"/>
              </w:rPr>
            </w:pPr>
          </w:p>
        </w:tc>
        <w:tc>
          <w:tcPr>
            <w:tcW w:w="852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PORTFOLIO MANAGEMENT</w:t>
            </w:r>
          </w:p>
        </w:tc>
        <w:tc>
          <w:tcPr>
            <w:tcW w:w="834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106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454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 PERSONS AND PRINCIPAL SHAREHOLDERS</w:t>
            </w:r>
          </w:p>
        </w:tc>
        <w:tc>
          <w:tcPr>
            <w:tcW w:w="920" w:type="dxa"/>
            <w:vAlign w:val="bottom"/>
            <w:tcBorders>
              <w:top w:val="single" w:sz="8" w:color="0000EE"/>
            </w:tcBorders>
            <w:gridSpan w:val="2"/>
          </w:tcPr>
          <w:p>
            <w:pPr>
              <w:spacing w:after="0"/>
              <w:rPr>
                <w:sz w:val="17"/>
                <w:szCs w:val="17"/>
                <w:color w:val="auto"/>
              </w:rPr>
            </w:pPr>
          </w:p>
        </w:tc>
        <w:tc>
          <w:tcPr>
            <w:tcW w:w="52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106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SHARES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60" w:type="dxa"/>
            <w:vAlign w:val="bottom"/>
            <w:gridSpan w:val="11"/>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REINVESTMENT PLAN</w:t>
            </w:r>
          </w:p>
        </w:tc>
        <w:tc>
          <w:tcPr>
            <w:tcW w:w="784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06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CUSTODIAN, TRANSFER AND DISTRIBUTION PAYING AGENT AND REGISTRAR</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4380" w:type="dxa"/>
            <w:vAlign w:val="bottom"/>
            <w:tcBorders>
              <w:top w:val="single" w:sz="8" w:color="0000EE"/>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BROKERAGE ALLOCATION AND OTHER PRACTICES</w:t>
            </w:r>
          </w:p>
        </w:tc>
        <w:tc>
          <w:tcPr>
            <w:tcW w:w="2220" w:type="dxa"/>
            <w:vAlign w:val="bottom"/>
            <w:tcBorders>
              <w:top w:val="single" w:sz="8" w:color="0000EE"/>
            </w:tcBorders>
            <w:gridSpan w:val="6"/>
          </w:tcPr>
          <w:p>
            <w:pPr>
              <w:spacing w:after="0"/>
              <w:rPr>
                <w:sz w:val="17"/>
                <w:szCs w:val="17"/>
                <w:color w:val="auto"/>
              </w:rPr>
            </w:pPr>
          </w:p>
        </w:tc>
        <w:tc>
          <w:tcPr>
            <w:tcW w:w="40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200" w:type="dxa"/>
            <w:vAlign w:val="bottom"/>
            <w:gridSpan w:val="2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06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760" w:type="dxa"/>
            <w:vAlign w:val="bottom"/>
            <w:gridSpan w:val="1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6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2"/>
          </w:tcPr>
          <w:p>
            <w:pPr>
              <w:spacing w:after="0"/>
              <w:rPr>
                <w:sz w:val="17"/>
                <w:szCs w:val="17"/>
                <w:color w:val="auto"/>
              </w:rPr>
            </w:pPr>
          </w:p>
        </w:tc>
        <w:tc>
          <w:tcPr>
            <w:tcW w:w="68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106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PART C OTHER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This prospectus incorporates important business and financial information about us that is not included in or delivered with the document. This information is available without charge to security holders upon written or oral request at:</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5600" w:right="4900" w:hanging="538"/>
        <w:spacing w:after="0" w:line="433" w:lineRule="auto"/>
        <w:tabs>
          <w:tab w:leader="none" w:pos="549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621-3001 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To obtain timely delivery, you must request information no later than five business days prior to the expiration of the exchange offer, which expiration is </w:t>
      </w:r>
      <w:r>
        <w:rPr>
          <w:rFonts w:ascii="Times New Roman" w:cs="Times New Roman" w:eastAsia="Times New Roman" w:hAnsi="Times New Roman"/>
          <w:sz w:val="18"/>
          <w:szCs w:val="18"/>
          <w:b w:val="1"/>
          <w:bCs w:val="1"/>
          <w:color w:val="auto"/>
        </w:rPr>
        <w:t>11:59 p.m., New York City time, on         , 2024.</w:t>
      </w:r>
    </w:p>
    <w:p>
      <w:pPr>
        <w:spacing w:after="0" w:line="158"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We have not authorized anyone to provide you with different information. We are not making an offer of the Exchange Notes in any state or other jurisdiction where the offer is not permitted. You should not assume that the information contained in this prospectus is accurate as of any date other than the date on the front of this prospectus.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Each broker-dealer that receives Exchange Notes for its own account in the exchange offer for Restricted Notes that were acquired as a result of market-making or other trading activities must acknowledge that it will comply with the prospectus delivery requirements of the 1933 Act in connection with any resale or other transfer of the Exchange Notes received in the exchange offer. The accompanying letter of transmittal relating to the Exchange Offer states that, by so acknowledging and delivering a prospectus, such broker-dealer will not be deemed to admit that it is an “underwriter” of the Exchange Notes within the meaning of the 1933 Act. This prospectus, as it may be amended or supplemented from time to time, may be used by such broker-dealer in connection with resales or other transfers of Exchange Notes received in the exchange offer for Restricted Notes that were acquired by the broker-dealer as a result of market-making or other trading activities.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 w:firstLine="426"/>
        <w:spacing w:after="0" w:line="254"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This summary highlights information contained elsewhere or incorporated by reference in this prospectus. This summary may not contain all of the information that is important to you, and it is qualified in its entirety by the more detailed information and financial statements, including the notes to those financial statements, appearing elsewhere or incorporated by reference in this prospectus. Please see the sections titled “Where You Can Find More Information” and “Incorporation by Reference.” Before making an investment decision, we encourage you to consider the information contained in and incorporated by reference in this prospectus, including the risks discussed under the heading “Risk Factors” </w:t>
      </w:r>
      <w:hyperlink r:id="rId26">
        <w:r>
          <w:rPr>
            <w:rFonts w:ascii="Times New Roman" w:cs="Times New Roman" w:eastAsia="Times New Roman" w:hAnsi="Times New Roman"/>
            <w:sz w:val="18"/>
            <w:szCs w:val="18"/>
            <w:i w:val="1"/>
            <w:iCs w:val="1"/>
            <w:color w:val="auto"/>
          </w:rPr>
          <w:t xml:space="preserve">beginning on page 12 of this prospectus, as well as the “Risk Factors” section of the </w:t>
        </w:r>
        <w:r>
          <w:rPr>
            <w:rFonts w:ascii="Times New Roman" w:cs="Times New Roman" w:eastAsia="Times New Roman" w:hAnsi="Times New Roman"/>
            <w:sz w:val="18"/>
            <w:szCs w:val="18"/>
            <w:i w:val="1"/>
            <w:iCs w:val="1"/>
            <w:u w:val="single" w:color="auto"/>
            <w:color w:val="0000EE"/>
          </w:rPr>
          <w:t>Company’s Annual Report on Form 10-K for the fiscal year</w:t>
        </w:r>
      </w:hyperlink>
      <w:r>
        <w:rPr>
          <w:rFonts w:ascii="Times New Roman" w:cs="Times New Roman" w:eastAsia="Times New Roman" w:hAnsi="Times New Roman"/>
          <w:sz w:val="18"/>
          <w:szCs w:val="18"/>
          <w:i w:val="1"/>
          <w:iCs w:val="1"/>
          <w:color w:val="auto"/>
        </w:rPr>
        <w:t xml:space="preserve"> </w:t>
      </w:r>
      <w:hyperlink r:id="rId26">
        <w:r>
          <w:rPr>
            <w:rFonts w:ascii="Times New Roman" w:cs="Times New Roman" w:eastAsia="Times New Roman" w:hAnsi="Times New Roman"/>
            <w:sz w:val="18"/>
            <w:szCs w:val="18"/>
            <w:i w:val="1"/>
            <w:iCs w:val="1"/>
            <w:u w:val="single" w:color="auto"/>
            <w:color w:val="0000EE"/>
          </w:rPr>
          <w:t>ended December 31, 2023</w:t>
        </w:r>
        <w:r>
          <w:rPr>
            <w:rFonts w:ascii="Times New Roman" w:cs="Times New Roman" w:eastAsia="Times New Roman" w:hAnsi="Times New Roman"/>
            <w:sz w:val="18"/>
            <w:szCs w:val="18"/>
            <w:i w:val="1"/>
            <w:iCs w:val="1"/>
            <w:color w:val="000000"/>
          </w:rPr>
          <w:t>, and any updates to those risk factors contained in the Company’s subsequent Quarterly Reports on Form 10-Q and</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Current Reports on Form 8-K filed with the Securities and Exchange Commission (the “SEC”), all of which we incorporate by reference herein other than as specified.</w:t>
      </w: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Sixth Street Lending Partners (together with its consolidated subsidiaries, the “Fund”, the “Company”, “we”, “us”, or “our”), is a Delaware statutory trust formed on April 5, 2022. We are a non-diversified, closed-end management investment company that has elected to be regulated as a business development company (“BDC”) under the Investment Company Act of 1940, as amended (the “1940 Act”). We are externally managed by our adviser, Sixth Street Lending Partners Advisers, LLC (the “Adviser”). The Adviser is an affiliate of Sixth Street Partners, LLC, and its consolidated subsidiaries (“Sixth Street”).</w:t>
      </w:r>
    </w:p>
    <w:p>
      <w:pPr>
        <w:spacing w:after="0" w:line="183"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which are expected returns that are adjusted based on the levels of risk associated with the investments. 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80" w:lineRule="exact"/>
        <w:rPr>
          <w:sz w:val="20"/>
          <w:szCs w:val="20"/>
          <w:color w:val="auto"/>
        </w:rPr>
      </w:pPr>
    </w:p>
    <w:p>
      <w:pPr>
        <w:jc w:val="both"/>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w:t>
      </w:r>
    </w:p>
    <w:p>
      <w:pPr>
        <w:spacing w:after="0" w:line="176"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ind w:left="300" w:right="600" w:firstLine="426"/>
        <w:spacing w:after="0" w:line="282" w:lineRule="auto"/>
        <w:rPr>
          <w:sz w:val="20"/>
          <w:szCs w:val="20"/>
          <w:color w:val="auto"/>
        </w:rPr>
      </w:pPr>
      <w:r>
        <w:rPr>
          <w:rFonts w:ascii="Times New Roman" w:cs="Times New Roman" w:eastAsia="Times New Roman" w:hAnsi="Times New Roman"/>
          <w:sz w:val="18"/>
          <w:szCs w:val="18"/>
          <w:color w:val="auto"/>
        </w:rPr>
        <w:t>We seek to create a portfolio over time that includes primarily senior secured investments by investing approximately $125 million to $300 million of capital, on average, across our core positions of upper middle-market companies.</w:t>
      </w:r>
    </w:p>
    <w:p>
      <w:pPr>
        <w:spacing w:after="0" w:line="162"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A BDC is a special closed-end investment vehicle that is regulated under the 1940 Act and used to facilitate capital formation by smaller U.S. companies. BDCs are subject to certain restrictions applicable to investment companies under the 1940 Act. As a BDC, at least 70% of our assets must be the type of “qualifying” assets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6071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998970" cy="1607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listed in Section 55(a) of the 1940 Act, as described herein, which are generally privately-offered securities issued by U.S. private or thinly-traded companies. We may also invest up to 30% of our portfolio in “non-qualifying” portfolio investments, such as investments in non-U.S. companies. </w:t>
      </w:r>
      <w:hyperlink r:id="rId26">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 xml:space="preserve">” in the Company’s </w:t>
        </w:r>
        <w:r>
          <w:rPr>
            <w:rFonts w:ascii="Times New Roman" w:cs="Times New Roman" w:eastAsia="Times New Roman" w:hAnsi="Times New Roman"/>
            <w:sz w:val="18"/>
            <w:szCs w:val="18"/>
            <w:u w:val="single" w:color="auto"/>
            <w:color w:val="0000EE"/>
          </w:rPr>
          <w:t>Annual Report on Form</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10-K for the fiscal year ended December 31, 2023</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i w:val="1"/>
            <w:iCs w:val="1"/>
            <w:color w:val="000000"/>
          </w:rPr>
          <w:t>Item 2. Management’s Discussion and Analysis of Financial Condition and Results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i w:val="1"/>
          <w:iCs w:val="1"/>
          <w:color w:val="000000"/>
        </w:rPr>
        <w:t xml:space="preserve">Operations” </w:t>
      </w:r>
      <w:r>
        <w:rPr>
          <w:rFonts w:ascii="Times New Roman" w:cs="Times New Roman" w:eastAsia="Times New Roman" w:hAnsi="Times New Roman"/>
          <w:sz w:val="18"/>
          <w:szCs w:val="18"/>
          <w:color w:val="000000"/>
        </w:rPr>
        <w:t>in the Company’s Quarterly Report on Form 10-Q for the quarter ended September 30, 2024, each of which is incorporated by</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reference herein.</w:t>
      </w:r>
    </w:p>
    <w:p>
      <w:pPr>
        <w:spacing w:after="0" w:line="187" w:lineRule="exact"/>
        <w:rPr>
          <w:sz w:val="20"/>
          <w:szCs w:val="20"/>
          <w:color w:val="auto"/>
        </w:rPr>
      </w:pPr>
    </w:p>
    <w:p>
      <w:pPr>
        <w:ind w:left="300" w:right="760" w:firstLine="426"/>
        <w:spacing w:after="0" w:line="266" w:lineRule="auto"/>
        <w:rPr>
          <w:sz w:val="20"/>
          <w:szCs w:val="20"/>
          <w:color w:val="auto"/>
        </w:rPr>
      </w:pPr>
      <w:r>
        <w:rPr>
          <w:rFonts w:ascii="Times New Roman" w:cs="Times New Roman" w:eastAsia="Times New Roman" w:hAnsi="Times New Roman"/>
          <w:sz w:val="18"/>
          <w:szCs w:val="18"/>
          <w:color w:val="auto"/>
        </w:rPr>
        <w:t xml:space="preserve">Our corporate headquarters are located at 2100 McKinney Avenue, Suite 1500, Dallas, TX 75201. We maintain a website at </w:t>
      </w:r>
      <w:r>
        <w:rPr>
          <w:rFonts w:ascii="Times New Roman" w:cs="Times New Roman" w:eastAsia="Times New Roman" w:hAnsi="Times New Roman"/>
          <w:sz w:val="18"/>
          <w:szCs w:val="18"/>
          <w:i w:val="1"/>
          <w:iCs w:val="1"/>
          <w:color w:val="auto"/>
        </w:rPr>
        <w:t>https://sixthstreetlendingpartners.com</w:t>
      </w:r>
      <w:r>
        <w:rPr>
          <w:rFonts w:ascii="Times New Roman" w:cs="Times New Roman" w:eastAsia="Times New Roman" w:hAnsi="Times New Roman"/>
          <w:sz w:val="18"/>
          <w:szCs w:val="18"/>
          <w:color w:val="auto"/>
        </w:rPr>
        <w:t>. Information contained on our website or on Sixth Street’s website at</w:t>
      </w:r>
      <w:r>
        <w:rPr>
          <w:rFonts w:ascii="Times New Roman" w:cs="Times New Roman" w:eastAsia="Times New Roman" w:hAnsi="Times New Roman"/>
          <w:sz w:val="18"/>
          <w:szCs w:val="18"/>
          <w:i w:val="1"/>
          <w:iCs w:val="1"/>
          <w:color w:val="auto"/>
        </w:rPr>
        <w:t xml:space="preserve"> https://sixthstreet.com </w:t>
      </w:r>
      <w:r>
        <w:rPr>
          <w:rFonts w:ascii="Times New Roman" w:cs="Times New Roman" w:eastAsia="Times New Roman" w:hAnsi="Times New Roman"/>
          <w:sz w:val="18"/>
          <w:szCs w:val="18"/>
          <w:color w:val="auto"/>
        </w:rPr>
        <w:t>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into this prospectus, and you should not consider that information to be part of this prospectus.</w:t>
      </w:r>
    </w:p>
    <w:p>
      <w:pPr>
        <w:spacing w:after="0" w:line="2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320" w:top="455" w:right="7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9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of the Terms of the Exchange Offer</w:t>
      </w:r>
    </w:p>
    <w:p>
      <w:pPr>
        <w:spacing w:after="0" w:line="227" w:lineRule="exact"/>
        <w:rPr>
          <w:sz w:val="20"/>
          <w:szCs w:val="20"/>
          <w:color w:val="auto"/>
        </w:rPr>
      </w:pPr>
    </w:p>
    <w:p>
      <w:pPr>
        <w:ind w:left="300" w:right="28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exchange offer. It does not contain all the information that may be important to you. For a more complete description of the exchange offer, you should read the discussion under the heading “The Exchange Offer.”</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Exchange Notes</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$750,000,000 aggregate principal amount of 6.500% Notes due 2029 (the “6.500%</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Exchange Notes”).</w:t>
            </w:r>
          </w:p>
        </w:tc>
      </w:tr>
      <w:tr>
        <w:trPr>
          <w:trHeight w:val="441"/>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$600,000,000 aggregate principal amount of 5.750% Notes due 2030 (the “5.750%</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Exchange Notes” and, together with the 6.500% Exchange Notes, the “Exchange Notes”).</w:t>
            </w:r>
          </w:p>
        </w:tc>
      </w:tr>
      <w:tr>
        <w:trPr>
          <w:trHeight w:val="441"/>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The terms of our 6.500% Exchange Notes and 5.750% Exchange Notes that have been</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registered with the SEC under the Securities Act of 1933, as amended (the “1933 Act”), are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substantially identical to those of our outstanding 6.500% Notes due 2029 (the 6.500%</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Restricted Notes”) and 5.750% Notes due 2030 (the “5.750% Restricted Notes” and,</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together with the 6.500% Restricted Notes, the “Restricted Notes”) that were issued in</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transactions not requiring registration under the 1933 Act on March 11, 2024 and June 17,</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2024, with respect to the 6.500% Restricted Notes, and September 16, 2024, with respect to</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the 5.750% Restricted Notes, except that the transfer restrictions and registration rights</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relating to the Restricted Notes will not apply to the Exchange Notes, and the Exchange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Notes will not provide for the payment of additional interest in the event of a registration</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default. In addition, the Exchange Notes will bear a different CUSIP number than the</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Restricted Notes. See “Description of the Exchange Notes.”</w:t>
            </w:r>
          </w:p>
        </w:tc>
      </w:tr>
      <w:tr>
        <w:trPr>
          <w:trHeight w:val="441"/>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We refer to the 6.500% Restricted Notes and the 6.500% Exchange Notes together as the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“6.500% Notes” and the 5.750% Restricted Notes and the 5.750% Exchange Notes</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together as the “5.750% Notes”. We refer to the Restricted Notes and the Exchange Notes</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as the “Notes.”</w:t>
            </w:r>
          </w:p>
        </w:tc>
      </w:tr>
      <w:tr>
        <w:trPr>
          <w:trHeight w:val="441"/>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Notes</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$750,000,000 aggregate principal amount of 6.500% Notes due 2029, which were issued in</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private placements on March 11, 2024 and June 17, 2024.</w:t>
            </w:r>
          </w:p>
        </w:tc>
      </w:tr>
      <w:tr>
        <w:trPr>
          <w:trHeight w:val="441"/>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$600,000,000 aggregate principal amount of 5.750% Notes due 2030, which were issued in</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 private placement on September 16, 2024.</w:t>
            </w:r>
          </w:p>
        </w:tc>
      </w:tr>
      <w:tr>
        <w:trPr>
          <w:trHeight w:val="441"/>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The Exchange Offer</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In the exchange offer, we will exchange the 6.500% Restricted Notes and 5.750%</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Restricted Notes that are validly tendered and not withdrawn prior to the expiration of the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exchange offer for a like principal amount of the 6.500% Exchange Notes and 5.750%</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Exchange Notes, respectively, to satisfy certain of our obligations under the applicable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registration rights agreement that we entered into when the Restricted Notes were issued in</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reliance upon exemptions from registration under the 1933 Act.</w:t>
            </w:r>
          </w:p>
        </w:tc>
      </w:tr>
      <w:tr>
        <w:trPr>
          <w:trHeight w:val="172"/>
        </w:trPr>
        <w:tc>
          <w:tcPr>
            <w:tcW w:w="2980" w:type="dxa"/>
            <w:vAlign w:val="bottom"/>
            <w:tcBorders>
              <w:bottom w:val="single" w:sz="8" w:color="auto"/>
            </w:tcBorders>
          </w:tcPr>
          <w:p>
            <w:pPr>
              <w:spacing w:after="0"/>
              <w:rPr>
                <w:sz w:val="14"/>
                <w:szCs w:val="14"/>
                <w:color w:val="auto"/>
              </w:rPr>
            </w:pPr>
          </w:p>
        </w:tc>
        <w:tc>
          <w:tcPr>
            <w:tcW w:w="8040" w:type="dxa"/>
            <w:vAlign w:val="bottom"/>
            <w:tcBorders>
              <w:bottom w:val="single" w:sz="8" w:color="auto"/>
            </w:tcBorders>
          </w:tcPr>
          <w:p>
            <w:pPr>
              <w:spacing w:after="0"/>
              <w:rPr>
                <w:sz w:val="14"/>
                <w:szCs w:val="14"/>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400" w:type="dxa"/>
            <w:vAlign w:val="bottom"/>
            <w:tcBorders>
              <w:top w:val="single" w:sz="8" w:color="auto"/>
              <w:left w:val="single" w:sz="8" w:color="auto"/>
            </w:tcBorders>
          </w:tcPr>
          <w:p>
            <w:pPr>
              <w:spacing w:after="0"/>
              <w:rPr>
                <w:sz w:val="24"/>
                <w:szCs w:val="24"/>
                <w:color w:val="auto"/>
              </w:rPr>
            </w:pPr>
          </w:p>
        </w:tc>
        <w:tc>
          <w:tcPr>
            <w:tcW w:w="7620" w:type="dxa"/>
            <w:vAlign w:val="bottom"/>
            <w:tcBorders>
              <w:top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In order to be exchanged, outstanding Restricted Notes must be validly tendered and</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accepted. We will accept any and all Restricted Notes validly tendered and not withdrawn</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prior to 11:59 p.m., New York City time, on , 2024. Holders may tender some or all of their</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Restricted Notes pursuant to the exchange offer. However, Restricted Notes may be</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tendered only in denominations of $2,000 and integral multiples of $1,000.</w:t>
            </w:r>
          </w:p>
        </w:tc>
      </w:tr>
      <w:tr>
        <w:trPr>
          <w:trHeight w:val="441"/>
        </w:trPr>
        <w:tc>
          <w:tcPr>
            <w:tcW w:w="34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We will issue Exchange Notes promptly after the expiration of the exchange offer. See</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“The Exchange Offer—Terms of the Exchange Offer.”</w:t>
            </w:r>
          </w:p>
        </w:tc>
      </w:tr>
      <w:tr>
        <w:trPr>
          <w:trHeight w:val="441"/>
        </w:trPr>
        <w:tc>
          <w:tcPr>
            <w:tcW w:w="34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In connection with the private placement of the 6.500% Restricted Notes, we entered into</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registration rights agreements with BofA Securities, Inc., as representatives of the several</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initial purchasers. In connection with the private placement of the 5.750% Restricted</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Notes, we entered into a registration rights agreement with BofA Securities, Inc., as</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representatives of the several initial purchasers.</w:t>
            </w:r>
          </w:p>
        </w:tc>
      </w:tr>
      <w:tr>
        <w:trPr>
          <w:trHeight w:val="441"/>
        </w:trPr>
        <w:tc>
          <w:tcPr>
            <w:tcW w:w="34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Under each registration rights agreement, we agreed, for the benefit of the holders of the</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Restricted Notes, to use commercially reasonable efforts to:</w:t>
            </w:r>
          </w:p>
        </w:tc>
      </w:tr>
      <w:tr>
        <w:trPr>
          <w:trHeight w:val="319"/>
        </w:trPr>
        <w:tc>
          <w:tcPr>
            <w:tcW w:w="34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  file a registration statement (the “Exchange Offer Registration Statement”) with respect</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to a registered offer to exchange the Restricted Notes for the Exchange Notes having</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terms substantially identical to the Restricted Notes being exchanged, except that the</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transfer restrictions and registration rights relating to the Restricted Notes will not apply</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to the Exchange Notes, and the Exchange Notes will not provide for the payment of</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additional interest in the event of a registration default;</w:t>
            </w:r>
          </w:p>
        </w:tc>
      </w:tr>
      <w:tr>
        <w:trPr>
          <w:trHeight w:val="319"/>
        </w:trPr>
        <w:tc>
          <w:tcPr>
            <w:tcW w:w="34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  cause the Exchange Offer Registration Statement to become effective and continuously</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effective, supplemented and amended, for a period ending on the earlier of (i) 180 days</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from the date on which the Exchange Offer Registration Statement becomes or is</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declared effective and (ii) the date on which a broker-dealer registered under the 1933</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Act is no longer required to deliver a prospectus in connection with market-making or</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other trading activities; and</w:t>
            </w:r>
          </w:p>
        </w:tc>
      </w:tr>
      <w:tr>
        <w:trPr>
          <w:trHeight w:val="319"/>
        </w:trPr>
        <w:tc>
          <w:tcPr>
            <w:tcW w:w="34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  cause the exchange offer to be consummated on the earliest practicable date after the</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Exchange Offer Registration Statement has become or been declared effective, but in no</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event later than 365 days after the initial issuance of the Restricted Notes (or if such</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365th day is not a business day, the next succeeding business day).</w:t>
            </w:r>
          </w:p>
        </w:tc>
      </w:tr>
      <w:tr>
        <w:trPr>
          <w:trHeight w:val="441"/>
        </w:trPr>
        <w:tc>
          <w:tcPr>
            <w:tcW w:w="34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The registration statement of which this prospectus forms a part constitutes an Exchange</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Offer Registration Statement for purposes of the registration rights agreements.</w:t>
            </w:r>
          </w:p>
        </w:tc>
      </w:tr>
      <w:tr>
        <w:trPr>
          <w:trHeight w:val="172"/>
        </w:trPr>
        <w:tc>
          <w:tcPr>
            <w:tcW w:w="3400" w:type="dxa"/>
            <w:vAlign w:val="bottom"/>
            <w:tcBorders>
              <w:left w:val="single" w:sz="8" w:color="auto"/>
              <w:bottom w:val="single" w:sz="8" w:color="auto"/>
            </w:tcBorders>
          </w:tcPr>
          <w:p>
            <w:pPr>
              <w:spacing w:after="0"/>
              <w:rPr>
                <w:sz w:val="14"/>
                <w:szCs w:val="14"/>
                <w:color w:val="auto"/>
              </w:rPr>
            </w:pPr>
          </w:p>
        </w:tc>
        <w:tc>
          <w:tcPr>
            <w:tcW w:w="7620" w:type="dxa"/>
            <w:vAlign w:val="bottom"/>
            <w:tcBorders>
              <w:bottom w:val="single" w:sz="8" w:color="auto"/>
              <w:right w:val="single" w:sz="8" w:color="auto"/>
            </w:tcBorders>
          </w:tcPr>
          <w:p>
            <w:pPr>
              <w:spacing w:after="0"/>
              <w:rPr>
                <w:sz w:val="14"/>
                <w:szCs w:val="14"/>
                <w:color w:val="auto"/>
              </w:rPr>
            </w:pPr>
          </w:p>
        </w:tc>
      </w:tr>
      <w:tr>
        <w:trPr>
          <w:trHeight w:val="361"/>
        </w:trPr>
        <w:tc>
          <w:tcPr>
            <w:tcW w:w="3400" w:type="dxa"/>
            <w:vAlign w:val="bottom"/>
          </w:tcPr>
          <w:p>
            <w:pPr>
              <w:spacing w:after="0"/>
              <w:rPr>
                <w:sz w:val="24"/>
                <w:szCs w:val="24"/>
                <w:color w:val="auto"/>
              </w:rPr>
            </w:pPr>
          </w:p>
        </w:tc>
        <w:tc>
          <w:tcPr>
            <w:tcW w:w="7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220" w:type="dxa"/>
            <w:vAlign w:val="bottom"/>
            <w:tcBorders>
              <w:top w:val="single" w:sz="8" w:color="auto"/>
              <w:left w:val="single" w:sz="8" w:color="auto"/>
            </w:tcBorders>
          </w:tcPr>
          <w:p>
            <w:pPr>
              <w:spacing w:after="0"/>
              <w:rPr>
                <w:sz w:val="24"/>
                <w:szCs w:val="24"/>
                <w:color w:val="auto"/>
              </w:rPr>
            </w:pPr>
          </w:p>
        </w:tc>
        <w:tc>
          <w:tcPr>
            <w:tcW w:w="780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We also agreed to keep the Exchange Offer Registration Statement effective for not less</w:t>
            </w:r>
          </w:p>
        </w:tc>
      </w:tr>
      <w:tr>
        <w:trPr>
          <w:trHeight w:val="214"/>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than the minimum period required under applicable federal and state securities laws to</w:t>
            </w:r>
          </w:p>
        </w:tc>
      </w:tr>
      <w:tr>
        <w:trPr>
          <w:trHeight w:val="218"/>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 xml:space="preserve">consummate the exchange offer;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such period be</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less than 20 business days after the commencement of the exchange offer. If we fail to meet</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certain conditions described in the applicable registration rights agreement (“Registration</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Default”), then, with respect to the first 90-day period immediately following the</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occurrence of such Registration Default, the interest rate borne by the affected series of</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Restricted Notes will be increased by 0.25% per annum and will increase by an additional</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0.25% per annum on the principal amount of Notes with respect to each subsequent 90-day</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period, up to a maximum of additional interest of 0.50% per annum (the “Additional</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Interest”). Additional Interest due pursuant to Registration Defaults will be paid in cash on</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the relevant interest payment date to holders of record on the relevant regular record dates.</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Following the cure of all Registration Defaults relating to any particular Restricted Notes,</w:t>
            </w:r>
          </w:p>
        </w:tc>
      </w:tr>
      <w:tr>
        <w:trPr>
          <w:trHeight w:val="214"/>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the interest rate borne by the Restricted Notes will be reduced to the original interest rate</w:t>
            </w:r>
          </w:p>
        </w:tc>
      </w:tr>
      <w:tr>
        <w:trPr>
          <w:trHeight w:val="218"/>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 xml:space="preserve">borne by Restricted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after any such reduction in interest</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rate, a different Registration Default occurs, the interest rate borne by the relevant</w:t>
            </w:r>
          </w:p>
        </w:tc>
      </w:tr>
      <w:tr>
        <w:trPr>
          <w:trHeight w:val="234"/>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Restricted Notes will again be increased pursuant to the foregoing provisions.</w:t>
            </w:r>
          </w:p>
        </w:tc>
      </w:tr>
      <w:tr>
        <w:trPr>
          <w:trHeight w:val="441"/>
        </w:trPr>
        <w:tc>
          <w:tcPr>
            <w:tcW w:w="32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If the Company is not able to effect the exchange offer, the Company will be obligated to</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file a shelf registration statement covering the resale of the Notes and use its commercially</w:t>
            </w:r>
          </w:p>
        </w:tc>
      </w:tr>
      <w:tr>
        <w:trPr>
          <w:trHeight w:val="234"/>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reasonable efforts to cause such registration statement to be declared effective.</w:t>
            </w:r>
          </w:p>
        </w:tc>
      </w:tr>
      <w:tr>
        <w:trPr>
          <w:trHeight w:val="441"/>
        </w:trPr>
        <w:tc>
          <w:tcPr>
            <w:tcW w:w="32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 copy of each registration rights agreement is incorporated by reference as an exhibit to</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the registration statement of which this prospectus forms a part. See “The Exchange Offer</w:t>
            </w:r>
          </w:p>
        </w:tc>
      </w:tr>
      <w:tr>
        <w:trPr>
          <w:trHeight w:val="234"/>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—Purpose and Effect of the Exchange Offer.”</w:t>
            </w:r>
          </w:p>
        </w:tc>
      </w:tr>
      <w:tr>
        <w:trPr>
          <w:trHeight w:val="441"/>
        </w:trPr>
        <w:tc>
          <w:tcPr>
            <w:tcW w:w="32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Resales of Exchange Notes</w:t>
            </w: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We believe that the Exchange Notes received in the exchange offer may be resold or</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otherwise transferred by you without compliance with the registration and prospectus</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delivery requirements of the 1933 Act (subject to the limitations described below). This,</w:t>
            </w:r>
          </w:p>
        </w:tc>
      </w:tr>
      <w:tr>
        <w:trPr>
          <w:trHeight w:val="234"/>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however, is based on your representations to us that:</w:t>
            </w:r>
          </w:p>
        </w:tc>
      </w:tr>
      <w:tr>
        <w:trPr>
          <w:trHeight w:val="338"/>
        </w:trPr>
        <w:tc>
          <w:tcPr>
            <w:tcW w:w="32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  you are acquiring the Exchange Notes in the ordinary course of your business;</w:t>
            </w:r>
          </w:p>
        </w:tc>
      </w:tr>
      <w:tr>
        <w:trPr>
          <w:trHeight w:val="319"/>
        </w:trPr>
        <w:tc>
          <w:tcPr>
            <w:tcW w:w="32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(2)  you are not engaging in and do not intend to engage in a distribution of the</w:t>
            </w:r>
          </w:p>
        </w:tc>
      </w:tr>
      <w:tr>
        <w:trPr>
          <w:trHeight w:val="234"/>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Exchange Notes;</w:t>
            </w:r>
          </w:p>
        </w:tc>
      </w:tr>
      <w:tr>
        <w:trPr>
          <w:trHeight w:val="319"/>
        </w:trPr>
        <w:tc>
          <w:tcPr>
            <w:tcW w:w="32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(3)  you do not have an arrangement or understanding with any person or entity to</w:t>
            </w:r>
          </w:p>
        </w:tc>
      </w:tr>
      <w:tr>
        <w:trPr>
          <w:trHeight w:val="234"/>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participate in the distribution of the Exchange Notes;</w:t>
            </w:r>
          </w:p>
        </w:tc>
      </w:tr>
      <w:tr>
        <w:trPr>
          <w:trHeight w:val="338"/>
        </w:trPr>
        <w:tc>
          <w:tcPr>
            <w:tcW w:w="32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(4)  you are not our “affiliate,” as that term is defined in Rule 405 under the 1933 Act;</w:t>
            </w:r>
          </w:p>
        </w:tc>
      </w:tr>
      <w:tr>
        <w:trPr>
          <w:trHeight w:val="172"/>
        </w:trPr>
        <w:tc>
          <w:tcPr>
            <w:tcW w:w="3220" w:type="dxa"/>
            <w:vAlign w:val="bottom"/>
            <w:tcBorders>
              <w:left w:val="single" w:sz="8" w:color="auto"/>
              <w:bottom w:val="single" w:sz="8" w:color="auto"/>
            </w:tcBorders>
          </w:tcPr>
          <w:p>
            <w:pPr>
              <w:spacing w:after="0"/>
              <w:rPr>
                <w:sz w:val="14"/>
                <w:szCs w:val="14"/>
                <w:color w:val="auto"/>
              </w:rPr>
            </w:pPr>
          </w:p>
        </w:tc>
        <w:tc>
          <w:tcPr>
            <w:tcW w:w="7800" w:type="dxa"/>
            <w:vAlign w:val="bottom"/>
            <w:tcBorders>
              <w:bottom w:val="single" w:sz="8" w:color="auto"/>
              <w:right w:val="single" w:sz="8" w:color="auto"/>
            </w:tcBorders>
          </w:tcPr>
          <w:p>
            <w:pPr>
              <w:spacing w:after="0"/>
              <w:rPr>
                <w:sz w:val="14"/>
                <w:szCs w:val="14"/>
                <w:color w:val="auto"/>
              </w:rPr>
            </w:pPr>
          </w:p>
        </w:tc>
      </w:tr>
      <w:tr>
        <w:trPr>
          <w:trHeight w:val="361"/>
        </w:trPr>
        <w:tc>
          <w:tcPr>
            <w:tcW w:w="3220" w:type="dxa"/>
            <w:vAlign w:val="bottom"/>
          </w:tcPr>
          <w:p>
            <w:pPr>
              <w:spacing w:after="0"/>
              <w:rPr>
                <w:sz w:val="24"/>
                <w:szCs w:val="24"/>
                <w:color w:val="auto"/>
              </w:rPr>
            </w:pPr>
          </w:p>
        </w:tc>
        <w:tc>
          <w:tcPr>
            <w:tcW w:w="7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5996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ectPr>
          <w:pgSz w:w="11900" w:h="16838" w:orient="portrait"/>
          <w:cols w:equalWidth="0" w:num="1">
            <w:col w:w="10900"/>
          </w:cols>
          <w:pgMar w:left="320" w:top="455"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Expiration 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Procedures for Tendering Restricted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left="525" w:right="20" w:hanging="417"/>
        <w:spacing w:after="0" w:line="282" w:lineRule="auto"/>
        <w:tabs>
          <w:tab w:leader="none" w:pos="5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broker-dealer tendering Restricted Notes acquired directly from us for your own account; and</w:t>
      </w:r>
    </w:p>
    <w:p>
      <w:pPr>
        <w:spacing w:after="0" w:line="67" w:lineRule="exact"/>
        <w:rPr>
          <w:rFonts w:ascii="Times New Roman" w:cs="Times New Roman" w:eastAsia="Times New Roman" w:hAnsi="Times New Roman"/>
          <w:sz w:val="18"/>
          <w:szCs w:val="18"/>
          <w:color w:val="auto"/>
        </w:rPr>
      </w:pPr>
    </w:p>
    <w:p>
      <w:pPr>
        <w:ind w:left="525" w:right="400" w:hanging="417"/>
        <w:spacing w:after="0" w:line="282" w:lineRule="auto"/>
        <w:tabs>
          <w:tab w:leader="none" w:pos="5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acting on behalf of any person that could not truthfully make these representations.</w:t>
      </w:r>
    </w:p>
    <w:p>
      <w:pPr>
        <w:spacing w:after="0" w:line="189" w:lineRule="exact"/>
        <w:rPr>
          <w:sz w:val="20"/>
          <w:szCs w:val="20"/>
          <w:color w:val="auto"/>
        </w:rPr>
      </w:pPr>
    </w:p>
    <w:p>
      <w:pPr>
        <w:ind w:left="5"/>
        <w:spacing w:after="0" w:line="255" w:lineRule="auto"/>
        <w:rPr>
          <w:sz w:val="20"/>
          <w:szCs w:val="20"/>
          <w:color w:val="auto"/>
        </w:rPr>
      </w:pPr>
      <w:r>
        <w:rPr>
          <w:rFonts w:ascii="Times New Roman" w:cs="Times New Roman" w:eastAsia="Times New Roman" w:hAnsi="Times New Roman"/>
          <w:sz w:val="18"/>
          <w:szCs w:val="18"/>
          <w:color w:val="auto"/>
        </w:rPr>
        <w:t xml:space="preserve">Our belief is based on interpretations by the staff of the SEC, as set forth in no-action letters issued to third parties unrelated to us, including </w:t>
      </w:r>
      <w:r>
        <w:rPr>
          <w:rFonts w:ascii="Times New Roman" w:cs="Times New Roman" w:eastAsia="Times New Roman" w:hAnsi="Times New Roman"/>
          <w:sz w:val="18"/>
          <w:szCs w:val="18"/>
          <w:i w:val="1"/>
          <w:iCs w:val="1"/>
          <w:color w:val="auto"/>
        </w:rPr>
        <w:t>Exxon Capital Holdings Corp.</w:t>
      </w:r>
      <w:r>
        <w:rPr>
          <w:rFonts w:ascii="Times New Roman" w:cs="Times New Roman" w:eastAsia="Times New Roman" w:hAnsi="Times New Roman"/>
          <w:sz w:val="18"/>
          <w:szCs w:val="18"/>
          <w:color w:val="auto"/>
        </w:rPr>
        <w:t xml:space="preserve">, SEC no-action letter (April 13, 1988), </w:t>
      </w:r>
      <w:r>
        <w:rPr>
          <w:rFonts w:ascii="Times New Roman" w:cs="Times New Roman" w:eastAsia="Times New Roman" w:hAnsi="Times New Roman"/>
          <w:sz w:val="18"/>
          <w:szCs w:val="18"/>
          <w:i w:val="1"/>
          <w:iCs w:val="1"/>
          <w:color w:val="auto"/>
        </w:rPr>
        <w:t>Morgan, Stanley &amp; Co. Inc.</w:t>
      </w:r>
      <w:r>
        <w:rPr>
          <w:rFonts w:ascii="Times New Roman" w:cs="Times New Roman" w:eastAsia="Times New Roman" w:hAnsi="Times New Roman"/>
          <w:sz w:val="18"/>
          <w:szCs w:val="18"/>
          <w:color w:val="auto"/>
        </w:rPr>
        <w:t xml:space="preserve">, SEC no-action letter (June 5, 1991) and </w:t>
      </w:r>
      <w:r>
        <w:rPr>
          <w:rFonts w:ascii="Times New Roman" w:cs="Times New Roman" w:eastAsia="Times New Roman" w:hAnsi="Times New Roman"/>
          <w:sz w:val="18"/>
          <w:szCs w:val="18"/>
          <w:i w:val="1"/>
          <w:iCs w:val="1"/>
          <w:color w:val="auto"/>
        </w:rPr>
        <w:t>Shearman &amp; Sterling</w:t>
      </w:r>
      <w:r>
        <w:rPr>
          <w:rFonts w:ascii="Times New Roman" w:cs="Times New Roman" w:eastAsia="Times New Roman" w:hAnsi="Times New Roman"/>
          <w:sz w:val="18"/>
          <w:szCs w:val="18"/>
          <w:color w:val="auto"/>
        </w:rPr>
        <w:t>, SEC no-action letter (July 2, 1993). We have not asked the staff for a no-action letter in connection with the exchange offer, however, and we cannot assure you that the staff would make a similar determination with respect to the exchange offer.</w:t>
      </w:r>
    </w:p>
    <w:p>
      <w:pPr>
        <w:spacing w:after="0" w:line="21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If you cannot make the representations described above:</w:t>
      </w:r>
    </w:p>
    <w:p>
      <w:pPr>
        <w:spacing w:after="0" w:line="131" w:lineRule="exact"/>
        <w:rPr>
          <w:sz w:val="20"/>
          <w:szCs w:val="20"/>
          <w:color w:val="auto"/>
        </w:rPr>
      </w:pPr>
    </w:p>
    <w:p>
      <w:pPr>
        <w:ind w:left="185" w:hanging="185"/>
        <w:spacing w:after="0"/>
        <w:tabs>
          <w:tab w:leader="none" w:pos="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cannot rely on the applicable interpretations of the staff of the SEC;</w:t>
      </w:r>
    </w:p>
    <w:p>
      <w:pPr>
        <w:spacing w:after="0" w:line="130" w:lineRule="exact"/>
        <w:rPr>
          <w:rFonts w:ascii="Times New Roman" w:cs="Times New Roman" w:eastAsia="Times New Roman" w:hAnsi="Times New Roman"/>
          <w:sz w:val="18"/>
          <w:szCs w:val="18"/>
          <w:color w:val="auto"/>
        </w:rPr>
      </w:pPr>
    </w:p>
    <w:p>
      <w:pPr>
        <w:ind w:left="185" w:hanging="185"/>
        <w:spacing w:after="0"/>
        <w:tabs>
          <w:tab w:leader="none" w:pos="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participate in the exchange offer; and</w:t>
      </w:r>
    </w:p>
    <w:p>
      <w:pPr>
        <w:spacing w:after="0" w:line="130" w:lineRule="exact"/>
        <w:rPr>
          <w:rFonts w:ascii="Times New Roman" w:cs="Times New Roman" w:eastAsia="Times New Roman" w:hAnsi="Times New Roman"/>
          <w:sz w:val="18"/>
          <w:szCs w:val="18"/>
          <w:color w:val="auto"/>
        </w:rPr>
      </w:pPr>
    </w:p>
    <w:p>
      <w:pPr>
        <w:ind w:left="185" w:right="60" w:hanging="185"/>
        <w:spacing w:after="0" w:line="266" w:lineRule="auto"/>
        <w:tabs>
          <w:tab w:leader="none" w:pos="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in the absence of an exemption therefrom, comply with the registration and prospectus delivery requirements of the 1933 Act in connection with any resale or other transfer of your Restricted Notes.</w:t>
      </w:r>
    </w:p>
    <w:p>
      <w:pPr>
        <w:spacing w:after="0" w:line="203" w:lineRule="exact"/>
        <w:rPr>
          <w:sz w:val="20"/>
          <w:szCs w:val="20"/>
          <w:color w:val="auto"/>
        </w:rPr>
      </w:pPr>
    </w:p>
    <w:p>
      <w:pPr>
        <w:ind w:left="5" w:right="40"/>
        <w:spacing w:after="0" w:line="258"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in the exchange offer for Restricted Notes that were acquired as a result of market-making or other trading activities must acknowledge that it will comply with the prospectus delivery requirements of the 1933 Act in connection with any resale or other transfer of the Exchange Notes received in the exchange offer. See “Plan of Distribution.”</w:t>
      </w:r>
    </w:p>
    <w:p>
      <w:pPr>
        <w:spacing w:after="0" w:line="210" w:lineRule="exact"/>
        <w:rPr>
          <w:sz w:val="20"/>
          <w:szCs w:val="20"/>
          <w:color w:val="auto"/>
        </w:rPr>
      </w:pPr>
    </w:p>
    <w:p>
      <w:pPr>
        <w:jc w:val="both"/>
        <w:ind w:left="5" w:right="280"/>
        <w:spacing w:after="0" w:line="266" w:lineRule="auto"/>
        <w:rPr>
          <w:sz w:val="20"/>
          <w:szCs w:val="20"/>
          <w:color w:val="auto"/>
        </w:rPr>
      </w:pPr>
      <w:r>
        <w:rPr>
          <w:rFonts w:ascii="Times New Roman" w:cs="Times New Roman" w:eastAsia="Times New Roman" w:hAnsi="Times New Roman"/>
          <w:sz w:val="18"/>
          <w:szCs w:val="18"/>
          <w:color w:val="auto"/>
        </w:rPr>
        <w:t>The exchange offer will expire at 11:59 p.m., New York City time, on         , 2024, unless we decide to extend the exchange offer. We do not currently intend to extend the exchange offer, although we reserve the right to do so.</w:t>
      </w:r>
    </w:p>
    <w:p>
      <w:pPr>
        <w:spacing w:after="0" w:line="203" w:lineRule="exact"/>
        <w:rPr>
          <w:sz w:val="20"/>
          <w:szCs w:val="20"/>
          <w:color w:val="auto"/>
        </w:rPr>
      </w:pPr>
    </w:p>
    <w:p>
      <w:pPr>
        <w:ind w:left="5"/>
        <w:spacing w:after="0" w:line="261" w:lineRule="auto"/>
        <w:rPr>
          <w:sz w:val="20"/>
          <w:szCs w:val="20"/>
          <w:color w:val="auto"/>
        </w:rPr>
      </w:pPr>
      <w:r>
        <w:rPr>
          <w:rFonts w:ascii="Times New Roman" w:cs="Times New Roman" w:eastAsia="Times New Roman" w:hAnsi="Times New Roman"/>
          <w:sz w:val="18"/>
          <w:szCs w:val="18"/>
          <w:color w:val="auto"/>
        </w:rPr>
        <w:t>The exchange offer is subject to customary conditions, including that it not violate any applicable law or any applicable interpretation of the staff of the SEC. The exchange offer is not conditioned upon any minimum principal amount of Restricted Notes being tendered for exchange. See “The Exchange Offer—Conditions.”</w:t>
      </w:r>
    </w:p>
    <w:p>
      <w:pPr>
        <w:spacing w:after="0" w:line="207" w:lineRule="exact"/>
        <w:rPr>
          <w:sz w:val="20"/>
          <w:szCs w:val="20"/>
          <w:color w:val="auto"/>
        </w:rPr>
      </w:pPr>
    </w:p>
    <w:p>
      <w:pPr>
        <w:ind w:left="5" w:right="100"/>
        <w:spacing w:after="0" w:line="261" w:lineRule="auto"/>
        <w:rPr>
          <w:sz w:val="20"/>
          <w:szCs w:val="20"/>
          <w:color w:val="auto"/>
        </w:rPr>
      </w:pPr>
      <w:r>
        <w:rPr>
          <w:rFonts w:ascii="Times New Roman" w:cs="Times New Roman" w:eastAsia="Times New Roman" w:hAnsi="Times New Roman"/>
          <w:sz w:val="18"/>
          <w:szCs w:val="18"/>
          <w:color w:val="auto"/>
        </w:rPr>
        <w:t>The Restricted Notes are represented by global securities in fully registered form without coupons. Beneficial interests in the Restricted Notes are held by direct or indirect participants in The Depository Trust Company (“DTC”) through certificateless depositary interests</w:t>
      </w:r>
    </w:p>
    <w:p>
      <w:pPr>
        <w:spacing w:after="0" w:line="200" w:lineRule="exact"/>
        <w:rPr>
          <w:sz w:val="20"/>
          <w:szCs w:val="20"/>
          <w:color w:val="auto"/>
        </w:rPr>
      </w:pPr>
    </w:p>
    <w:p>
      <w:pPr>
        <w:sectPr>
          <w:pgSz w:w="11900" w:h="16838" w:orient="portrait"/>
          <w:cols w:equalWidth="0" w:num="2">
            <w:col w:w="3615" w:space="720"/>
            <w:col w:w="6565"/>
          </w:cols>
          <w:pgMar w:left="320" w:top="455" w:right="679" w:bottom="1440" w:gutter="0" w:footer="0" w:header="0"/>
          <w:type w:val="continuous"/>
        </w:sectPr>
      </w:pPr>
    </w:p>
    <w:p>
      <w:pPr>
        <w:spacing w:after="0" w:line="1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900"/>
          </w:cols>
          <w:pgMar w:left="320" w:top="455" w:right="6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4000" w:type="dxa"/>
            <w:vAlign w:val="bottom"/>
            <w:tcBorders>
              <w:top w:val="single" w:sz="8" w:color="auto"/>
              <w:left w:val="single" w:sz="8" w:color="auto"/>
            </w:tcBorders>
          </w:tcPr>
          <w:p>
            <w:pPr>
              <w:spacing w:after="0"/>
              <w:rPr>
                <w:sz w:val="24"/>
                <w:szCs w:val="24"/>
                <w:color w:val="auto"/>
              </w:rPr>
            </w:pPr>
          </w:p>
        </w:tc>
        <w:tc>
          <w:tcPr>
            <w:tcW w:w="702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and are shown on, and transfers of the Restricted Notes can be made only through, records</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maintained in book-entry form by DTC with respect to its participants.</w:t>
            </w:r>
          </w:p>
        </w:tc>
      </w:tr>
      <w:tr>
        <w:trPr>
          <w:trHeight w:val="454"/>
        </w:trPr>
        <w:tc>
          <w:tcPr>
            <w:tcW w:w="4000" w:type="dxa"/>
            <w:vAlign w:val="bottom"/>
            <w:tcBorders>
              <w:left w:val="single" w:sz="8" w:color="auto"/>
            </w:tcBorders>
          </w:tcPr>
          <w:p>
            <w:pPr>
              <w:spacing w:after="0"/>
              <w:rPr>
                <w:sz w:val="24"/>
                <w:szCs w:val="24"/>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Accordingly, if you wish to exchange your Restricted Notes for Exchange Notes pursuant</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 the exchange offer, you must transmit to U.S. Bank Trust Company, National</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Association, our exchange agent, prior to the expiration of the exchange offer, a computer-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generated message transmitted through DTC’s Automated Tender Offer Program, which</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we refer to as “ATOP,” system and received by the exchange agent and forming a part of a</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confirmation of book-entry transfer in which you acknowledge and agree to be bound by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terms of the letter of transmittal (“Letter of Transmittal”). See “The Exchange Offer—</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Procedures for Tendering Restricted Notes.”</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Procedures for Beneficial Owners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If you are the beneficial owner of Restricted Notes that are held in the name of a broker,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dealer, commercial bank, trust company or other nominee, and you wish to tender your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Restricted Notes in the exchange offer, you should promptly contact the person in whose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name your Restricted Notes are held and instruct that person to tender on your behalf. See</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Exchange Offer—Procedures for Tendering Restricted Notes.”</w:t>
            </w:r>
          </w:p>
        </w:tc>
      </w:tr>
      <w:tr>
        <w:trPr>
          <w:trHeight w:val="437"/>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Acceptance of Restricted Notes and Delivery of</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Except under the circumstances summarized above under “Conditions to the Exchange</w:t>
            </w:r>
          </w:p>
        </w:tc>
      </w:tr>
      <w:tr>
        <w:trPr>
          <w:trHeight w:val="220"/>
        </w:trPr>
        <w:tc>
          <w:tcPr>
            <w:tcW w:w="400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Exchange Notes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Offer,” we will accept for exchange any and all Restricted Notes that are validly tendered</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(and not withdrawn) in the exchange offer prior to 11:59 p.m., New York City time, on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expiration date of the exchange offer. The Exchange Notes to be issued to you in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exchange offer will be delivered by credit to the accounts at DTC of the applicable DTC</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participants promptly following completion of the exchange offer. See “The Exchange</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Offer—Terms of the Exchange Offer.”</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Withdrawal Rights; Non-Acceptance</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You may withdraw any tender of your Restricted Notes at any time prior to 11:59 p.m.,</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New York City time, on the expiration date of the exchange offer by following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procedures described in this prospectus and the letter of transmittal. Any Restricted Notes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that have been tendered for exchange but are withdrawn or otherwise not exchanged for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any reason will be returned by credit to the accounts at DTC of the applicable DTC</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participants, without cost to you, promptly after withdrawal of such Restricted Notes or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expiration or termination of the exchange offer, as the case may be. See “The Exchange</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Offer—Withdrawal Rights.”</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Holders of the Restricted Notes do not have any appraisal or dissenters’ rights in</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connection with the exchange offer.</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Exchange Agent</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U.S. Bank Trust Company, National Association, the trustee (the “Trustee”) under the</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Indenture (defined below) governing the Notes,</w:t>
            </w:r>
          </w:p>
        </w:tc>
      </w:tr>
      <w:tr>
        <w:trPr>
          <w:trHeight w:val="172"/>
        </w:trPr>
        <w:tc>
          <w:tcPr>
            <w:tcW w:w="4000" w:type="dxa"/>
            <w:vAlign w:val="bottom"/>
            <w:tcBorders>
              <w:left w:val="single" w:sz="8" w:color="auto"/>
              <w:bottom w:val="single" w:sz="8" w:color="auto"/>
            </w:tcBorders>
          </w:tcPr>
          <w:p>
            <w:pPr>
              <w:spacing w:after="0"/>
              <w:rPr>
                <w:sz w:val="14"/>
                <w:szCs w:val="14"/>
                <w:color w:val="auto"/>
              </w:rPr>
            </w:pPr>
          </w:p>
        </w:tc>
        <w:tc>
          <w:tcPr>
            <w:tcW w:w="7020" w:type="dxa"/>
            <w:vAlign w:val="bottom"/>
            <w:tcBorders>
              <w:bottom w:val="single" w:sz="8" w:color="auto"/>
              <w:right w:val="single" w:sz="8" w:color="auto"/>
            </w:tcBorders>
          </w:tcPr>
          <w:p>
            <w:pPr>
              <w:spacing w:after="0"/>
              <w:rPr>
                <w:sz w:val="14"/>
                <w:szCs w:val="14"/>
                <w:color w:val="auto"/>
              </w:rPr>
            </w:pPr>
          </w:p>
        </w:tc>
      </w:tr>
      <w:tr>
        <w:trPr>
          <w:trHeight w:val="361"/>
        </w:trPr>
        <w:tc>
          <w:tcPr>
            <w:tcW w:w="4000" w:type="dxa"/>
            <w:vAlign w:val="bottom"/>
          </w:tcPr>
          <w:p>
            <w:pPr>
              <w:spacing w:after="0"/>
              <w:rPr>
                <w:sz w:val="24"/>
                <w:szCs w:val="24"/>
                <w:color w:val="auto"/>
              </w:rPr>
            </w:pPr>
          </w:p>
        </w:tc>
        <w:tc>
          <w:tcPr>
            <w:tcW w:w="70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820" w:type="dxa"/>
            <w:vAlign w:val="bottom"/>
            <w:tcBorders>
              <w:top w:val="single" w:sz="8" w:color="auto"/>
              <w:lef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Consequences of Failure to Exchange</w:t>
            </w:r>
          </w:p>
        </w:tc>
        <w:tc>
          <w:tcPr>
            <w:tcW w:w="720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is serving as the exchange agent in connection with the exchange offer.</w:t>
            </w: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vMerge w:val="continue"/>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If you do not participate or validly tender your Restricted Notes in the exchange offer:</w:t>
            </w:r>
          </w:p>
        </w:tc>
        <w:tc>
          <w:tcPr>
            <w:tcW w:w="0" w:type="dxa"/>
            <w:vAlign w:val="bottom"/>
          </w:tcPr>
          <w:p>
            <w:pPr>
              <w:spacing w:after="0"/>
              <w:rPr>
                <w:sz w:val="1"/>
                <w:szCs w:val="1"/>
                <w:color w:val="auto"/>
              </w:rPr>
            </w:pPr>
          </w:p>
        </w:tc>
      </w:tr>
      <w:tr>
        <w:trPr>
          <w:trHeight w:val="333"/>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you will retain Restricted Notes that are not registered under the 1933 Act and that will</w:t>
            </w:r>
          </w:p>
        </w:tc>
        <w:tc>
          <w:tcPr>
            <w:tcW w:w="0" w:type="dxa"/>
            <w:vAlign w:val="bottom"/>
          </w:tcPr>
          <w:p>
            <w:pPr>
              <w:spacing w:after="0"/>
              <w:rPr>
                <w:sz w:val="1"/>
                <w:szCs w:val="1"/>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continue to be subject to restrictions on transfer that are described in the legend on the</w:t>
            </w: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Restricted Notes;</w:t>
            </w:r>
          </w:p>
        </w:tc>
        <w:tc>
          <w:tcPr>
            <w:tcW w:w="0" w:type="dxa"/>
            <w:vAlign w:val="bottom"/>
          </w:tcPr>
          <w:p>
            <w:pPr>
              <w:spacing w:after="0"/>
              <w:rPr>
                <w:sz w:val="1"/>
                <w:szCs w:val="1"/>
                <w:color w:val="auto"/>
              </w:rPr>
            </w:pPr>
          </w:p>
        </w:tc>
      </w:tr>
      <w:tr>
        <w:trPr>
          <w:trHeight w:val="319"/>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you will not be able, except in very limited instances, to require us to register your</w:t>
            </w: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Restricted Notes under the 1933 Act;</w:t>
            </w:r>
          </w:p>
        </w:tc>
        <w:tc>
          <w:tcPr>
            <w:tcW w:w="0" w:type="dxa"/>
            <w:vAlign w:val="bottom"/>
          </w:tcPr>
          <w:p>
            <w:pPr>
              <w:spacing w:after="0"/>
              <w:rPr>
                <w:sz w:val="1"/>
                <w:szCs w:val="1"/>
                <w:color w:val="auto"/>
              </w:rPr>
            </w:pPr>
          </w:p>
        </w:tc>
      </w:tr>
      <w:tr>
        <w:trPr>
          <w:trHeight w:val="319"/>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you will not be able to resell or transfer your Restricted Notes unless they are registered</w:t>
            </w:r>
          </w:p>
        </w:tc>
        <w:tc>
          <w:tcPr>
            <w:tcW w:w="0" w:type="dxa"/>
            <w:vAlign w:val="bottom"/>
          </w:tcPr>
          <w:p>
            <w:pPr>
              <w:spacing w:after="0"/>
              <w:rPr>
                <w:sz w:val="1"/>
                <w:szCs w:val="1"/>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under the 1933 Act or unless you resell or transfer them pursuant to an exemption from</w:t>
            </w: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registration under the 1933 Act; and</w:t>
            </w:r>
          </w:p>
        </w:tc>
        <w:tc>
          <w:tcPr>
            <w:tcW w:w="0" w:type="dxa"/>
            <w:vAlign w:val="bottom"/>
          </w:tcPr>
          <w:p>
            <w:pPr>
              <w:spacing w:after="0"/>
              <w:rPr>
                <w:sz w:val="1"/>
                <w:szCs w:val="1"/>
                <w:color w:val="auto"/>
              </w:rPr>
            </w:pPr>
          </w:p>
        </w:tc>
      </w:tr>
      <w:tr>
        <w:trPr>
          <w:trHeight w:val="319"/>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the trading market for your Restricted Notes will become more limited to the extent that</w:t>
            </w: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other holders of Restricted Notes participate in the exchange offer.</w:t>
            </w:r>
          </w:p>
        </w:tc>
        <w:tc>
          <w:tcPr>
            <w:tcW w:w="0" w:type="dxa"/>
            <w:vAlign w:val="bottom"/>
          </w:tcPr>
          <w:p>
            <w:pPr>
              <w:spacing w:after="0"/>
              <w:rPr>
                <w:sz w:val="1"/>
                <w:szCs w:val="1"/>
                <w:color w:val="auto"/>
              </w:rPr>
            </w:pPr>
          </w:p>
        </w:tc>
      </w:tr>
      <w:tr>
        <w:trPr>
          <w:trHeight w:val="437"/>
        </w:trPr>
        <w:tc>
          <w:tcPr>
            <w:tcW w:w="38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Your exchange of Restricted Notes for Exchange Notes in the exchange offer will not result</w:t>
            </w:r>
          </w:p>
        </w:tc>
        <w:tc>
          <w:tcPr>
            <w:tcW w:w="0" w:type="dxa"/>
            <w:vAlign w:val="bottom"/>
          </w:tcPr>
          <w:p>
            <w:pPr>
              <w:spacing w:after="0"/>
              <w:rPr>
                <w:sz w:val="1"/>
                <w:szCs w:val="1"/>
                <w:color w:val="auto"/>
              </w:rPr>
            </w:pPr>
          </w:p>
        </w:tc>
      </w:tr>
      <w:tr>
        <w:trPr>
          <w:trHeight w:val="220"/>
        </w:trPr>
        <w:tc>
          <w:tcPr>
            <w:tcW w:w="382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Considerations</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in any gain or loss to you for United States federal income tax purposes. See “Certain</w:t>
            </w: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Material U.S. Federal Income Tax Considerations.”</w:t>
            </w:r>
          </w:p>
        </w:tc>
        <w:tc>
          <w:tcPr>
            <w:tcW w:w="0" w:type="dxa"/>
            <w:vAlign w:val="bottom"/>
          </w:tcPr>
          <w:p>
            <w:pPr>
              <w:spacing w:after="0"/>
              <w:rPr>
                <w:sz w:val="1"/>
                <w:szCs w:val="1"/>
                <w:color w:val="auto"/>
              </w:rPr>
            </w:pPr>
          </w:p>
        </w:tc>
      </w:tr>
      <w:tr>
        <w:trPr>
          <w:trHeight w:val="172"/>
        </w:trPr>
        <w:tc>
          <w:tcPr>
            <w:tcW w:w="3820" w:type="dxa"/>
            <w:vAlign w:val="bottom"/>
            <w:tcBorders>
              <w:left w:val="single" w:sz="8" w:color="auto"/>
              <w:bottom w:val="single" w:sz="8" w:color="auto"/>
            </w:tcBorders>
          </w:tcPr>
          <w:p>
            <w:pPr>
              <w:spacing w:after="0"/>
              <w:rPr>
                <w:sz w:val="14"/>
                <w:szCs w:val="14"/>
                <w:color w:val="auto"/>
              </w:rPr>
            </w:pPr>
          </w:p>
        </w:tc>
        <w:tc>
          <w:tcPr>
            <w:tcW w:w="7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3820" w:type="dxa"/>
            <w:vAlign w:val="bottom"/>
          </w:tcPr>
          <w:p>
            <w:pPr>
              <w:spacing w:after="0"/>
              <w:rPr>
                <w:sz w:val="24"/>
                <w:szCs w:val="24"/>
                <w:color w:val="auto"/>
              </w:rPr>
            </w:pPr>
          </w:p>
        </w:tc>
        <w:tc>
          <w:tcPr>
            <w:tcW w:w="7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50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of the Terms of the Exchange Notes</w:t>
      </w:r>
    </w:p>
    <w:p>
      <w:pPr>
        <w:spacing w:after="0" w:line="227" w:lineRule="exact"/>
        <w:rPr>
          <w:sz w:val="20"/>
          <w:szCs w:val="20"/>
          <w:color w:val="auto"/>
        </w:rPr>
      </w:pPr>
    </w:p>
    <w:p>
      <w:pPr>
        <w:ind w:left="300" w:right="22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Exchange Notes. Certain of the terms described below are subject to important limitations and exceptions. The “Description of the Exchange Notes” section of this prospectus contains a more detailed description of the terms of the Exchange Notes.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Sixth Street Lending Partners</w:t>
            </w:r>
          </w:p>
        </w:tc>
      </w:tr>
      <w:tr>
        <w:trPr>
          <w:trHeight w:val="473"/>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Notes Offered</w:t>
            </w: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$750,000,000 aggregate principal amount of 6.500% Notes due 2029.</w:t>
            </w:r>
          </w:p>
        </w:tc>
      </w:tr>
      <w:tr>
        <w:trPr>
          <w:trHeight w:val="473"/>
        </w:trPr>
        <w:tc>
          <w:tcPr>
            <w:tcW w:w="3260" w:type="dxa"/>
            <w:vAlign w:val="bottom"/>
          </w:tcPr>
          <w:p>
            <w:pPr>
              <w:spacing w:after="0"/>
              <w:rPr>
                <w:sz w:val="24"/>
                <w:szCs w:val="24"/>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$600,000,000 aggregate principal amount of 5.750% Notes due 2030.</w:t>
            </w:r>
          </w:p>
        </w:tc>
      </w:tr>
      <w:tr>
        <w:trPr>
          <w:trHeight w:val="459"/>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6.500% Exchange Notes will mature on March 11, 2029.</w:t>
            </w:r>
          </w:p>
        </w:tc>
      </w:tr>
      <w:tr>
        <w:trPr>
          <w:trHeight w:val="473"/>
        </w:trPr>
        <w:tc>
          <w:tcPr>
            <w:tcW w:w="3260" w:type="dxa"/>
            <w:vAlign w:val="bottom"/>
          </w:tcPr>
          <w:p>
            <w:pPr>
              <w:spacing w:after="0"/>
              <w:rPr>
                <w:sz w:val="24"/>
                <w:szCs w:val="24"/>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5.750% Exchange Notes will mature on January 15, 2030.</w:t>
            </w:r>
          </w:p>
        </w:tc>
      </w:tr>
      <w:tr>
        <w:trPr>
          <w:trHeight w:val="441"/>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Exchange Notes will be our general unsecured obligations that rank senior in right of</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payment to all of our existing and future indebtedness that is expressly subordinated in</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right of payment to the Exchange Notes. The Exchange Notes will rank equally in right of</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payment with all of our existing and future senior liabilities that are not so subordinated, or</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junior, effectively subordinated, or junior, to any of our secured indebtedness (including</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unsecured indebtedness that we later secure) to the extent of the value of the assets</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securing such indebtedness, and structurally junior to all existing and future indebtedness</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and other obligations (including trade payables) incurred by our subsidiaries, financing</w:t>
            </w:r>
          </w:p>
        </w:tc>
      </w:tr>
      <w:tr>
        <w:trPr>
          <w:trHeight w:val="234"/>
        </w:trPr>
        <w:tc>
          <w:tcPr>
            <w:tcW w:w="3260" w:type="dxa"/>
            <w:vAlign w:val="bottom"/>
          </w:tcPr>
          <w:p>
            <w:pPr>
              <w:spacing w:after="0"/>
              <w:rPr>
                <w:sz w:val="20"/>
                <w:szCs w:val="20"/>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vehicles or similar facilities.</w:t>
            </w:r>
          </w:p>
        </w:tc>
      </w:tr>
      <w:tr>
        <w:trPr>
          <w:trHeight w:val="441"/>
        </w:trPr>
        <w:tc>
          <w:tcPr>
            <w:tcW w:w="3260" w:type="dxa"/>
            <w:vAlign w:val="bottom"/>
          </w:tcPr>
          <w:p>
            <w:pPr>
              <w:spacing w:after="0"/>
              <w:rPr>
                <w:sz w:val="24"/>
                <w:szCs w:val="24"/>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As of September 30, 2024, our total consolidated indebtedness, at par value, was</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approximately $3.536 billion, $2.186 billion of which was secured, and $1.350 billion of</w:t>
            </w:r>
          </w:p>
        </w:tc>
      </w:tr>
      <w:tr>
        <w:trPr>
          <w:trHeight w:val="234"/>
        </w:trPr>
        <w:tc>
          <w:tcPr>
            <w:tcW w:w="3260" w:type="dxa"/>
            <w:vAlign w:val="bottom"/>
          </w:tcPr>
          <w:p>
            <w:pPr>
              <w:spacing w:after="0"/>
              <w:rPr>
                <w:sz w:val="20"/>
                <w:szCs w:val="20"/>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which was unsecured or indebtedness of our subsidiaries.</w:t>
            </w:r>
          </w:p>
        </w:tc>
      </w:tr>
      <w:tr>
        <w:trPr>
          <w:trHeight w:val="441"/>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and Payment Dates</w:t>
            </w: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6.500% Notes bear cash interest from March 11, 2024, at an annual rate of 6.500%</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payable on March 11 and September 11 of each year, which began on September 11, 2024.</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5.750% Notes bear cash interest from September 16, 2024, at an annual rate of 5.750%</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payable on January 15 and July 15 of each year, beginning on January 15, 2025. If an</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interest payment date falls on a non-business day, the applicable interest payment will be</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made on the next business day and no additional interest will accrue as a result of such</w:t>
            </w:r>
          </w:p>
        </w:tc>
      </w:tr>
      <w:tr>
        <w:trPr>
          <w:trHeight w:val="234"/>
        </w:trPr>
        <w:tc>
          <w:tcPr>
            <w:tcW w:w="3260" w:type="dxa"/>
            <w:vAlign w:val="bottom"/>
          </w:tcPr>
          <w:p>
            <w:pPr>
              <w:spacing w:after="0"/>
              <w:rPr>
                <w:sz w:val="20"/>
                <w:szCs w:val="20"/>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delayed payment.</w:t>
            </w:r>
          </w:p>
        </w:tc>
      </w:tr>
      <w:tr>
        <w:trPr>
          <w:trHeight w:val="441"/>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We may redeem some or all of the Notes at our option, in whole or in part, at any time and</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from time to time, at a redemption price (expressed as a percentage of principal amount</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and rounded to three decimal places) equal to the greater of (1)(a) the sum of the present</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values of the remaining scheduled payments of principal and interest thereon discounted to</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redemption date (assuming the Notes matured on, in the case of the 6.500% Notes,</w:t>
            </w:r>
          </w:p>
        </w:tc>
      </w:tr>
      <w:tr>
        <w:trPr>
          <w:trHeight w:val="234"/>
        </w:trPr>
        <w:tc>
          <w:tcPr>
            <w:tcW w:w="3260" w:type="dxa"/>
            <w:vAlign w:val="bottom"/>
          </w:tcPr>
          <w:p>
            <w:pPr>
              <w:spacing w:after="0"/>
              <w:rPr>
                <w:sz w:val="20"/>
                <w:szCs w:val="20"/>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February 11, 2029 (the</w:t>
            </w:r>
          </w:p>
        </w:tc>
      </w:tr>
      <w:tr>
        <w:trPr>
          <w:trHeight w:val="172"/>
        </w:trPr>
        <w:tc>
          <w:tcPr>
            <w:tcW w:w="3260" w:type="dxa"/>
            <w:vAlign w:val="bottom"/>
            <w:tcBorders>
              <w:bottom w:val="single" w:sz="8" w:color="auto"/>
            </w:tcBorders>
          </w:tcPr>
          <w:p>
            <w:pPr>
              <w:spacing w:after="0"/>
              <w:rPr>
                <w:sz w:val="14"/>
                <w:szCs w:val="14"/>
                <w:color w:val="auto"/>
              </w:rPr>
            </w:pPr>
          </w:p>
        </w:tc>
        <w:tc>
          <w:tcPr>
            <w:tcW w:w="7760" w:type="dxa"/>
            <w:vAlign w:val="bottom"/>
            <w:tcBorders>
              <w:bottom w:val="single" w:sz="8" w:color="auto"/>
            </w:tcBorders>
          </w:tcPr>
          <w:p>
            <w:pPr>
              <w:spacing w:after="0"/>
              <w:rPr>
                <w:sz w:val="14"/>
                <w:szCs w:val="14"/>
                <w:color w:val="auto"/>
              </w:rPr>
            </w:pPr>
          </w:p>
        </w:tc>
      </w:tr>
      <w:tr>
        <w:trPr>
          <w:trHeight w:val="361"/>
        </w:trPr>
        <w:tc>
          <w:tcPr>
            <w:tcW w:w="3260" w:type="dxa"/>
            <w:vAlign w:val="bottom"/>
          </w:tcPr>
          <w:p>
            <w:pPr>
              <w:spacing w:after="0"/>
              <w:rPr>
                <w:sz w:val="24"/>
                <w:szCs w:val="24"/>
                <w:color w:val="auto"/>
              </w:rPr>
            </w:pPr>
          </w:p>
        </w:tc>
        <w:tc>
          <w:tcPr>
            <w:tcW w:w="7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740" w:type="dxa"/>
            <w:vAlign w:val="bottom"/>
            <w:tcBorders>
              <w:top w:val="single" w:sz="8" w:color="auto"/>
              <w:left w:val="single" w:sz="8" w:color="auto"/>
            </w:tcBorders>
          </w:tcPr>
          <w:p>
            <w:pPr>
              <w:spacing w:after="0"/>
              <w:rPr>
                <w:sz w:val="24"/>
                <w:szCs w:val="24"/>
                <w:color w:val="auto"/>
              </w:rPr>
            </w:pPr>
          </w:p>
        </w:tc>
        <w:tc>
          <w:tcPr>
            <w:tcW w:w="728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date falling one month prior to the maturity date of the 6.500% Notes) and in the case of</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5.750% Notes, December 15, 2029 (the date falling one month prior to the maturity</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date of the 5.750% Notes) (each a “Par Call Date”)) on a semi-annual basis (assuming a</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360-day year consisting of twelve 30-day months) using the applicable Treasury Rate (as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defined below) plus 40 basis points in the case of the 6.500% Notes and plus 35 basis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points in the case of the 5.750% Notes, less (b) interest accrued to the date of redemption,</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or (2) 100% of the principal amount of the Notes to be redeemed; provided, however, that</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if we redeem any Notes on or after the Par Call Date, the redemption price for the Notes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will be equal to 100% of the principal amount of the Notes to be redeemed, plus accrued</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and unpaid interest thereon to the date redemption. “Treasury Rate” means, with respect to</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any redemption date of the Notes, the yield determined by us in accordance with the below.</w:t>
            </w:r>
          </w:p>
        </w:tc>
      </w:tr>
      <w:tr>
        <w:trPr>
          <w:trHeight w:val="454"/>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Change of Control; Offer to Repurchase</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If a Change of Control Repurchase Event described under “Description of the Exchange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Notes—Offer to Repurchase Upon a Change of Control Repurchase Event” occurs, holders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of the Exchange Notes will have the right, at their option, to require us to repurchase for</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cash some or all of the Notes at a repurchase price equal to 100% of the principal amount</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of the Notes being repurchased, plus accrued and unpaid interest to, but not including, the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repurchase date. See “Description of the Exchange Notes—Offer to Repurchase Upon a</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Change of Control Repurchase Event.”</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We will not receive any cash proceeds from the issuance of the Exchange Notes pursuant to</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exchange offer. In consideration for issuing the Exchange Notes as contemplated in this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prospectus, we will receive in exchange a like principal amount of Restricted Notes, the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terms of which are substantially identical to the Exchange Notes. The Restricted Notes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surrendered in exchange for the Exchange Notes will be retired and cancelled and cannot</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be reissued. Accordingly, the issuance of the Exchange Notes will not result in any change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 our capitalization. We have agreed to bear the expenses of the exchange offer. No</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underwriter is being used in connection with the exchange offer.</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Book-Entry Form</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Exchange Notes will be issued in book-entry form and will be represented by</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permanent global certificates deposited with, or on behalf of, DTC, and registered in the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name of Cede &amp; Co., as nominee of DTC. Beneficial interests in any of the Exchange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Notes will be shown on, and transfers will be effected only through, records maintained by</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DTC or its nominee, and any such interest may not be exchanged for certificated securities,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except in limited circumstances described below. See “Description of the Exchange Notes</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—Book-Entry System.”</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Trustee for the Exchange Notes will be U.S. Bank Trust Company, National</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Association.</w:t>
            </w:r>
          </w:p>
        </w:tc>
      </w:tr>
      <w:tr>
        <w:trPr>
          <w:trHeight w:val="172"/>
        </w:trPr>
        <w:tc>
          <w:tcPr>
            <w:tcW w:w="3740" w:type="dxa"/>
            <w:vAlign w:val="bottom"/>
            <w:tcBorders>
              <w:left w:val="single" w:sz="8" w:color="auto"/>
              <w:bottom w:val="single" w:sz="8" w:color="auto"/>
            </w:tcBorders>
          </w:tcPr>
          <w:p>
            <w:pPr>
              <w:spacing w:after="0"/>
              <w:rPr>
                <w:sz w:val="14"/>
                <w:szCs w:val="14"/>
                <w:color w:val="auto"/>
              </w:rPr>
            </w:pPr>
          </w:p>
        </w:tc>
        <w:tc>
          <w:tcPr>
            <w:tcW w:w="7280" w:type="dxa"/>
            <w:vAlign w:val="bottom"/>
            <w:tcBorders>
              <w:bottom w:val="single" w:sz="8" w:color="auto"/>
              <w:right w:val="single" w:sz="8" w:color="auto"/>
            </w:tcBorders>
          </w:tcPr>
          <w:p>
            <w:pPr>
              <w:spacing w:after="0"/>
              <w:rPr>
                <w:sz w:val="14"/>
                <w:szCs w:val="14"/>
                <w:color w:val="auto"/>
              </w:rPr>
            </w:pPr>
          </w:p>
        </w:tc>
      </w:tr>
      <w:tr>
        <w:trPr>
          <w:trHeight w:val="361"/>
        </w:trPr>
        <w:tc>
          <w:tcPr>
            <w:tcW w:w="3740" w:type="dxa"/>
            <w:vAlign w:val="bottom"/>
          </w:tcPr>
          <w:p>
            <w:pPr>
              <w:spacing w:after="0"/>
              <w:rPr>
                <w:sz w:val="24"/>
                <w:szCs w:val="24"/>
                <w:color w:val="auto"/>
              </w:rPr>
            </w:pPr>
          </w:p>
        </w:tc>
        <w:tc>
          <w:tcPr>
            <w:tcW w:w="72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80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8220" w:type="dxa"/>
            <w:vAlign w:val="bottom"/>
            <w:tcBorders>
              <w:top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The Indenture and the Restricted Notes are, and the Exchange Notes will be, governed by</w:t>
            </w:r>
          </w:p>
        </w:tc>
      </w:tr>
      <w:tr>
        <w:trPr>
          <w:trHeight w:val="234"/>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the laws of the State of New York without regard to conflict of laws principles thereof.</w:t>
            </w:r>
          </w:p>
        </w:tc>
      </w:tr>
      <w:tr>
        <w:trPr>
          <w:trHeight w:val="441"/>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You should refer to the section entitled “Risk Factors” and other information included or</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incorporated by reference in this prospectus for an explanation of certain risks of investing</w:t>
            </w:r>
          </w:p>
        </w:tc>
      </w:tr>
      <w:tr>
        <w:trPr>
          <w:trHeight w:val="234"/>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in the Exchange Notes. See “Risk Factors.”</w:t>
            </w:r>
          </w:p>
        </w:tc>
      </w:tr>
      <w:tr>
        <w:trPr>
          <w:trHeight w:val="172"/>
        </w:trPr>
        <w:tc>
          <w:tcPr>
            <w:tcW w:w="2800" w:type="dxa"/>
            <w:vAlign w:val="bottom"/>
            <w:tcBorders>
              <w:left w:val="single" w:sz="8" w:color="auto"/>
              <w:bottom w:val="single" w:sz="8" w:color="auto"/>
            </w:tcBorders>
          </w:tcPr>
          <w:p>
            <w:pPr>
              <w:spacing w:after="0"/>
              <w:rPr>
                <w:sz w:val="14"/>
                <w:szCs w:val="14"/>
                <w:color w:val="auto"/>
              </w:rPr>
            </w:pPr>
          </w:p>
        </w:tc>
        <w:tc>
          <w:tcPr>
            <w:tcW w:w="8220" w:type="dxa"/>
            <w:vAlign w:val="bottom"/>
            <w:tcBorders>
              <w:bottom w:val="single" w:sz="8" w:color="auto"/>
              <w:right w:val="single" w:sz="8" w:color="auto"/>
            </w:tcBorders>
          </w:tcPr>
          <w:p>
            <w:pPr>
              <w:spacing w:after="0"/>
              <w:rPr>
                <w:sz w:val="14"/>
                <w:szCs w:val="14"/>
                <w:color w:val="auto"/>
              </w:rPr>
            </w:pPr>
          </w:p>
        </w:tc>
      </w:tr>
      <w:tr>
        <w:trPr>
          <w:trHeight w:val="361"/>
        </w:trPr>
        <w:tc>
          <w:tcPr>
            <w:tcW w:w="2800" w:type="dxa"/>
            <w:vAlign w:val="bottom"/>
          </w:tcPr>
          <w:p>
            <w:pPr>
              <w:spacing w:after="0"/>
              <w:rPr>
                <w:sz w:val="24"/>
                <w:szCs w:val="24"/>
                <w:color w:val="auto"/>
              </w:rPr>
            </w:pPr>
          </w:p>
        </w:tc>
        <w:tc>
          <w:tcPr>
            <w:tcW w:w="82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20" w:firstLine="440"/>
        <w:spacing w:after="0" w:line="258"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In addition to the other information included in this prospectus, you should carefully consider the risks described under “Cautionary Statement </w:t>
      </w:r>
      <w:hyperlink r:id="rId26">
        <w:r>
          <w:rPr>
            <w:rFonts w:ascii="Times New Roman" w:cs="Times New Roman" w:eastAsia="Times New Roman" w:hAnsi="Times New Roman"/>
            <w:sz w:val="18"/>
            <w:szCs w:val="18"/>
            <w:i w:val="1"/>
            <w:iCs w:val="1"/>
            <w:color w:val="auto"/>
          </w:rPr>
          <w:t xml:space="preserve">Regarding Forward-Looking Statements” and under “Risk Factors” set forth in the Company’s </w:t>
        </w:r>
        <w:r>
          <w:rPr>
            <w:rFonts w:ascii="Times New Roman" w:cs="Times New Roman" w:eastAsia="Times New Roman" w:hAnsi="Times New Roman"/>
            <w:sz w:val="18"/>
            <w:szCs w:val="18"/>
            <w:i w:val="1"/>
            <w:iCs w:val="1"/>
            <w:u w:val="single" w:color="auto"/>
            <w:color w:val="0000EE"/>
          </w:rPr>
          <w:t>Annual Report on Form 10-K for the fiscal year ended</w:t>
        </w:r>
      </w:hyperlink>
      <w:r>
        <w:rPr>
          <w:rFonts w:ascii="Times New Roman" w:cs="Times New Roman" w:eastAsia="Times New Roman" w:hAnsi="Times New Roman"/>
          <w:sz w:val="18"/>
          <w:szCs w:val="18"/>
          <w:i w:val="1"/>
          <w:iCs w:val="1"/>
          <w:color w:val="auto"/>
        </w:rPr>
        <w:t xml:space="preserve"> </w:t>
      </w:r>
      <w:hyperlink r:id="rId26">
        <w:r>
          <w:rPr>
            <w:rFonts w:ascii="Times New Roman" w:cs="Times New Roman" w:eastAsia="Times New Roman" w:hAnsi="Times New Roman"/>
            <w:sz w:val="18"/>
            <w:szCs w:val="18"/>
            <w:i w:val="1"/>
            <w:iCs w:val="1"/>
            <w:u w:val="single" w:color="auto"/>
            <w:color w:val="0000EE"/>
          </w:rPr>
          <w:t>December 31, 2023</w:t>
        </w:r>
        <w:r>
          <w:rPr>
            <w:rFonts w:ascii="Times New Roman" w:cs="Times New Roman" w:eastAsia="Times New Roman" w:hAnsi="Times New Roman"/>
            <w:sz w:val="18"/>
            <w:szCs w:val="18"/>
            <w:i w:val="1"/>
            <w:iCs w:val="1"/>
            <w:color w:val="000000"/>
          </w:rPr>
          <w:t>, and any updates to those risks contained in the Company’s subsequent Quarterly Reports on Form 10-Q and Current Reports on</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Form 8-K filed with the SEC, all of which are incorporated by reference in this prospectus, other than as specified, and the following risks before investing in the Exchange Notes.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Exchange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Exchange Notes are unsecured and therefore are effectively subordinated to any secured indebtedness we may incur.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Exchange Notes are not secured by any of our assets or any of the assets of our subsidiaries. As a result, the Exchange Notes are effectively subordinated to any secured indebtedness we or our subsidiaries have outstanding as of the date of this prospectus or that we or our subsidiaries may incur in the future (or any indebtedness that is initially unsecured in respect of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Exchange Notes. As of September 30, 2024, our total consolidated indebtedness, at par value, was approximately $3.536 billion, $2.186 billion of which was secured and $1.350 billion of which was unsecured indebtedness or indebtedness of our subsidiaries.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Exchange Notes are subordinated structurally to the indebtedness and other liabilities of our subsidiaries.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Exchange Notes are obligations exclusively of the Company and not of any of our subsidiaries. None of our subsidiaries is a guarantor of the Exchange Notes and the Exchange Notes are not required to be guaranteed by any subsidiaries we may acquire or create in the future. As of September 30, 2024, none of the indebtedness, at par value, required to be consolidated on our balance sheet was held through subsidiary financing vehicles and secured by certain assets of such subsidiaries. Except to the extent we are a creditor with recognized claims against our subsidiaries, all claims of creditors, including trade creditors, and holders of preferred stock, if any, of our subsidiaries will have priority over our claims (and therefore the claims of our creditors, including holders of the Exchange Notes) with respect to the assets of such subsidiaries. Even if we were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Exchange Notes are subordinated structurally to all indebtedness and other liabilities of any of our subsidiaries and any subsidiaries that we may in the future acquire or establish as financing vehicles or otherwise. All of the existing indebtedness of our subsidiaries is structurally senior to the Exchange Notes. In addition, our subsidiaries may incur substantial additional indebtedness in the future, all of which would be structurally senior to the Exchange Notes.</w:t>
      </w:r>
    </w:p>
    <w:p>
      <w:pPr>
        <w:spacing w:after="0" w:line="296"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the credit rating assigned by a rating agency to us or the Exchange Notes, if any, could cause the liquidity or market value of the Exchange Notes to decline significantly.</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credit ratings are an assessment by rating agencies of our ability to pay our debts when due. Consequently, real or anticipated changes in our credit ratings will generally affect the market value of the Exchange Notes. These credit ratings may not reflect the potential impact of risks relating to the structure or marketing of the Exchange Notes. Credit ratings are not a recommendation to buy, sell or hold any security, and may be revised or withdrawn at any time by the issuing organization in its sole discretion. Neither we nor any initial purchaser undertakes any obligation to maintain our credit ratings or to advise holders of the Exchange Notes of any changes in our credit ratings.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Exchange Notes are subject to periodic review by Moody’s Investors Service (“Moody’s”) and Fitch Ratings, Inc. (“Fitch”). There can be no assurance that their respective credit ratings will remain for any given period of time or that such credit ratings will not be lowered or withdrawn entirely by the applicable ratings agency if in its judgment future circumstances relating to the basis of the credit rating, such as adverse changes in our business, financial condition and results of operations, so warrant.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could result in a decrease in the market value of the Exchange Notes.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in the past and are likely to fluctuate in the future, which could have an adverse effect on the market prices of the Exchange Notes. In general, as market interest rates rise, debt securities bearing interest at fixed rates of interest decline in value. Consequently, if you purchase Exchange Notes bearing interest at fixed rates and market interest rates increase, the market values of those Exchange Notes may decline. We cannot predict the future level of market interest rates.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Indenture governing the Exchange Notes contains limited protection for holders of the Exchange Notes.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Indenture governing the Exchange Notes offers limited protection to holders of the Exchange Notes. The terms of the Indenture and the Exchange Notes do not restrict our or any of our subsidiaries’ ability to engage in, or otherwise be a party to, a variety of corporate transactions, circumstances or events that could have an adverse impact on your investment in the Exchange Notes. In particular, the terms of the Indenture and the Exchange Notes do not place any restrictions on our or our subsidiaries’ ability to:</w:t>
      </w:r>
    </w:p>
    <w:p>
      <w:pPr>
        <w:spacing w:after="0" w:line="85" w:lineRule="exact"/>
        <w:rPr>
          <w:sz w:val="20"/>
          <w:szCs w:val="20"/>
          <w:color w:val="auto"/>
        </w:rPr>
      </w:pPr>
    </w:p>
    <w:p>
      <w:pPr>
        <w:ind w:left="1080" w:right="180" w:hanging="424"/>
        <w:spacing w:after="0" w:line="257"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securities or otherwise incur additional indebtedness or other obligations, including (1) any indebtedness or other obligations that would be equal in right of payment to the Exchange Notes, (2) any indebtedness or other obligations that would be secured and therefore rank effectively senior in right of payment to the Exchange Notes to the extent of the values of the assets securing such debt,</w:t>
      </w:r>
    </w:p>
    <w:p>
      <w:pPr>
        <w:spacing w:after="0" w:line="1" w:lineRule="exact"/>
        <w:rPr>
          <w:rFonts w:ascii="Times New Roman" w:cs="Times New Roman" w:eastAsia="Times New Roman" w:hAnsi="Times New Roman"/>
          <w:sz w:val="18"/>
          <w:szCs w:val="18"/>
          <w:color w:val="auto"/>
        </w:rPr>
      </w:pPr>
    </w:p>
    <w:p>
      <w:pPr>
        <w:ind w:left="1080" w:right="2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indebtedness of ours that is guaranteed by one or more of our subsidiaries and which therefore is structurally senior to the Exchange Notes and (4) securities, indebtedness or obligations issued or incurred by our subsidiaries that would be senior to our equity interests in our subsidiaries and therefore rank structurally senior to the Exchange Notes with respect to the assets of our subsidiaries, in each case other than an incurrence of indebtedness or other obligation that would cause a violation of Section 18(a)(1)(A) of the 1940 Act as modified generally by Section 61(a) of the 1940 Act or any successor provisions, as such obligations may be amended or superseded, giving effect to any exemptive relief granted to us by the SEC;</w:t>
      </w:r>
    </w:p>
    <w:p>
      <w:pPr>
        <w:spacing w:after="0" w:line="95"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ranking junior in right of payment to the Exchange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the terms of the Indenture and the Exchange Notes do not protect holders of the Exchange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other than as described under “Description of the Exchange Notes—Events of Default” in this prospectus.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ability to recapitalize, incur additional debt and take a number of other actions are not limited by the terms of the Exchange Notes and may have important consequences for you as a holder of the Exchange Notes, including making it more difficult for us to satisfy our obligations with respect to the Exchange Notes or negatively affecting the trading value of the Exchange Notes. Other debt we issue or incur in the future could contain more protections for its holders than the Indenture and the Exchange Notes, including additional covenants and events of default. See “Risk Factors—Risks Related to Debt Financing—We borrow money, which magnifies the potential for gain or loss and increases the risk of investing in us.” in the Company’s </w:t>
      </w:r>
      <w:hyperlink r:id="rId26">
        <w:r>
          <w:rPr>
            <w:rFonts w:ascii="Times New Roman" w:cs="Times New Roman" w:eastAsia="Times New Roman" w:hAnsi="Times New Roman"/>
            <w:sz w:val="18"/>
            <w:szCs w:val="18"/>
            <w:u w:val="single" w:color="auto"/>
            <w:color w:val="0000EE"/>
          </w:rPr>
          <w:t>Annual Report on Form 10-K for the fiscal year ended December 31, 2023</w:t>
        </w:r>
      </w:hyperlink>
      <w:r>
        <w:rPr>
          <w:rFonts w:ascii="Times New Roman" w:cs="Times New Roman" w:eastAsia="Times New Roman" w:hAnsi="Times New Roman"/>
          <w:sz w:val="18"/>
          <w:szCs w:val="18"/>
          <w:color w:val="auto"/>
        </w:rPr>
        <w:t>, which is incorporated by reference herein. The issuance or incurrence of any such debt with incremental protections could affect the market for and trading levels and prices of the Exchange Notes.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optional redemption provision may materially adversely affect your return on the Exchange Notes.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Exchange Notes are redeemable in whole or in part upon certain conditions at any time and from time to time at our option. We may choose to redeem the Exchange Notes at times when prevailing interest rates are lower than the interest rate paid on the Exchange Notes. In this circumstance, you may not be able to reinvest the redemption proceeds in a comparable security at an effective interest rate as high as the Exchange Notes being redeemed.</w:t>
      </w:r>
    </w:p>
    <w:p>
      <w:pPr>
        <w:spacing w:after="0" w:line="284"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currently no public market for the Exchange Notes. If an active trading market for the Exchange Notes does not develop or is not maintained, you may not be able to sell them.</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Exchange Notes are a new issue of debt securities for which there currently is no trading market. We do not currently intend to apply for listing of the Exchange Notes on any securities exchange or for quotation of the Exchange Notes on any automated dealer quotation system. If no active trading market develops, you may not be able to resell your Exchange Notes at their fair market value or at all. If the Exchange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initial purchasers in the private offerings of the outstanding Restricted Notes have advised us that they intend to make a market in the Exchange Notes as permitted by applicable laws and regulations; however, the initial purchasers are not obligated to make a market in any of the Exchange Notes, and they may discontinue their market-making activities at any time without notice. Accordingly, we cannot assure you that an active and liquid trading market will develop or continue for the Exchange Notes, that you will be able to sell your Exchange Notes at a particular time or that the price you receive when you sell will be favorable. To the extent an active trading market does not develop, the liquidity and trading price for the Exchange Notes may be harmed. Accordingly, you may be required to bear the financial risk of an investment in the Exchange Notes for an indefinite period of time.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default on our obligations to pay our other indebtedness, we may not be able to make payments on the Exchange Notes.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Any default under the agreements governing our indebtedness, including a default under our revolving Credit Facility or Subscription Facility, or under other indebtedness to which we may be a party, that is not waived by the required lenders or holders and the remedies sought by the holders of such indebtedness could make us unable to pay principal, premium, if any, and interest on the Exchange Notes and substantially decrease the market value of the Exchange Notes.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due and payable, together with accrued and unpaid interest, the lenders under our Revolving Credit Facility, Subscription Facility or other debt we may incur in the future could elect to terminate their commitments, cease making further loans and institute foreclosure proceedings against our assets, and we could be forced into bankruptcy or liquidation.</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repay debt, lenders having secured obligations, including the lenders under our Revolving Credit Facility or Subscription Facility, could proceed against the collateral securing the debt. Because our Revolving Credit Facility and Subscription Facility have, the Indenture will have, and any future debt will likely have, customary cross-default provisions, if the indebtedness thereunder, hereunder or under any future credit facility is accelerated, we may be unable to repay or finance the amounts due. See “Description of the Exchange Notes” in this 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the Exchange Notes upon a Change of Control Repurchase Event.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not be able to repurchase the Exchange Notes upon a Change of Control Repurchase Event because we may not have sufficient funds. Upon a Change of Control Repurchase Event, holders of the Exchange Notes may require us to repurchase for cash some or all of the Exchange Notes at a repurchase price equal to 100% of the aggregate principal amount of the Exchange Notes being repurchased, plus accrued and unpaid interest to, but not including, the repurchase date. The source of funds for that purchase of Exchange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Exchange Notes tendered.</w:t>
      </w:r>
    </w:p>
    <w:p>
      <w:pPr>
        <w:spacing w:after="0" w:line="189" w:lineRule="exact"/>
        <w:rPr>
          <w:sz w:val="20"/>
          <w:szCs w:val="20"/>
          <w:color w:val="auto"/>
        </w:rPr>
      </w:pPr>
    </w:p>
    <w:p>
      <w:pPr>
        <w:jc w:val="both"/>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Our failure to purchase such tendered Exchange Notes upon the occurrence of such Change of Control Repurchase Event would cause an event of default under the Indenture governing the Exchange Notes and a cross-default under the agreements governing certain of our other indebtedness, which may result in the acceleration of such indebtedness requiring us to repay that indebtedness immediately. If a Change of Control Repurchase Event were to occur, we may not have sufficient funds to repay any such accelerated indebtedness and/or to make the required repurchase of the Exchange Notes.</w:t>
      </w:r>
    </w:p>
    <w:p>
      <w:pPr>
        <w:spacing w:after="0" w:line="3" w:lineRule="exact"/>
        <w:rPr>
          <w:sz w:val="20"/>
          <w:szCs w:val="20"/>
          <w:color w:val="auto"/>
        </w:rPr>
      </w:pPr>
    </w:p>
    <w:p>
      <w:pPr>
        <w:ind w:left="120" w:right="760"/>
        <w:spacing w:after="0" w:line="260" w:lineRule="auto"/>
        <w:rPr>
          <w:sz w:val="20"/>
          <w:szCs w:val="20"/>
          <w:color w:val="auto"/>
        </w:rPr>
      </w:pPr>
      <w:r>
        <w:rPr>
          <w:rFonts w:ascii="Times New Roman" w:cs="Times New Roman" w:eastAsia="Times New Roman" w:hAnsi="Times New Roman"/>
          <w:sz w:val="18"/>
          <w:szCs w:val="18"/>
          <w:color w:val="auto"/>
        </w:rPr>
        <w:t>See “Description of the Exchange Notes—Offer to Repurchase Upon a Change of Control Repurchase Event” in this prospectus for additional information.</w:t>
      </w:r>
    </w:p>
    <w:p>
      <w:pPr>
        <w:spacing w:after="0" w:line="28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corporate-level taxes which could adversely affect our cash flow and consequently adversely affect our ability to make payments on the Notes.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be subject to certain corporate-level taxes regardless of whether we continue to qualify as a regulated investment company (“RIC”) under Subchapter M of the Internal Revenue Code of 1986, as amended. Additionally, should we fail to qualify as a RIC, we would be subject to corporate-level taxes on all of our taxable income. The imposition of corporate-level taxes could adversely affect our cash flow and consequently adversely affect our ability to make payments on the Exchange Notes.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Exchange Offer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fail to exchange your Restricted Notes, they will continue to be restricted securities and may become less liquid.</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Restricted Notes that you do not validly tender or that we do not accept will, following the exchange offer, continue to be restricted securities, and you may not offer to sell them except under an exemption from, or in a transaction not subject to, the 1933 Act and applicable state securities laws. We will issue the Exchange Notes in exchange for the Restricted Notes in the exchange offer only following the satisfaction of the procedures and conditions set forth in “The Exchange Offer—Procedures for Tendering Restricted Notes.” Because we anticipate that most holders of the Restricted Notes will elect to exchange their outstanding Restricted Notes, we expect that the liquidity of the market for the Restricted Notes remaining after the completion of the exchange offer will be substantially limited, which may have an adverse effect upon and increase the volatility of the market price of the outstanding Restricted Notes. Any Restricted Notes tendered and exchanged in the exchange offer will reduce the aggregate principal amount of the outstanding Restricted Notes at maturity. Further, following the exchange offer, if you did not exchange your Restricted Notes, you generally will not have any further registration rights, and Restricted Notes will continue to be subject to certain transfer restrictions.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Broker-dealers may need to comply with the registration and prospectus delivery requirements of the 1933 Act.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broker-dealer that (1) exchanges its Restricted Notes in the exchange offer for the purpose of participating in a distribution of the Exchange Notes or (2) resells Exchange Notes that were received by it for its own account in the exchange offer may be deemed to have received restricted securities and will be required to comply with the registration and prospectus delivery requirements of the 1933 Act in connection with any resale transaction by that broker-dealer. Any profit on the resale of the Exchange Notes and any commission or concessions received by a broker-dealer may be deemed to be underwriting compensation under the 1933 Act.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not receive the Exchange Notes in the exchange offer if the exchange offer procedures are not validly followed.</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Exchange Notes in exchange for your Restricted Notes only if you validly tender such Restricted Notes before expiration of the exchange offer. Neither we nor the exchange agent is under any duty to give notification of defects or irregularities with respect to the tenders of the Restricted Notes for exchange. If you are the beneficial holder of Restricted Notes that are held through your broker, dealer, commercial bank, trust company or other nominee, and you wish to tender such Restricted Notes in the exchange offer, you should promptly contact the person through whom your Restricted Notes are held and instruct that person to tender the Restricted Notes on your behalf.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not receive any cash proceeds from the issuance of the Exchange Notes pursuant to the exchange offer. In consideration for issuing the Exchange Notes as contemplated in this prospectus, we will receive in exchange a like principal amount of Restricted Notes, the terms of which are substantially identical to the Exchange Notes. The Restricted Notes surrendered in exchange for the Exchange Notes will be retired and cancelled and cannot be reissued. Accordingly, the issuance of the Exchange Notes will not result in any change in our capitalization. We have agreed to bear the expenses of the exchange offer. No underwriter is being used in connection with the exchange offer.</w:t>
      </w:r>
    </w:p>
    <w:p>
      <w:pPr>
        <w:spacing w:after="0" w:line="1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320" w:top="455" w:right="6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to factors previously identified elsewhere in the reports and other documents we have filed with the SEC, the following factors, among others, could cause actual results to differ materially from forward-looking statements or historical performance:</w:t>
      </w:r>
    </w:p>
    <w:p>
      <w:pPr>
        <w:spacing w:after="0" w:line="67" w:lineRule="exact"/>
        <w:rPr>
          <w:sz w:val="20"/>
          <w:szCs w:val="20"/>
          <w:color w:val="auto"/>
        </w:rPr>
      </w:pPr>
    </w:p>
    <w:p>
      <w:pPr>
        <w:ind w:left="1080" w:right="1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which could impair our portfolio companies’ abilities to continue to operate and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w:t>
      </w:r>
    </w:p>
    <w:p>
      <w:pPr>
        <w:spacing w:after="0" w:line="5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You should not place undue reliance on these forward-looking statements, which apply only as of the date of this report. These risks and uncertainties include those described or identified in the section entitled “Item 1A. Risk Factors” and elsewhere in this prospectus. We do not undertake any obligation to update or revise any forward-looking statements or any other information contained herein, except as required by applicable law. Because we are an investment company, the forward-looking statements and projections contained in this prospectus are excluded from the safe harbor protection provided by Section 21E of the U.S. Securities Exchange Act of 1934 Act, as amended (the “1934 Act”).</w:t>
      </w:r>
    </w:p>
    <w:p>
      <w:pPr>
        <w:spacing w:after="0" w:line="188" w:lineRule="exact"/>
        <w:rPr>
          <w:sz w:val="20"/>
          <w:szCs w:val="20"/>
          <w:color w:val="auto"/>
        </w:rPr>
      </w:pPr>
    </w:p>
    <w:p>
      <w:pPr>
        <w:ind w:left="120" w:firstLine="440"/>
        <w:spacing w:after="0" w:line="254"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Discussions containing these forward-looking statements may be found in the sections titled “Management’s Discussion and Analysis of Financial </w:t>
      </w:r>
      <w:hyperlink r:id="rId26">
        <w:r>
          <w:rPr>
            <w:rFonts w:ascii="Times New Roman" w:cs="Times New Roman" w:eastAsia="Times New Roman" w:hAnsi="Times New Roman"/>
            <w:sz w:val="18"/>
            <w:szCs w:val="18"/>
            <w:color w:val="auto"/>
          </w:rPr>
          <w:t xml:space="preserve">Condition and Results of Operations” incorporated by reference from the Company’s </w:t>
        </w:r>
        <w:r>
          <w:rPr>
            <w:rFonts w:ascii="Times New Roman" w:cs="Times New Roman" w:eastAsia="Times New Roman" w:hAnsi="Times New Roman"/>
            <w:sz w:val="18"/>
            <w:szCs w:val="18"/>
            <w:u w:val="single" w:color="auto"/>
            <w:color w:val="0000EE"/>
          </w:rPr>
          <w:t>Annual Report on Form 10-K for the fiscal year ended</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color w:val="000000"/>
          </w:rPr>
          <w:t xml:space="preserve">, and Quarterly Reports on Form 10-Q of the Company, as well as any amendments filed with the SEC. We discuss in </w:t>
        </w:r>
      </w:hyperlink>
      <w:r>
        <w:rPr>
          <w:rFonts w:ascii="Times New Roman" w:cs="Times New Roman" w:eastAsia="Times New Roman" w:hAnsi="Times New Roman"/>
          <w:sz w:val="18"/>
          <w:szCs w:val="18"/>
          <w:color w:val="0000EE"/>
        </w:rPr>
        <w:t xml:space="preserve">greater </w:t>
      </w:r>
      <w:r>
        <w:rPr>
          <w:rFonts w:ascii="Times New Roman" w:cs="Times New Roman" w:eastAsia="Times New Roman" w:hAnsi="Times New Roman"/>
          <w:sz w:val="18"/>
          <w:szCs w:val="18"/>
          <w:color w:val="000000"/>
        </w:rPr>
        <w:t>detail,</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and incorporate by reference into this prospectus in their entirety, many of these risks and uncertainties in the sections titled “Risk Factors” in this prospectus, and the Company’s </w:t>
      </w:r>
      <w:hyperlink r:id="rId26">
        <w:r>
          <w:rPr>
            <w:rFonts w:ascii="Times New Roman" w:cs="Times New Roman" w:eastAsia="Times New Roman" w:hAnsi="Times New Roman"/>
            <w:sz w:val="18"/>
            <w:szCs w:val="18"/>
            <w:u w:val="single" w:color="auto"/>
            <w:color w:val="0000EE"/>
          </w:rPr>
          <w:t>Annual Report on Form 10-K for the fiscal year ended December 31, 2023</w:t>
        </w:r>
      </w:hyperlink>
      <w:r>
        <w:rPr>
          <w:rFonts w:ascii="Times New Roman" w:cs="Times New Roman" w:eastAsia="Times New Roman" w:hAnsi="Times New Roman"/>
          <w:sz w:val="18"/>
          <w:szCs w:val="18"/>
          <w:color w:val="000000"/>
        </w:rPr>
        <w:t>, and the Company’s subsequent Quarterly Reports on Form 10-Q. These projections and forward-looking statements apply only as of the date of this prospectus. Moreover, we assume no duty and do not undertake to update the forward-looking statements, except as required by applicable law. These forward-looking statements apply only as of the date of this prospectus. Moreover, we assume no duty and do not undertake to update the forward-looking statements, except as required by applicable law.</w:t>
      </w:r>
    </w:p>
    <w:p>
      <w:pPr>
        <w:spacing w:after="0" w:line="121"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EXCHANGE OFFER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and Effect of the Exchange Offer</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issued $750,000,000 aggregate principal amount of the 6.500% Restricted Notes and $600,000,000 aggregate principal amount of the 5.750% Restricted Notes in transactions not requiring registration under the 1933 Act on March 11, 2024 and June 17, 2024, with respect to the 6.500% Restricted Notes, and September 16, 2024, with respect to the 5.750% Restricted Notes.</w:t>
      </w:r>
    </w:p>
    <w:p>
      <w:pPr>
        <w:spacing w:after="0" w:line="176" w:lineRule="exact"/>
        <w:rPr>
          <w:sz w:val="20"/>
          <w:szCs w:val="20"/>
          <w:color w:val="auto"/>
        </w:rPr>
      </w:pPr>
    </w:p>
    <w:p>
      <w:pPr>
        <w:ind w:left="120" w:right="260" w:firstLine="440"/>
        <w:spacing w:after="0" w:line="274" w:lineRule="auto"/>
        <w:rPr>
          <w:sz w:val="20"/>
          <w:szCs w:val="20"/>
          <w:color w:val="auto"/>
        </w:rPr>
      </w:pPr>
      <w:r>
        <w:rPr>
          <w:rFonts w:ascii="Times New Roman" w:cs="Times New Roman" w:eastAsia="Times New Roman" w:hAnsi="Times New Roman"/>
          <w:sz w:val="17"/>
          <w:szCs w:val="17"/>
          <w:color w:val="auto"/>
        </w:rPr>
        <w:t>The 6.500% Restricted Notes were issued, and the 6.500% Exchange Notes will be issued, pursuant to a base indenture dated as of March 11, 2024 (the “Base Indenture”), the first supplemental indenture to the Base Indenture, dated as of March 11, 2024 (the “First Supplemental Indenture”) and the second supplemental indenture to the Base Indenture, dated as of June 17, 2024 (the “Second Supplemental Indenture”), between us and the Trustee. The 5.750% Restricted Notes were issued, and the 5.750% Exchange Notes will be issued, pursuant to the Base Indenture and the third supplemental indenture, dated as of September 16, 2024, to the Base Indenture (the “Third Supplemental Indenture” and, together with the Base Indenture, the First Supplemental Indenture and the Second Supplemental Indenture, the “Indenture”) between us and the Trustee.</w:t>
      </w:r>
    </w:p>
    <w:p>
      <w:pPr>
        <w:spacing w:after="0" w:line="173"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such Restricted Notes issuances, we entered into registration rights agreements, which require that we file this registration statement under the 1933 Act with respect to the Exchange Notes to be issued in the exchange offer and, upon the effectiveness of this registration statement, offer to you the opportunity to exchange your Restricted Notes for a like principal amount of Exchange Notes.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each registration rights agreement, we agreed, for the benefit of the holders of the Restricted Notes, to use commercially reasonable efforts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w:t>
      </w:r>
    </w:p>
    <w:p>
      <w:pPr>
        <w:spacing w:after="0" w:line="112" w:lineRule="exact"/>
        <w:rPr>
          <w:sz w:val="20"/>
          <w:szCs w:val="20"/>
          <w:color w:val="auto"/>
        </w:rPr>
      </w:pPr>
    </w:p>
    <w:p>
      <w:pPr>
        <w:ind w:left="1080" w:right="10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the Exchange Offer Registration Statement with respect to a registered offer to exchange the Restricted Notes for the Exchange Notes having terms substantially identical to the Restricted Notes being exchanged, except that the transfer restrictions and registration rights relating to the Restricted Notes will not apply to the Exchange Notes, and the Exchange Notes will not provide for the payment of additional interest in the event of a registration default;</w:t>
      </w:r>
    </w:p>
    <w:p>
      <w:pPr>
        <w:spacing w:after="0" w:line="85"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Exchange Offer Registration Statement to become effective and continuously effective, supplemented and amended, for a period ending on the earlier of (i) 180 days from the date on which the Exchange Offer Registration Statement becomes or is declared effective and (ii) the date on which a broker-dealer registered under the 1933 Act is no longer required to deliver a prospectus in connection with market-making or other trading activities; and</w:t>
      </w:r>
    </w:p>
    <w:p>
      <w:pPr>
        <w:spacing w:after="0" w:line="85"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exchange offer to be consummated on the earliest practicable date after the Exchange Offer Registration Statement has become or been declared effective, but in no event later than 365 days after the initial issuance of the Restricted Notes (or if such 365th day is not a business day, the next succeeding business day).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also agreed to keep the Exchange Offer Registration Statement effective for not less than the minimum period required under applicable federal and state securities laws to consummate the exchange offer;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such period be less than 20 business days after the commencement of the exchange offer. If there is a Registration Default, then, with respect to the first 90-day period immediately following the occurrence of such Registration Default, the interest rate borne by the affected series of Restricted Notes will be increased by 0.25% per annum and will increase by an additional 0.25% per annum on the principal amount of Notes with respect to each subsequent 90-day period, up to a maximum of additional interest of 0.50% per annum. Additional Interest due pursuant to Registration Defaults will be paid in cash on the relevant interest payment date to holders of record on the relevant regular record dates. Following the cure of all Registration Defaults relating to any particular Restricted Notes, the interest rate borne by the Restricted Notes will be reduced to the original interest rate borne by Restricted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after any such</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reduction in interest rate, a different Registration Default occurs, the interest rate borne by the relevant Restricted Notes will again be increased pursuant to the foregoing provisions.</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If the Company is not able to effect the exchange offer, the Company will be obligated to file a shelf registration statement covering the resale of the Notes and use its commercially reasonable efforts to cause such registration statement to be declared effective.</w:t>
      </w:r>
    </w:p>
    <w:p>
      <w:pPr>
        <w:spacing w:after="0" w:line="162"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The Exchange Notes will be issued without a restrictive legend, and except as set forth below, you may resell or otherwise transfer them without registration under the 1933 Act. After we complete the exchange offer, our obligation to register the exchange of Exchange Notes for Restricted Notes will terminate. A copy of each registration rights agreement has been filed as an exhibit to the registration statement of which this prospectus is a part.</w:t>
      </w:r>
    </w:p>
    <w:p>
      <w:pPr>
        <w:spacing w:after="0" w:line="15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Based on interpretations by the staff of the SEC set forth in no-action letters issued to third parties unrelated to us, including </w:t>
      </w:r>
      <w:r>
        <w:rPr>
          <w:rFonts w:ascii="Times New Roman" w:cs="Times New Roman" w:eastAsia="Times New Roman" w:hAnsi="Times New Roman"/>
          <w:sz w:val="18"/>
          <w:szCs w:val="18"/>
          <w:i w:val="1"/>
          <w:iCs w:val="1"/>
          <w:color w:val="auto"/>
        </w:rPr>
        <w:t>Exxon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Corp.</w:t>
      </w:r>
      <w:r>
        <w:rPr>
          <w:rFonts w:ascii="Times New Roman" w:cs="Times New Roman" w:eastAsia="Times New Roman" w:hAnsi="Times New Roman"/>
          <w:sz w:val="18"/>
          <w:szCs w:val="18"/>
          <w:color w:val="auto"/>
        </w:rPr>
        <w:t>, SEC no-action letter (April 13, 1988),</w:t>
      </w:r>
      <w:r>
        <w:rPr>
          <w:rFonts w:ascii="Times New Roman" w:cs="Times New Roman" w:eastAsia="Times New Roman" w:hAnsi="Times New Roman"/>
          <w:sz w:val="18"/>
          <w:szCs w:val="18"/>
          <w:i w:val="1"/>
          <w:iCs w:val="1"/>
          <w:color w:val="auto"/>
        </w:rPr>
        <w:t xml:space="preserve"> Morgan, Stanley &amp; Co. Inc.</w:t>
      </w:r>
      <w:r>
        <w:rPr>
          <w:rFonts w:ascii="Times New Roman" w:cs="Times New Roman" w:eastAsia="Times New Roman" w:hAnsi="Times New Roman"/>
          <w:sz w:val="18"/>
          <w:szCs w:val="18"/>
          <w:color w:val="auto"/>
        </w:rPr>
        <w:t>, SEC no-action letter (June 5, 1991) and</w:t>
      </w:r>
      <w:r>
        <w:rPr>
          <w:rFonts w:ascii="Times New Roman" w:cs="Times New Roman" w:eastAsia="Times New Roman" w:hAnsi="Times New Roman"/>
          <w:sz w:val="18"/>
          <w:szCs w:val="18"/>
          <w:i w:val="1"/>
          <w:iCs w:val="1"/>
          <w:color w:val="auto"/>
        </w:rPr>
        <w:t xml:space="preserve"> Shearman &amp; Sterling</w:t>
      </w:r>
      <w:r>
        <w:rPr>
          <w:rFonts w:ascii="Times New Roman" w:cs="Times New Roman" w:eastAsia="Times New Roman" w:hAnsi="Times New Roman"/>
          <w:sz w:val="18"/>
          <w:szCs w:val="18"/>
          <w:color w:val="auto"/>
        </w:rPr>
        <w:t>,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no-action letter (July 2, 1993), subject to the limitations described in the succeeding three paragraphs, we believe that you may resell or otherwise transfer the Exchange Notes issued to you in the exchange offer without compliance with the registration and prospectus delivery requirements of the 1933 Act. Our belief, however, is based on your representations to us that:</w:t>
      </w:r>
    </w:p>
    <w:p>
      <w:pPr>
        <w:spacing w:after="0" w:line="9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acquiring the Exchange Notes in the ordinary course of your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engaging in and do not intend to engage in a distribution of the Exchange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have an arrangement or understanding with any person or entity to participate in the distribution of the Exchange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our “affiliate” as that term is defined in Rule 405 under the 1933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broker-dealer tendering Restricted Notes acquired directly from us for your own account;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acting on behalf of any person that could not truthfully make these representations.</w:t>
      </w:r>
    </w:p>
    <w:p>
      <w:pPr>
        <w:spacing w:after="0" w:line="225" w:lineRule="exact"/>
        <w:rPr>
          <w:sz w:val="20"/>
          <w:szCs w:val="20"/>
          <w:color w:val="auto"/>
        </w:rPr>
      </w:pPr>
    </w:p>
    <w:p>
      <w:pPr>
        <w:ind w:left="120" w:right="740" w:firstLine="440"/>
        <w:spacing w:after="0" w:line="266" w:lineRule="auto"/>
        <w:rPr>
          <w:sz w:val="20"/>
          <w:szCs w:val="20"/>
          <w:color w:val="auto"/>
        </w:rPr>
      </w:pPr>
      <w:r>
        <w:rPr>
          <w:rFonts w:ascii="Times New Roman" w:cs="Times New Roman" w:eastAsia="Times New Roman" w:hAnsi="Times New Roman"/>
          <w:sz w:val="18"/>
          <w:szCs w:val="18"/>
          <w:color w:val="auto"/>
        </w:rPr>
        <w:t>If you cannot make the representations described above, you may not participate in the exchange offer, you may not rely on the staff’s interpretations discussed above, and you must, in the absence of an exemption therefrom, comply with registration and the prospectus delivery requirements of the 1933 Act in order to resell your Restricted Notes.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in the exchange offer for Restricted Notes that were acquired as a result of market-making or other trading activities must acknowledge that it will comply with the prospectus delivery requirements of the 1933 Act in connection with any resale or other transfer of the Exchange Notes received in the exchange offer. See “Plan of Distribution.”</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have not asked the staff for a no-action letter in connection with the exchange offer, however, and we cannot assure you that the staff would make a similar determination with respect to the exchange offer.</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you are not eligible to participate in the exchange offer, you can elect to have your Restricted Notes registered for resale on a “shelf” registration statement pursuant to Rule 415 under the 1933 Act. In the event that we are obligated to file a shelf registration statement, we will be required to use commercially reasonable efforts to keep the shelf registration statement effective for so long as such Restricted Notes remain registrable securities under the applicable registration rights agreement. Other than as set forth in this paragraph, you will not have the right to require us to register your Restricted Notes under the 1933 Act. See “—Procedures for Tendering Restricted Notes.”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of Failure to 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do not participate or validly tender your Restricted Notes in the exchange offer:</w:t>
      </w:r>
    </w:p>
    <w:p>
      <w:pPr>
        <w:spacing w:after="0" w:line="131" w:lineRule="exact"/>
        <w:rPr>
          <w:sz w:val="20"/>
          <w:szCs w:val="20"/>
          <w:color w:val="auto"/>
        </w:rPr>
      </w:pPr>
    </w:p>
    <w:p>
      <w:pPr>
        <w:ind w:left="1080" w:right="4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retain your Restricted Notes that are not registered under the 1933 Act and they will continue to be subject to restrictions on transfer that are described in the legend on the Restricted Notes;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able to require us to register your Restricted Notes under the 1933 Act unless, as set forth above, you do not receive freely tradable Exchange Notes in the exchange offer or are not eligible to participate in the exchange offer, and we are obligated to file a shelf registration statement;</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able to resell or otherwise transfer your Restricted Notes unless they are registered under the 1933 Act or unless you offer to resell or transfer them pursuant to an exemption under the 1933 Act;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market for your Restricted Notes will become more limited to the extent that other holders of Restricted Notes participate in the exchange offer.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the Exchange Offer</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this prospectus and in the accompanying letter of transmittal, we will accept any and all Restricted Notes validly tendered and not withdrawn prior to 11:59 p.m., New York City time, on         , the expiration date of the exchange offer. We will issue $1,000 principal amount of the Exchange Notes in exchange for each $1,000 principal amount of the Restricted Notes accepted in the exchange offer. You may tender some or all of your Restricted Notes pursuant to the exchange offer; however, Restricted Notes may be tendered only in denominations of $2,000 and integral multiples of $1,000 in excess thereof. The Exchange Notes issued to you in the exchange offer will be delivered by credit to the accounts at DTC of the applicable DTC participants.</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form and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 (except for Restricted Notes sold pursuant to the shelf registration statement described above). The Exchange Notes will be issued under and entitled to the benefits of the same indenture that authorized the issuance of the Restricted Notes.</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$750,000,000 aggregate principal amount of the 6.500% Restricted Notes and $600,000,000 aggregate principal amount of the 5.750% Restricted Notes are outstanding and registered in the name of Cede &amp; Co., as nominee for DTC. This prospectus, together with the letter of transmittal, is being sent to the registered holder and to others believed to have beneficial interests in the Restricted Notes. We intend to conduct the exchange offer in accordance with the applicable requirements of the Exchange Act and the rules and regulations of the SEC promulgated under the Exchange Act.</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will be deemed to have accepted validly tendered Restricted Notes if and when we have given oral (any such oral notice to be promptly confirmed in writing) or written notice of our acceptance to U.S. Bank Trust Company, National Association, the exchange agent for the exchange offer. The exchange agent will act as our agent for the purpose of receiving from us the Exchange Notes for the tendering noteholders. If we do not accept any tendered Restricted Notes because of an invalid tender, the occurrence of certain other events set forth in this prospectus or otherwise, we will return such Restricted Notes by credit to the accounts at DTC of the applicable DTC participants, without expense, to the tendering noteholder as promptly as practicable after the expiration date of the exchange offer.</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You will not be required to pay brokerage commissions or fees or transfer taxes, except as set forth under “—Transfer Taxes,” with respect to the exchange of your Restricted Notes in the exchange offer. We will pay all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charges and expenses, other than certain applicable taxes, in connection with the exchange offer. See “—Fees and Expenses.”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Expiration Date; Extension; Amendment</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expiration date for the exchange offer will be 11:59 p.m., New York City time, on         , 2024, unless we determine, in our sole discretion, to extend the exchange offer, in which case it will expire at the later date and time to which it is extended. We do not currently intend to extend the exchange offer, however, although we reserve the right to do so. If we extend the exchange offer, we may delay acceptance of any Restricted Notes by giving oral (any such oral notice to be promptly confirmed in writing) or written notice of the extension to the exchange agent and give each registered holder of Restricted Notes notice by means of a press release or other public announcement of any extension prior to 9:00 a.m., New York City time, on the next business day after the scheduled expiration date.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reserve the right, in our sole discretion:</w:t>
      </w:r>
    </w:p>
    <w:p>
      <w:pPr>
        <w:spacing w:after="0" w:line="131" w:lineRule="exact"/>
        <w:rPr>
          <w:sz w:val="20"/>
          <w:szCs w:val="20"/>
          <w:color w:val="auto"/>
        </w:rPr>
      </w:pPr>
    </w:p>
    <w:p>
      <w:pPr>
        <w:ind w:left="1080" w:right="2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accept tendered Restricted Notes upon the expiration of the exchange offer, and extend the exchange offer with respect to untendered Restricted Notes;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to delay accepting any Restricted Notes, to extend the exchange offer or to terminate the exchange offer if, in our reasonable judgment, any of the conditions set forth under “—Conditions” have not been satisfied or waived, to terminate the exchange offer by giving oral (any such oral notice to be promptly confirmed in writing) or written notice of such delay or termination to the exchange agent; or</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or waive the terms and conditions of the exchange offer in any manner by complying with Rule 14e-l(d) under the Exchange Act, to the extent that rule applies.</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notify you as promptly as we can of any extension, termination or amendment. In addition, we acknowledge and undertake to comply with the provisions of Rule 14e-l(c) under the Exchange Act, which requires us to issue the Exchange Notes, or return the Restricted Notes tendered for exchange, promptly after the termination or withdrawal of the exchange offer.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for Tendering Restricted Notes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Restricted Notes are represented by global securities without interest coupons in fully registered form, registered in the name of Cede &amp; Co., as nominee for DTC. Beneficial interests in the global securities are held by direct or indirect participants in DTC through certificateless depositary interests and are shown on, and transfers of these interests are effected only through, records maintained in book-entry form by DTC with respect to its participants. You are not entitled to receive certificated Restricted Notes in exchange for your beneficial interest in these global securities except in limited circumstances described in “Description of the Exchange Notes—Book-Entry System.”</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Accordingly, you must tender your Restricted Notes pursuant to DTC’s ATOP procedures. As the DTC’s ATOP system is the only method of processing exchange offers through DTC, you must instruct a participant in DTC to transmit to the exchange agent on or prior to the expiration date for the exchange offer a computer-generated message transmitted by means of the ATOP system and received by the exchange agent and forming a part of a confirmation of book-entry transfer, in which you acknowledge and agree to be bound by the terms of the letter of transmittal, instead of sending a signed, hard copy letter of transmittal. DTC is obligated to communicate those electronic instructions to the exchange agent. To tender Restricted Notes through the ATOP system, the electronic instructions sent to DTC and transmitted by DTC to the exchange agent must contain the character by which the participant acknowledges its receipt of, and agrees to be bound by, the letter of transmittal, including the representations to us described above under “—Purpose and Effect of the Exchange Offer,” and be received by the exchange agent prior to 11:59 p.m., New York City time, on the expiration date.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you hold Restricted Notes through a broker, dealer, commercial bank, trust company, other financial institution or other nominee, each referred to herein as an “intermediary,” and you wish to tender your Restricted Notes, you should contact such intermediary promptly and instruct such intermediary to tender on your behalf. So long as the Restricted Notes are in book-entry form represented by global securities, Restricted Notes may only be tendered by your intermediary pursuant to DTC’s ATOP procedures.</w:t>
      </w:r>
    </w:p>
    <w:p>
      <w:pPr>
        <w:spacing w:after="0" w:line="180"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If you tender a Restricted Note and you do not properly withdraw the tender prior to the expiration date, you will have made an agreement with us to participate in the exchange offer in accordance with the terms and subject to the conditions set forth in this prospectus and in the letter of transmittal.</w:t>
      </w:r>
    </w:p>
    <w:p>
      <w:pPr>
        <w:spacing w:after="0" w:line="14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will determine, in our sole discretion, all questions regarding the validity, form, eligibility, including time of receipt, acceptance and withdrawal of tendered Restricted Notes. Our determination will be final and binding. We reserve the absolute right to reject any and all Restricted Notes not validly tendered or any Restricted Notes our acceptance of which would, in the opinion of our counsel, be unlawful. We also reserve the right to waive any defects, irregularities or conditions of tender as to certain Restricted Notes. Our interpretation of the terms and conditions of the exchange offer, including the instructions in the letter of transmittal, will be final and binding on all parties.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must cure any defects or irregularities in connection with tenders of your Restricted Notes within the time period that we determine unless we waive that defect or irregularity. Although we intend to notify you of defects or irregularities with respect to your tender of Restricted Notes, neither we, the exchange agent nor any other person will incur any liability for failure to give this notification. Your tender will not be deemed to have been made and your Restricted Notes will be returned to you unless otherwise provided in the letter of transmittal, as soon as practicable following the expiration of the exchange offer, if:</w:t>
      </w:r>
    </w:p>
    <w:p>
      <w:pPr>
        <w:spacing w:after="0" w:line="89"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invalidly tender your Restricted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not cured any defects or irregularities in your tender;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waived those defects, irregularities or invalid tender.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reserve the right in our sole discretion to:</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make offers for, or offer Exchange Notes for, any Restricted Notes that remain outstanding subsequent to the expiration of the exchange offer;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exchange offer;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purchase Restricted Notes in the open market, in privately negotiated transactions or otherwise.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terms of any of these purchases of or offers for Restricted Notes could differ from the terms of the exchange offer.</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all cases, the issuance of Exchange Notes for Restricted Notes that are accepted for exchange in the exchange offer will be made only after timely receipt by the exchange agent of a timely book-entry confirmation of your Restricted Notes into the exchange agent’s account at DTC, a computer-generated message instead of the Letter of Transmittal, and all other required documents. If any tendered Restricted Notes are not accepted for any reason set forth in the terms and conditions of the exchange offer or if Restricted Notes are submitted for a greater principal amount than you indicate your desire to exchange, the unaccepted or non-exchanged Restricted Notes, or Restricted Notes in substitution therefor, will be returned without expense to you by credit to the accounts at DTC of the applicable DTC participant, as promptly as practicable after rejection of tender or the expiration or termination of the exchange offer.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Transfer</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exchange agent will make a request to establish an account with respect to the Restricted Notes at DTC for purposes of the exchange offer after the date of this prospectus, and any financial institution that is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participant in DTC’s systems may make book-entry delivery of Restricted Notes being tendered by causing DTC to transfer such Restricted Notes into the exchange agent’s account at DTC in accordance with DTC’s procedures for transfer.</w:t>
      </w:r>
    </w:p>
    <w:p>
      <w:pPr>
        <w:spacing w:after="0" w:line="162"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Any DTC participant wishing to tender Restricted Notes in the exchange offer (whether on its own behalf or on behalf of the beneficial owner of Restricted Notes) should transmit its acceptance to DTC sufficiently far in advance of the expiration of the exchange offer so as to permit DTC to take the following actions prior to 11:59 p.m., New York City time, on the expiration date. DTC will verify such acceptance, execute a book-entry transfer of the tendered Restricted Notes into the exchange agent’s account at DTC and then send to the exchange agent a confirmation of such book-entry transfer. The confirmation of such book-entry transfer will include a confirmation that such DTC participant acknowledges and agrees (on behalf of itself and on behalf of any beneficial owner of the applicable Restricted Notes) to be bound by the letter of transmittal. All of the foregoing, together with any other required documents, must be delivered to and received by the exchange agent prior to 11:59 p.m., New York City time, on the expiration date.</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Guaranteed Delivery Procedures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Guaranteed delivery procedures are not available in connection with the exchange offer.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withdraw tenders of your Restricted Notes at any time prior to 11:59 p.m., New York City time, on the expiration date of the exchange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offer.</w:t>
      </w:r>
    </w:p>
    <w:p>
      <w:pPr>
        <w:spacing w:after="0" w:line="20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your withdrawal to be effective, the exchange agent must receive an electronic ATOP transmission of the notice of withdrawal at its address set forth below under “—Exchange Agent,” prior to 11:59 p.m., New York City time, on the expiration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notice of withdrawal must:</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and DTC account number of the DTC participant that tendered such Restricted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principal amount of Restricted Notes to be withdrawn;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and account number of the DTC participant to which the withdrawn Restricted Notes should be credited;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a statement that the holder is withdrawing its election to have the Restricted Notes exchanged.</w:t>
      </w:r>
    </w:p>
    <w:p>
      <w:pPr>
        <w:spacing w:after="0" w:line="22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will determine all questions regarding the validity, form and eligibility, including time of receipt, of withdrawal notices. Our determination will be final and binding on all parties. Any Restricted Notes that have been withdrawn will be deemed not to have been validly tendered for exchange for purposes of the exchange offer. Any Restricted Notes that have been tendered for exchange but that are withdrawn and not exchanged will be returned by credit to the account at DTC of the applicable DTC participant without cost as soon as practicable after withdrawal. Properly withdrawn Restricted Notes may be retendered by following one of the procedures described under “—Procedures for Tendering Restricted Notes” above at any time on or prior to 11:59 p.m., New York City time, on the expiration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do not have any appraisal or dissenters’ rights in connection with the exchange offer.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exchange offer, and subject to our obligations under the related registration rights agreement, we will not be required to accept for exchange, or to issue Exchange Notes in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exchange for, any Restricted Notes and may terminate or amend the exchange offer, if at any time before the acceptance of any Restricted Notes for exchange any one of the following events occurs:</w:t>
      </w:r>
    </w:p>
    <w:p>
      <w:pPr>
        <w:spacing w:after="0" w:line="67" w:lineRule="exact"/>
        <w:rPr>
          <w:sz w:val="20"/>
          <w:szCs w:val="20"/>
          <w:color w:val="auto"/>
        </w:rPr>
      </w:pPr>
    </w:p>
    <w:p>
      <w:pPr>
        <w:ind w:left="1080" w:right="6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injunction, order or decree has been issued by any court or any governmental agency that would prohibit, prevent or otherwise materially impair our ability to complete the exchange offer;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violates any applicable law or any applicable interpretation of the staff of the SEC.</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conditions are for our sole benefit, and we may assert them regardless of the circumstances giving rise to them, subject to applicable law. We also may waive in whole or in part at any time and from time to time any particular condition in our sole discretion. If we waive a condition, we may be required, in order to comply with applicable securities laws, to extend the expiration date of the exchange offer. Our failure at any time to exercise any of the foregoing rights will not be deemed a waiver of these rights, and these rights will be deemed ongoing rights which may be asserted at any time and from time to time.</w:t>
      </w:r>
    </w:p>
    <w:p>
      <w:pPr>
        <w:spacing w:after="0" w:line="183"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addition, we will not accept for exchange any Restricted Notes validly tendered, and no Exchange Notes will be issued in exchange for any tendered Restricted Notes, if, at the time the Restricted Notes are tendered, any stop order is threatened by the SEC or in effect with respect to the registration statement of which this prospectus is a part or the qualification of the Indenture under the Trust Indenture Act of 1939, as amended.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exchange offer is not conditioned on any minimum principal amount of Restricted Notes being tendered for exchange.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have appointed U.S. Bank Trust Company, National Association as exchange agent for the exchange offer. Questions, requests for assistance and requests for additional copies of this prospectus, the Letter of Transmittal and other related documents should be directed to the exchange agent addressed as follows:</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U.S. Bank Trust Company, National Association, as Exchange Agent</w:t>
      </w: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By Registered or Certified Mail, Overnight Delivery on or before</w:t>
      </w:r>
    </w:p>
    <w:p>
      <w:pPr>
        <w:spacing w:after="0" w:line="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11:59 p.m. New York City Time on the Expiration Date:</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Corporate Actions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111 Fillmore Avenue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St. Paul, MN 55107-1402</w:t>
      </w: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For Information or Confirmation by Telephone Call:</w:t>
      </w:r>
    </w:p>
    <w:p>
      <w:pPr>
        <w:spacing w:after="0" w:line="2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(800) 934-6802</w:t>
      </w: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By Email or Facsimile Transmission (for Eligible Institutions only):</w:t>
      </w:r>
    </w:p>
    <w:p>
      <w:pPr>
        <w:spacing w:after="0" w:line="2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Email: cts.specfinance@usbank.com</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Facsimile: (651) 466-7367</w:t>
      </w:r>
    </w:p>
    <w:p>
      <w:pPr>
        <w:spacing w:after="0" w:line="311"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b w:val="1"/>
          <w:bCs w:val="1"/>
          <w:color w:val="auto"/>
        </w:rPr>
        <w:t>DELIVERY OF A LETTER OF TRANSMITTAL TO AN ADDRESS OTHER THAN AS SET FORTH ABOVE, OR TRANSMISSION OF SUCH LETTER OF TRANSMITTAL VIA FACSIMILE OTHER THAN AS SET FORTH ABOVE, WILL NOT CONSTITUTE A VALID DELIVERY.</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exchange agent also acts as the Trustee under the Indenture.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not pay brokers, dealers or others soliciting acceptances of the exchange offer. The principal solicitation is being made by mail. Additional solicitations, however, may be made in person, by email or by telephone by our officers and employees.</w:t>
      </w:r>
    </w:p>
    <w:p>
      <w:pPr>
        <w:spacing w:after="0" w:line="162" w:lineRule="exact"/>
        <w:rPr>
          <w:sz w:val="20"/>
          <w:szCs w:val="20"/>
          <w:color w:val="auto"/>
        </w:rPr>
      </w:pPr>
    </w:p>
    <w:p>
      <w:pPr>
        <w:ind w:left="120" w:right="660" w:firstLine="440"/>
        <w:spacing w:after="0" w:line="312" w:lineRule="auto"/>
        <w:rPr>
          <w:sz w:val="20"/>
          <w:szCs w:val="20"/>
          <w:color w:val="auto"/>
        </w:rPr>
      </w:pPr>
      <w:r>
        <w:rPr>
          <w:rFonts w:ascii="Times New Roman" w:cs="Times New Roman" w:eastAsia="Times New Roman" w:hAnsi="Times New Roman"/>
          <w:sz w:val="17"/>
          <w:szCs w:val="17"/>
          <w:color w:val="auto"/>
        </w:rPr>
        <w:t>We will pay the estimated cash expenses to be incurred in connection with the exchange offer. These are estimated in the aggregate to be approximately $200,000, which includes fees and expenses of the exchange agent and accounting, legal, printing and related fees and expenses.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Taxes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will not be obligated to pay any transfer taxes in connection with a tender of your Restricted Notes unless Exchange Notes are to be registered in the name of, or Restricted Notes (or any portion thereof) not tendered or not accepted in the exchange offer are to be returned to, a person other than the registered tendering holder of the Restricted Notes, in which event the registered tendering holder will be responsible for the payment of any applicable transfer tax. In addition, tendering holders will be responsible for any transfer tax imposed for any reason other than the transfer of Restricted Notes to, or upon the order of, the Company pursuant to the exchange offer.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will not recognize any gain or loss for accounting purposes upon the consummation of the exchange offer. We will amortize the expense of the exchange offer over the term of the Exchange Notes under generally accepted accounting principles in the United States of America (“GAAP”).</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THE EXCHANGE NOTES</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issued the 6.500% Restricted Notes, and will issue the 6.500% Exchange Notes, under the Base Indenture, the First Supplemental Indenture and the Second Supplemental Indenture. We issued the 5.750% Restricted Notes, and will issue the 5.750% Exchange Notes, under the Base Indenture and the Third Supplemental Indenture. The following description is a summary of the material provisions of the Indenture. It does not restate the Indenture in its entirety. We urge you to read the Indenture, a copy of which is filed as an exhibit to the registration statement of which this prospectus forms a part, because it, and not this description, defines your rights as holders of the Notes.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will have the meanings given to them in the Notes or the Indenture, as applicable.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 Only registered holders will have rights under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Restricted Notes are, and the Exchange Notes will be, our general senior unsecured obligations ranking equally in right of payment with all of our other senior unsecured indebtedness from time to time outstanding. The 6.500% Notes and the 5.750% Notes will mature on March 11, 2029 and January 15, 2030, respectively, unless previously redeemed or repurchased in full by us as provided below under “—Optional Redemption” or “—Offer to Repurchase Upon a Change of Control Repurchase Event.” The Exchange Notes and the Restricted Notes that remain outstanding after the exchange offer will be a single series under the Indenture.</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6.500% Restricted Notes bear, and the 6.500% Exchange Notes will bear, cash interest at the rate of 6.500% per annum from March 11, 2024, to the stated maturity or date of earlier redemption. Interest on the 6.500% Notes will be payable semi-annually in arrears on each of March 11 and September 11, commencing September 11, 2024 (if an interest payment date falls on a day that is not a business day, then the applicable interest payment will be made on the next succeeding business day and no additional interest will accrue as a result of such delayed payment), to the persons in whose names such notes were registered at the close of business on the immediately preceding March 11 and September 11 (whether or not a business day), respectively.</w:t>
      </w:r>
    </w:p>
    <w:p>
      <w:pPr>
        <w:spacing w:after="0" w:line="187"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5.750% Restricted Notes bear, and the 5.750% Exchange Notes will bear, cash interest at the rate of 5.750% per annum from September 16, 2024, to the stated maturity or date of earlier redemption. Interest on the 5.750% Notes will be payable semi-annually in arrears on each of January 15 and July 15, commencing January 15, 2025 (if an interest payment date falls on a day that is not a business day, then the applicable interest payment will be made on the next succeeding business day and no additional interest will accrue as a result of such delayed payment), to the persons in whose names such notes were registered at the close of business on the immediately preceding January 15 and July 15 (whether or not a business day), respectively.</w:t>
      </w:r>
    </w:p>
    <w:p>
      <w:pPr>
        <w:spacing w:after="0" w:line="168"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Interest payments in respect of the Notes will equal the amount of interest accrued from and including the immediately preceding interest payment date in respect of which interest has been paid or duly provided for (or from and including the date of issue, if no interest has been paid or duly provided for with respect to the Notes), to, but excluding, the applicable interest payment date or stated maturity date or date of early redemption, as the case may be. Interest on the Notes will be computed on the basis of a 360-day year comprised of twelve 30-day months.</w:t>
      </w:r>
    </w:p>
    <w:p>
      <w:pPr>
        <w:spacing w:after="0" w:line="18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an interest payment date or the stated maturity date or date of early redemption of the Notes falls on a Saturday, Sunday or other day on which banking institutions in The City of New York are authorized or obligated by law or executive order to close, the required payment due on such date will instead be made on the next business day. No further interest will accrue as a result of such delayed payment.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issued the 6.500% Restricted Notes in an aggregate principal amount of $750 million and the 5.750% Restricted Notes in an aggregate principal amount of $600 million on March 11, 2024 and June 17, 2024, with respect to the 6.500% Restricted Notes, and September 16, 2024, with respect to the 5.750% Restricted Notes, in transactions not requiring registration under the 1933 Act.</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Indenture does not limit the aggregate principal amount of the debt securities which we may issue thereunder and provides that we may issue debt securities thereunder from time to time in one or more series. We may, without the consent of the holders of the Notes, issue additional Notes in a “qualified reopening” for U.S. federal income tax purposes, with less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(in any such case, other than any Exchange Notes, “Additional Notes”) under the Indenture with the same ranking and the same interest rate, maturity and other terms as the Notes of a series; provided that, if such Additional Notes are not fungible with the Notes of the applicable series (or any other tranche of Additional Notes) for U.S. federal income tax purposes, then such Additional Notes will have different CUSIP numbers from the Notes of such series (and any such other tranche of Additional Notes). Any Additional Notes and the existing Notes of a series will constitute a single series under the Indenture and all references to the relevant Notes herein will include the Additional Notes unless the context otherwise requires.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intend to list the Notes on any securities exchange or any automated dealer quotation system.</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will be issued only in fully registered form without coupons in minimum denominations of $2,000 and integral multiples of $1,000 in excess thereof. The Notes may be presented for transfer (duly endorsed or accompanied by a written instrument of transfer, if so required by us or the security registrar) or exchanged for other notes (containing identical terms and provisions, in any authorized denominations, and of a like aggregate principal amount) at the office or agency maintained by us for such purposes (initially the corporate trust office of the Trustee). Such transfer or exchange will be made without service charge, but we may require payment of a sum sufficient to cover any tax or other governmental charge and any other expenses then payable. Prior to the due presentment of a Note for registration of transfer, we, the Trustee and any other agent of ours or the Trustee may treat the registered holder of each Note as the owner of such Note for the purpose of receiving payments of principal of and interest on such Note and for all other purposes whatsoever.</w:t>
      </w:r>
    </w:p>
    <w:p>
      <w:pPr>
        <w:spacing w:after="0" w:line="19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Indenture does not contain any provisions that would limit our ability to incur unsecured indebtedness or that would afford holders of the Notes protection in the event of a sudden and significant decline in our credit quality or a takeover, recapitalization or highly leveraged or similar transaction involving us. Accordingly, we could in the future enter into transactions that could increase the amount of indebtedness outstanding at that time or otherwise affect our capital structure or the credit rating of the Notes.</w:t>
      </w:r>
    </w:p>
    <w:p>
      <w:pPr>
        <w:spacing w:after="0" w:line="178"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color w:val="auto"/>
        </w:rPr>
        <w:t>The Notes will not be subject to any sinking fund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 amounts will be set aside by us to ensure repayment of the Notes at maturity). As a result, our ability to repay the Notes at maturity will depend on our financial condition on the date that we are required to repay the Notes.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may redeem some or all of the Notes at our option, in whole or in part, at any time and from time to time, at a redemption price (expressed as a percentage of principal amount and rounded to three decimal places) equal to the greater of:</w:t>
      </w:r>
    </w:p>
    <w:p>
      <w:pPr>
        <w:spacing w:after="0" w:line="67" w:lineRule="exact"/>
        <w:rPr>
          <w:sz w:val="20"/>
          <w:szCs w:val="20"/>
          <w:color w:val="auto"/>
        </w:rPr>
      </w:pPr>
    </w:p>
    <w:p>
      <w:pPr>
        <w:jc w:val="both"/>
        <w:ind w:left="1080" w:right="12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40 basis points and 35 basis points for the 6.500% Notes and the 5.750% Notes, respectively, less (b) interest accrued to the date of redemption, 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 of the Notes.</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at any time on or after the Par Call Date, the Company may redeem some of or all of the Notes, at any time and from time to time, at a redemption price equal to 100% of the principal amount of the Notes to be redeemed plus, in each case, accrued and unpaid interest, if any, to, but excluding, the redemption date.</w:t>
      </w:r>
    </w:p>
    <w:p>
      <w:pPr>
        <w:spacing w:after="0" w:line="176"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 xml:space="preserve">If we choose to redeem any Notes, we will deliver a notice of redemption to holders of the Notes to be redeemed not less than 10 nor more than 60 days before the redemption date. If we are redeeming less than all of the Notes, the particular Notes to be redeemed will be selected in accordance with the applicable procedures of the Trustee and, so long as the Notes are registered to DTC or its nominee, the DTC;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no such partial redemption will reduce the portion of the principal amount of a Note not redeemed to less than $2,000. If any Note is to be redeemed in part only, the notice of redemption that relates to the Note will state the portion of the principal amount of the Note to be redeemed. Unless we default in payment of the redemption price, on and after the redemption date, interest will cease to accrue on the Notes or portions of the Notes called for redemption.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of the Notes, the yield determined by us in accordance with the below.</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—one yield corresponding to the Treasury constant maturity on H.15 immediately shorter than and one yield corresponding to the Treasury constant maturity on H.15 immediately longer than the Remaining Life—and shall interpolate to the applicable Par Call Date of the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of the Notes, as applicable. If there is no United States Treasury security maturing on the applicable Par Call Date of the Notes but there are two or more United States Treasury securities with a maturity date equally distant from the applicable Par Call Date of the Notes, one with a maturity date preceding the applicable Par Call Date of the Notes and one with a maturity date following the applicable Par Call Date of the Notes, we shall select the United States Treasury security with a maturity date preceding the applicable Par Call Date of the Notes. If there are two or more United States Treasury securities maturing on the applicable Par Call Date of the Notes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76" w:lineRule="exact"/>
        <w:rPr>
          <w:sz w:val="20"/>
          <w:szCs w:val="20"/>
          <w:color w:val="auto"/>
        </w:rPr>
      </w:pPr>
    </w:p>
    <w:p>
      <w:pPr>
        <w:jc w:val="both"/>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Our actions and determinations in determining the redemption price of any of the Notes shall be conclusive and binding for all purposes, absent manifest error. For the avoidance of doubt, the Trustee will not be responsible or liable for determining, confirming, or verifying the redemption price.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 to Repurchase Upon a Change of Control Repurchase Event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On the Change of Control Repurchase Event payment date, subject to extension if necessary to comply with the provisions of the 1940 Act, we will, to the extent lawful:</w:t>
      </w:r>
    </w:p>
    <w:p>
      <w:pPr>
        <w:spacing w:after="0" w:line="162" w:lineRule="exact"/>
        <w:rPr>
          <w:sz w:val="20"/>
          <w:szCs w:val="20"/>
          <w:color w:val="auto"/>
        </w:rPr>
      </w:pPr>
    </w:p>
    <w:p>
      <w:pPr>
        <w:ind w:left="820" w:hanging="264"/>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our offer;</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Notes or portions of Notes properly tendered;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120" w:right="80" w:firstLine="436"/>
        <w:spacing w:after="0" w:line="282"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us.</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paying agent will promptly remit to each holder of Notes properly tendered the purchase price for the Notes, and the Trustee will promptly authenticate and mail (or cause to be transferred by book-entry) to each holder an Exchange Note equal in principal amount to any unpurchased portion of any Notes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Exchange Note will be in a minimum principal amount of $2,000 or an integral multiple of $1,000 in excess thereof.</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and credit facility provide that certain change of control events will constitute an event of default thereunder entitling the lenders to accelerate any indebtedness outstanding under the credit facility at that time and to terminate the financing arrangements. See “Management’s Discussion and Analysis of Financial Condition and Results of Operations—Financial Condition, Liquidity and Capital Resources” in the Company’s </w:t>
      </w:r>
      <w:hyperlink r:id="rId26">
        <w:r>
          <w:rPr>
            <w:rFonts w:ascii="Times New Roman" w:cs="Times New Roman" w:eastAsia="Times New Roman" w:hAnsi="Times New Roman"/>
            <w:sz w:val="18"/>
            <w:szCs w:val="18"/>
            <w:u w:val="single" w:color="auto"/>
            <w:color w:val="0000EE"/>
          </w:rPr>
          <w:t>Annual Report on Form 10-K for the fiscal year ended December 31, 2023</w:t>
        </w:r>
      </w:hyperlink>
      <w:r>
        <w:rPr>
          <w:rFonts w:ascii="Times New Roman" w:cs="Times New Roman" w:eastAsia="Times New Roman" w:hAnsi="Times New Roman"/>
          <w:sz w:val="18"/>
          <w:szCs w:val="18"/>
          <w:color w:val="auto"/>
        </w:rPr>
        <w:t>, and/or our most recently Quarterly Report on Form 10-Q, each of which is incorporated by reference herein, for a general discussion of our and our subsidiaries’ indebtedness.</w:t>
      </w:r>
    </w:p>
    <w:p>
      <w:pPr>
        <w:spacing w:after="0" w:line="188"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Related to the Exchange Notes—We may not be able to repurchase the Notes upon a Change of Control Repurchase Event” in this prospectus for more information.</w:t>
      </w:r>
    </w:p>
    <w:p>
      <w:pPr>
        <w:spacing w:after="0" w:line="18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definition of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Exchange Notes:</w:t>
      </w:r>
    </w:p>
    <w:p>
      <w:pPr>
        <w:spacing w:after="0" w:line="22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Below Investment Grade Rating Event</w:t>
      </w:r>
      <w:r>
        <w:rPr>
          <w:rFonts w:ascii="Times New Roman" w:cs="Times New Roman" w:eastAsia="Times New Roman" w:hAnsi="Times New Roman"/>
          <w:sz w:val="18"/>
          <w:szCs w:val="18"/>
          <w:color w:val="auto"/>
        </w:rPr>
        <w:t xml:space="preserve">” means the Notes are downgraded below Investment Grade by both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227" w:lineRule="exact"/>
        <w:rPr>
          <w:sz w:val="20"/>
          <w:szCs w:val="20"/>
          <w:color w:val="auto"/>
        </w:rPr>
      </w:pPr>
    </w:p>
    <w:p>
      <w:pPr>
        <w:ind w:left="120" w:right="180" w:firstLine="436"/>
        <w:spacing w:after="0" w:line="258"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or indirect sale, lease, transfer, conveyance or other disposition (other than by way of merger or consolidation) in one or a series of related transactions, of all or substantially all of the assets of Sixth Street Lending Partners and its Controlled Subsidiaries taken as a whole to any “person” or “group” (as those terms are used in Section 13(d)(3) of the Exchange Act), other than to any Permitted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Sixth Street Lending Partners or its Controlled Subsidiaries shall not be deemed to be any such sale, lease, transfer, conveyance or disposition;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36"/>
        <w:spacing w:after="0" w:line="261"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Sixth Street Lending Partners, measured by voting power rather than number of shares; or</w:t>
      </w:r>
    </w:p>
    <w:p>
      <w:pPr>
        <w:spacing w:after="0" w:line="179"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Sixth Street Lending Partners’ stockholders of any plan or proposal relating to the liquidation or dissolution of Sixth Street Lending Partners.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Repurchase Event</w:t>
      </w:r>
      <w:r>
        <w:rPr>
          <w:rFonts w:ascii="Times New Roman" w:cs="Times New Roman" w:eastAsia="Times New Roman" w:hAnsi="Times New Roman"/>
          <w:sz w:val="18"/>
          <w:szCs w:val="18"/>
          <w:color w:val="auto"/>
        </w:rPr>
        <w:t>” means the occurrence of a Change of Control and a Below Investment Grade Rating Event.</w:t>
      </w:r>
    </w:p>
    <w:p>
      <w:pPr>
        <w:spacing w:after="0" w:line="225"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Controlled Subsidiary</w:t>
      </w:r>
      <w:r>
        <w:rPr>
          <w:rFonts w:ascii="Times New Roman" w:cs="Times New Roman" w:eastAsia="Times New Roman" w:hAnsi="Times New Roman"/>
          <w:sz w:val="18"/>
          <w:szCs w:val="18"/>
          <w:color w:val="auto"/>
        </w:rPr>
        <w:t>” means any subsidiary of Sixth Street Lending Partners, 50% or more of the outstanding equity interests of which are owned by Sixth Street Lending Partners and its direct or indirect subsidiaries and of which Sixth Street Lending Partners possesses, directly or indirectly, the power to direct or cause the direction of the management or policies, whether through the ownership of voting equity interests, by agreement or otherwise.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Ratings, Inc., also known as Fitch Ratings, or any successor thereto.</w:t>
      </w:r>
    </w:p>
    <w:p>
      <w:pPr>
        <w:spacing w:after="0" w:line="225" w:lineRule="exact"/>
        <w:rPr>
          <w:sz w:val="20"/>
          <w:szCs w:val="20"/>
          <w:color w:val="auto"/>
        </w:rPr>
      </w:pPr>
    </w:p>
    <w:p>
      <w:pPr>
        <w:ind w:left="12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Investment Grade</w:t>
      </w:r>
      <w:r>
        <w:rPr>
          <w:rFonts w:ascii="Times New Roman" w:cs="Times New Roman" w:eastAsia="Times New Roman" w:hAnsi="Times New Roman"/>
          <w:sz w:val="17"/>
          <w:szCs w:val="17"/>
          <w:color w:val="auto"/>
        </w:rPr>
        <w:t>” means a rating of BBB- or better by Fitch (or its equivalent under any successor rating categories of Fitch) and 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or any successor thereto.</w:t>
      </w:r>
    </w:p>
    <w:p>
      <w:pPr>
        <w:spacing w:after="0" w:line="225"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Holders</w:t>
      </w:r>
      <w:r>
        <w:rPr>
          <w:rFonts w:ascii="Times New Roman" w:cs="Times New Roman" w:eastAsia="Times New Roman" w:hAnsi="Times New Roman"/>
          <w:sz w:val="18"/>
          <w:szCs w:val="18"/>
          <w:color w:val="auto"/>
        </w:rPr>
        <w:t>” means (i) us, (ii) one or more of our Controlled Subsidiaries and (iii) Sixth Street Lending Partners Advisers, LLC or any affiliate of Sixth Street Lending Partners Advisers, LLC that is organized under the laws of a jurisdiction located in the United States of America and in the business of managing or advising clients.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Agency</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360" w:hanging="253"/>
        <w:spacing w:after="0"/>
        <w:tabs>
          <w:tab w:leader="none" w:pos="1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Fitch and Moody’s; and</w:t>
      </w:r>
    </w:p>
    <w:p>
      <w:pPr>
        <w:spacing w:after="0" w:line="117" w:lineRule="exact"/>
        <w:rPr>
          <w:rFonts w:ascii="Times New Roman" w:cs="Times New Roman" w:eastAsia="Times New Roman" w:hAnsi="Times New Roman"/>
          <w:sz w:val="18"/>
          <w:szCs w:val="18"/>
          <w:color w:val="auto"/>
        </w:rPr>
      </w:pPr>
    </w:p>
    <w:p>
      <w:pPr>
        <w:ind w:left="1100" w:right="40" w:firstLine="7"/>
        <w:spacing w:after="0" w:line="266" w:lineRule="auto"/>
        <w:tabs>
          <w:tab w:leader="none" w:pos="13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of Fitch or Moody’s ceases to rate the Notes or fails to make a rating of the Notes publicly available for reasons outside of our control, a “nationally recognized statistical rating organization” as defined in Section (3)(a)(62) of the Exchange Act selected by us as a replacement agency for Fitch or Moody’s, or both, as the case may be.</w:t>
      </w:r>
    </w:p>
    <w:p>
      <w:pPr>
        <w:spacing w:after="0" w:line="174" w:lineRule="exact"/>
        <w:rPr>
          <w:sz w:val="20"/>
          <w:szCs w:val="20"/>
          <w:color w:val="auto"/>
        </w:rPr>
      </w:pPr>
    </w:p>
    <w:p>
      <w:pPr>
        <w:ind w:left="120" w:right="3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Merger, Consolidation or Sale of Assets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will provide that we will not merge or consolidate with or into any other person (other than a merger of a wholly owned subsidiary into us), or sell, transfer, lease, convey or otherwise dispose of all or substantially all our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Sixth Street Lending Partners or its Controlled Subsidiaries shall not be deemed to be any such sale, transfer, lease, conveyance or disposition) in any one transaction or series of related transactions unless:</w:t>
      </w:r>
    </w:p>
    <w:p>
      <w:pPr>
        <w:spacing w:after="0" w:line="85" w:lineRule="exact"/>
        <w:rPr>
          <w:sz w:val="20"/>
          <w:szCs w:val="20"/>
          <w:color w:val="auto"/>
        </w:rPr>
      </w:pPr>
    </w:p>
    <w:p>
      <w:pPr>
        <w:ind w:left="1080" w:right="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8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and the applicable registration rights agreement to be performed by us;</w:t>
      </w:r>
    </w:p>
    <w:p>
      <w:pPr>
        <w:spacing w:after="0" w:line="85"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and that such supplemental indenture is valid, binding and enforceable against the successor company.</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76"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87"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Covenants</w:t>
      </w:r>
    </w:p>
    <w:p>
      <w:pPr>
        <w:spacing w:after="0" w:line="133" w:lineRule="exact"/>
        <w:rPr>
          <w:sz w:val="20"/>
          <w:szCs w:val="20"/>
          <w:color w:val="auto"/>
        </w:rPr>
      </w:pPr>
    </w:p>
    <w:p>
      <w:pPr>
        <w:ind w:left="1080" w:right="3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58"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225" w:lineRule="exact"/>
        <w:rPr>
          <w:sz w:val="20"/>
          <w:szCs w:val="20"/>
          <w:color w:val="auto"/>
        </w:rPr>
      </w:pPr>
    </w:p>
    <w:p>
      <w:pPr>
        <w:ind w:left="820" w:hanging="264"/>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Note when due and payable and the default continues for a period of 30 days;</w:t>
      </w:r>
    </w:p>
    <w:p>
      <w:pPr>
        <w:spacing w:after="0" w:line="225" w:lineRule="exact"/>
        <w:rPr>
          <w:rFonts w:ascii="Times New Roman" w:cs="Times New Roman" w:eastAsia="Times New Roman" w:hAnsi="Times New Roman"/>
          <w:sz w:val="18"/>
          <w:szCs w:val="18"/>
          <w:color w:val="auto"/>
        </w:rPr>
      </w:pPr>
    </w:p>
    <w:p>
      <w:pPr>
        <w:ind w:left="120" w:right="240" w:firstLine="436"/>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Note when it becomes due and payable at its maturity including upon any redemption date or required repurchase date;</w:t>
      </w:r>
    </w:p>
    <w:p>
      <w:pPr>
        <w:spacing w:after="0" w:line="161" w:lineRule="exact"/>
        <w:rPr>
          <w:rFonts w:ascii="Times New Roman" w:cs="Times New Roman" w:eastAsia="Times New Roman" w:hAnsi="Times New Roman"/>
          <w:sz w:val="18"/>
          <w:szCs w:val="18"/>
          <w:color w:val="auto"/>
        </w:rPr>
      </w:pPr>
    </w:p>
    <w:p>
      <w:pPr>
        <w:ind w:left="120" w:right="260" w:firstLine="436"/>
        <w:spacing w:after="0" w:line="312" w:lineRule="auto"/>
        <w:tabs>
          <w:tab w:leader="none" w:pos="8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spacing w:after="0" w:line="139" w:lineRule="exact"/>
        <w:rPr>
          <w:rFonts w:ascii="Times New Roman" w:cs="Times New Roman" w:eastAsia="Times New Roman" w:hAnsi="Times New Roman"/>
          <w:sz w:val="17"/>
          <w:szCs w:val="17"/>
          <w:color w:val="auto"/>
        </w:rPr>
      </w:pPr>
    </w:p>
    <w:p>
      <w:pPr>
        <w:ind w:left="120" w:firstLine="436"/>
        <w:spacing w:after="0" w:line="254"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us or any of our significant subsidiaries, as defined in Article 1, Rule 1-02 of Regulation S-X under the Exchange Act (but excluding any subsidiary which is (a) a non-recourse or limited recourse subsidiary, (b) a bankruptcy remote special purpose vehicle or (c) is not consolidated with Sixth Street Lending Partners for purposes of GAAP), with respect to any mortgage, agreement or other instrument under which there may be outstanding, or by which there may be secured or evidenced, any indebtedness for money borrowed in excess of $100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188" w:lineRule="exact"/>
        <w:rPr>
          <w:rFonts w:ascii="Times New Roman" w:cs="Times New Roman" w:eastAsia="Times New Roman" w:hAnsi="Times New Roman"/>
          <w:sz w:val="18"/>
          <w:szCs w:val="18"/>
          <w:color w:val="auto"/>
        </w:rPr>
      </w:pPr>
    </w:p>
    <w:p>
      <w:pPr>
        <w:ind w:left="120" w:right="140" w:firstLine="436"/>
        <w:spacing w:after="0" w:line="266"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us occur and remain undischarged or unstayed for a period of 90 days.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occurs and is continuing and a responsible officer of the Trustee has received written notice or has actual knowledge thereof,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the Notes has been made and before a judgment or decree for payment of the money due has been obtained by the Trustee, the holders of a majority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54" w:lineRule="exact"/>
        <w:rPr>
          <w:sz w:val="20"/>
          <w:szCs w:val="20"/>
          <w:color w:val="auto"/>
        </w:rPr>
      </w:pPr>
    </w:p>
    <w:p>
      <w:pPr>
        <w:ind w:left="1200" w:hanging="221"/>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Notes;</w:t>
      </w:r>
    </w:p>
    <w:p>
      <w:pPr>
        <w:spacing w:after="0" w:line="117" w:lineRule="exact"/>
        <w:rPr>
          <w:rFonts w:ascii="Times New Roman" w:cs="Times New Roman" w:eastAsia="Times New Roman" w:hAnsi="Times New Roman"/>
          <w:sz w:val="18"/>
          <w:szCs w:val="18"/>
          <w:color w:val="auto"/>
        </w:rPr>
      </w:pPr>
    </w:p>
    <w:p>
      <w:pPr>
        <w:ind w:left="560" w:right="540" w:firstLine="419"/>
        <w:spacing w:after="0" w:line="282" w:lineRule="auto"/>
        <w:tabs>
          <w:tab w:leader="none" w:pos="12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Notes have made written request to the Trustee to institute proceedings in respect of such event of default;</w:t>
      </w:r>
    </w:p>
    <w:p>
      <w:pPr>
        <w:spacing w:after="0" w:line="53" w:lineRule="exact"/>
        <w:rPr>
          <w:rFonts w:ascii="Times New Roman" w:cs="Times New Roman" w:eastAsia="Times New Roman" w:hAnsi="Times New Roman"/>
          <w:sz w:val="18"/>
          <w:szCs w:val="18"/>
          <w:color w:val="auto"/>
        </w:rPr>
      </w:pPr>
    </w:p>
    <w:p>
      <w:pPr>
        <w:ind w:left="560" w:right="460" w:firstLine="419"/>
        <w:spacing w:after="0" w:line="282" w:lineRule="auto"/>
        <w:tabs>
          <w:tab w:leader="none" w:pos="12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security or indemnity satisfactory to the Trustee, against the costs, expenses and liabilities to be incurred in compliance with such request;</w:t>
      </w:r>
    </w:p>
    <w:p>
      <w:pPr>
        <w:spacing w:after="0" w:line="53" w:lineRule="exact"/>
        <w:rPr>
          <w:rFonts w:ascii="Times New Roman" w:cs="Times New Roman" w:eastAsia="Times New Roman" w:hAnsi="Times New Roman"/>
          <w:sz w:val="18"/>
          <w:szCs w:val="18"/>
          <w:color w:val="auto"/>
        </w:rPr>
      </w:pPr>
    </w:p>
    <w:p>
      <w:pPr>
        <w:ind w:left="560" w:right="720" w:firstLine="419"/>
        <w:spacing w:after="0" w:line="282" w:lineRule="auto"/>
        <w:tabs>
          <w:tab w:leader="none" w:pos="12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security or indemnity has failed to institute any such proceeding; and</w:t>
      </w:r>
    </w:p>
    <w:p>
      <w:pPr>
        <w:spacing w:after="0" w:line="53" w:lineRule="exact"/>
        <w:rPr>
          <w:rFonts w:ascii="Times New Roman" w:cs="Times New Roman" w:eastAsia="Times New Roman" w:hAnsi="Times New Roman"/>
          <w:sz w:val="18"/>
          <w:szCs w:val="18"/>
          <w:color w:val="auto"/>
        </w:rPr>
      </w:pPr>
    </w:p>
    <w:p>
      <w:pPr>
        <w:ind w:left="560" w:right="160" w:firstLine="419"/>
        <w:spacing w:after="0" w:line="282" w:lineRule="auto"/>
        <w:tabs>
          <w:tab w:leader="none" w:pos="12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Notes.</w:t>
      </w:r>
    </w:p>
    <w:p>
      <w:pPr>
        <w:spacing w:after="0" w:line="162"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direction shall not be in conflict with any rule of law or with the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may satisfy and discharge our obligations under the Indenture by delivering to the securities registrar for cancellation all outstanding Notes or by depositing with the Trustee or delivering to the holders, as applicable,</w:t>
      </w:r>
    </w:p>
    <w:p>
      <w:pPr>
        <w:ind w:left="120" w:right="360"/>
        <w:spacing w:after="0" w:line="260" w:lineRule="auto"/>
        <w:rPr>
          <w:sz w:val="20"/>
          <w:szCs w:val="20"/>
          <w:color w:val="auto"/>
        </w:rPr>
      </w:pPr>
      <w:r>
        <w:rPr>
          <w:rFonts w:ascii="Times New Roman" w:cs="Times New Roman" w:eastAsia="Times New Roman" w:hAnsi="Times New Roman"/>
          <w:sz w:val="18"/>
          <w:szCs w:val="18"/>
          <w:color w:val="auto"/>
        </w:rPr>
        <w:t>after the Notes have become due and payable, or otherwise, moneys sufficient to pay all of the outstanding Notes and paying all other sums payable under the Indenture by us. Such discharge is subject to terms contained in the Indenture.</w:t>
      </w:r>
    </w:p>
    <w:p>
      <w:pPr>
        <w:spacing w:after="0" w:line="18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In addition, the Notes are subject to defeasance and covenant defeasance, in each case, in accordance with the terms of the Indenture.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U.S. Bank Trust Company, National Association, is the trustee, security registrar and paying agent. U.S. Bank Trust Company, National Association, in its capacity, including without limitation as trustee, security registrar and paying agent, assumes no responsibility (or liability) for the accuracy, correctness, adequacy, or completeness of the information concerning us or our affiliates or any other party contained in this offering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memorandum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maintain banking relationships in the ordinary course of business with the Trustee and its affiliates.</w:t>
      </w:r>
    </w:p>
    <w:p>
      <w:pPr>
        <w:spacing w:after="0" w:line="225"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“corporate trust office” means the corporate trust office of the trustee, at which at any particular time its corporate trust business with respect to the Indenture shall be administered, which office is currently located at U.S. Bank Trust Company, National Association, 100 Wall Street, New York, New York 10005.</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Each of the Trustee, security registrar, and paying agent will be entitled to those certain rights, privileges, immunities, indemnities, limitations of liability, and protections, as more fully set forth in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Settlement and Clearance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Global Notes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below, Notes will be issued in registered, global form, without interest coupons (the “Global Notes”). The Global Notes will be issued in minimum denominations of $2,000 and integral multiples of $1,000 in excess thereof. Exchange Notes will be issued at the closing of this offering only against payment in immediately available funds.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Global Notes will be deposited upon issuance with the Trustee as custodian for DTC and registered in the name of DTC’s nominee, Cede &amp; Co., in each case for credit to an account of a direct or indirect participant in DTC as described below.</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Except as set forth below, the Global Notes may be transferred, in whole but not in part, only to DTC, to a nominee of DTC or to a successor of DTC or its nominee. Beneficial interests in the Global Notes may not be exchanged for notes in registered, certificated form (the “Certificated Notes”) except in the limited circumstances described below. See “—Certificated Notes.” Except in the limited circumstances described below, owners of beneficial interests in the Global Notes will not be entitled to receive physical delivery of notes in certificated form.</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Book-Entry Procedures for Global Notes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nor the initial purchasers are responsible for those operations or procedures.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State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and Clearstream is also available to others such as banks, brokers, dealers and trust companies that clear through or maintain a custodial relationship with a Euroclear and Clearstream participant, either directly or indirectly.</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So long as the Notes are held in global form, Euroclear, Clearstream and/or DTC, as applicable, (or their respective nominees) will be considered the sole holders of Global Notes for all purposes under the Indenture. As such, participants must rely on the procedures of Euroclear, Clearstream and/or DTC and indirect participants must rely on the procedures of Euroclear, Clearstream and/ or DTC and the participants through which they own interests in the Notes, or Book-Entry Interests, in order to exercise any rights of holders under the Indenture.</w:t>
      </w:r>
    </w:p>
    <w:p>
      <w:pPr>
        <w:spacing w:after="0" w:line="18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So long as DTC, Euroclear or Clearstream’s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8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Notes represented by the Global Note registered in their names;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certificated Notes;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62"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Note must rely on the procedures of DTC, Euroclear or Clearstream to exercise any rights of a holder of Notes under the Indenture (and, if the investor is not a participant or an indirect participant in DTC, Euroclear or Clearstream, on the procedures of the DTC, Euroclear or Clearstream participant through which the investor owns its interest).</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Payments of principal and interest with respect to the Notes represented by a Global Note will be made by the Trustee to DTC, Euroclear or Clearstream’s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Euroclear or Clearstream, or for maintaining, supervising or reviewing any records of DTC, Euroclear or Clearstream relating to those interests.</w:t>
      </w:r>
    </w:p>
    <w:p>
      <w:pPr>
        <w:spacing w:after="0" w:line="164"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Payments by participants and indirect participants in DTC, Euroclear or Clearstream to the owners of beneficial interests in a Global Note will be governed by standing instructions and customary industry practice and will be the responsibility of those participants or indirect participants and DTC, Euroclear or Clearstream.</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Transfers between participants in DTC, Euroclear or Clearstream will be effected under DTC, Euroclear or Clearstream’s procedures and will be settled in same-day funds.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Certificated Notes</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Notes in physical, certificated form will be issued and delivered to each person that DTC, Euroclear or Clearstream identifies as a beneficial owner of the related Notes only if:</w:t>
      </w:r>
    </w:p>
    <w:p>
      <w:pPr>
        <w:spacing w:after="0" w:line="67" w:lineRule="exact"/>
        <w:rPr>
          <w:sz w:val="20"/>
          <w:szCs w:val="20"/>
          <w:color w:val="auto"/>
        </w:rPr>
      </w:pPr>
    </w:p>
    <w:p>
      <w:pPr>
        <w:ind w:left="1080" w:right="1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Euroclear or Clearstream notifies us at any time that it is unwilling or unable to continue as depositary for the Global Notes and a successor depositary is not appointed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Notes has occurred and is continuing and such beneficial owner requests that its Notes be issued in physical, certificated form.</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60"/>
          </w:cols>
          <w:pgMar w:left="320" w:top="455" w:right="6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exchange of Restricted Notes for Exchange Notes in the exchange offer will not constitute a taxable event to holders for U.S. federal income tax purposes. Consequently, for U.S. federal income tax purposes, (i) you will not recognize gain or loss as a result of the exchange, (ii) the holding period of the Exchange Notes you receive will include the holding period of the Restricted Notes exchanged therefor and (iii) the basis of the Exchange Notes you receive will be the same as the basis of the Restricted Notes exchanged therefor immediately before the exchange.</w:t>
      </w:r>
    </w:p>
    <w:p>
      <w:pPr>
        <w:spacing w:after="0" w:line="176"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 any event, persons considering the exchange of Restricted Notes for Exchange Notes should consult their own tax advisors concerning the U.S. federal income tax consequences in light of their particular situations as well as any consequences arising under the laws of any other taxing jurisdiction.</w:t>
      </w:r>
    </w:p>
    <w:p>
      <w:pPr>
        <w:spacing w:after="0" w:line="173" w:lineRule="exact"/>
        <w:rPr>
          <w:sz w:val="20"/>
          <w:szCs w:val="20"/>
          <w:color w:val="auto"/>
        </w:rPr>
      </w:pPr>
    </w:p>
    <w:p>
      <w:pPr>
        <w:ind w:left="120" w:firstLine="4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Regulated Investment Company Classification</w:t>
      </w:r>
      <w:r>
        <w:rPr>
          <w:rFonts w:ascii="Times New Roman" w:cs="Times New Roman" w:eastAsia="Times New Roman" w:hAnsi="Times New Roman"/>
          <w:sz w:val="18"/>
          <w:szCs w:val="18"/>
          <w:color w:val="auto"/>
        </w:rPr>
        <w:t xml:space="preserve">” in Part 1A and Item 1 of Part 1, respectively, of the Company’s </w:t>
      </w:r>
      <w:hyperlink r:id="rId26">
        <w:r>
          <w:rPr>
            <w:rFonts w:ascii="Times New Roman" w:cs="Times New Roman" w:eastAsia="Times New Roman" w:hAnsi="Times New Roman"/>
            <w:sz w:val="18"/>
            <w:szCs w:val="18"/>
            <w:u w:val="single" w:color="auto"/>
            <w:color w:val="0000EE"/>
          </w:rPr>
          <w:t>Annual Report on Form 10-K for the fiscal year ended December 31, 2023</w:t>
        </w:r>
      </w:hyperlink>
      <w:r>
        <w:rPr>
          <w:rFonts w:ascii="Times New Roman" w:cs="Times New Roman" w:eastAsia="Times New Roman" w:hAnsi="Times New Roman"/>
          <w:sz w:val="18"/>
          <w:szCs w:val="18"/>
          <w:color w:val="auto"/>
        </w:rPr>
        <w:t>, which is incorporated herein by reference.</w:t>
      </w:r>
    </w:p>
    <w:p>
      <w:pPr>
        <w:spacing w:after="0" w:line="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320" w:top="455" w:right="5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left="120" w:firstLine="440"/>
        <w:spacing w:after="0" w:line="253"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The following table of financial highlights is intended to help a prospective investor understand the Company’s financial performance for the periods shown. The financial data set forth in the following table as of and for the year ended December 31, 2023 are derived from our consolidated financial statements, which have been audited by KPMG LLP, an independent registered public accounting firm whose report thereon is incorporated by </w:t>
      </w:r>
      <w:hyperlink r:id="rId26">
        <w:r>
          <w:rPr>
            <w:rFonts w:ascii="Times New Roman" w:cs="Times New Roman" w:eastAsia="Times New Roman" w:hAnsi="Times New Roman"/>
            <w:sz w:val="18"/>
            <w:szCs w:val="18"/>
            <w:color w:val="auto"/>
          </w:rPr>
          <w:t xml:space="preserve">reference in this prospectus, certain documents incorporated by reference in this prospectus, or the Company’s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fiscal year ended December 31, 2023</w:t>
        </w:r>
        <w:r>
          <w:rPr>
            <w:rFonts w:ascii="Times New Roman" w:cs="Times New Roman" w:eastAsia="Times New Roman" w:hAnsi="Times New Roman"/>
            <w:sz w:val="18"/>
            <w:szCs w:val="18"/>
            <w:color w:val="000000"/>
          </w:rPr>
          <w:t>, which may be obtained from www.sec.gov or upon request. The Company’s unaudited financial statements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included in the Company’s Quarterly Report on Form 10-Q for the quarter ended September 30, 2024, are incorporated by reference herein. You should read these financial highlights in conjunction with our consolidated financial statements and notes thereto and “Management’s Discussion and Analysis of Financial Condition and Results of Operations” incorporated by reference in this prospectus, any documents incorporated by reference in this prospectus or the accompanying prospectus supplement, or the Company’s </w:t>
      </w:r>
      <w:hyperlink r:id="rId26">
        <w:r>
          <w:rPr>
            <w:rFonts w:ascii="Times New Roman" w:cs="Times New Roman" w:eastAsia="Times New Roman" w:hAnsi="Times New Roman"/>
            <w:sz w:val="18"/>
            <w:szCs w:val="18"/>
            <w:u w:val="single" w:color="auto"/>
            <w:color w:val="0000EE"/>
          </w:rPr>
          <w:t>Annual Report on Form 10-K for the fiscal year ended December 31, 2023</w:t>
        </w:r>
      </w:hyperlink>
      <w:r>
        <w:rPr>
          <w:rFonts w:ascii="Times New Roman" w:cs="Times New Roman" w:eastAsia="Times New Roman" w:hAnsi="Times New Roman"/>
          <w:sz w:val="18"/>
          <w:szCs w:val="18"/>
          <w:color w:val="000000"/>
        </w:rPr>
        <w:t>, or Quarterly Report on Form 10-Q filed with the SEC.</w:t>
      </w:r>
    </w:p>
    <w:p>
      <w:pPr>
        <w:spacing w:after="0" w:line="194"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the financial highlights for one share of Common Shares outstanding for the nine months ended September 30, 2024:</w:t>
      </w:r>
    </w:p>
    <w:p>
      <w:pPr>
        <w:spacing w:after="0" w:line="187" w:lineRule="exact"/>
        <w:rPr>
          <w:rFonts w:ascii="Times New Roman" w:cs="Times New Roman" w:eastAsia="Times New Roman" w:hAnsi="Times New Roman"/>
          <w:sz w:val="18"/>
          <w:szCs w:val="18"/>
          <w:color w:val="auto"/>
        </w:rPr>
      </w:pPr>
    </w:p>
    <w:tbl>
      <w:tblPr>
        <w:tblLayout w:type="fixed"/>
        <w:tblInd w:w="1880" w:type="dxa"/>
        <w:tblCellMar>
          <w:top w:w="0" w:type="dxa"/>
          <w:left w:w="0" w:type="dxa"/>
          <w:bottom w:w="0" w:type="dxa"/>
          <w:right w:w="0" w:type="dxa"/>
        </w:tblCellMar>
      </w:tblPr>
      <w:tr>
        <w:trPr>
          <w:trHeight w:val="299"/>
        </w:trPr>
        <w:tc>
          <w:tcPr>
            <w:tcW w:w="20" w:type="dxa"/>
            <w:vAlign w:val="bottom"/>
          </w:tcPr>
          <w:p>
            <w:pPr>
              <w:spacing w:after="0"/>
              <w:rPr>
                <w:sz w:val="24"/>
                <w:szCs w:val="24"/>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w:t>
            </w:r>
            <w:r>
              <w:rPr>
                <w:rFonts w:ascii="Times New Roman" w:cs="Times New Roman" w:eastAsia="Times New Roman" w:hAnsi="Times New Roman"/>
                <w:sz w:val="26"/>
                <w:szCs w:val="26"/>
                <w:b w:val="1"/>
                <w:bCs w:val="1"/>
                <w:color w:val="auto"/>
                <w:vertAlign w:val="superscript"/>
              </w:rPr>
              <w:t>(1)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investment income</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realized and unrealized gains (loss)</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from operations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Net Common Share Issuance</w:t>
            </w:r>
            <w:r>
              <w:rPr>
                <w:rFonts w:ascii="Times New Roman" w:cs="Times New Roman" w:eastAsia="Times New Roman" w:hAnsi="Times New Roman"/>
                <w:sz w:val="26"/>
                <w:szCs w:val="26"/>
                <w:color w:val="auto"/>
                <w:vertAlign w:val="superscript"/>
              </w:rPr>
              <w:t>(3)</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Dividends Declared</w:t>
            </w:r>
            <w:r>
              <w:rPr>
                <w:rFonts w:ascii="Times New Roman" w:cs="Times New Roman" w:eastAsia="Times New Roman" w:hAnsi="Times New Roman"/>
                <w:sz w:val="25"/>
                <w:szCs w:val="25"/>
                <w:color w:val="auto"/>
                <w:vertAlign w:val="superscript"/>
              </w:rPr>
              <w:t>(4)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increase (decrease) in net assets</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29.69</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26"/>
                <w:szCs w:val="26"/>
                <w:color w:val="auto"/>
                <w:vertAlign w:val="superscript"/>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outstanding, end of period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103,879,431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Ratios/Supplemental Data</w:t>
            </w:r>
            <w:r>
              <w:rPr>
                <w:rFonts w:ascii="Times New Roman" w:cs="Times New Roman" w:eastAsia="Times New Roman" w:hAnsi="Times New Roman"/>
                <w:sz w:val="25"/>
                <w:szCs w:val="25"/>
                <w:b w:val="1"/>
                <w:bCs w:val="1"/>
                <w:color w:val="auto"/>
                <w:vertAlign w:val="superscript"/>
              </w:rPr>
              <w:t>(6)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gross expenses to average net assets without management fee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waiver</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net expenses to average net assets with management fee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w:t>
            </w: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without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management fee waiver</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 management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 waiver</w:t>
            </w: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Portfolio turnover rate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3,084,597</w:t>
            </w:r>
          </w:p>
        </w:tc>
        <w:tc>
          <w:tcPr>
            <w:tcW w:w="0" w:type="dxa"/>
            <w:vAlign w:val="bottom"/>
          </w:tcPr>
          <w:p>
            <w:pPr>
              <w:spacing w:after="0"/>
              <w:rPr>
                <w:sz w:val="1"/>
                <w:szCs w:val="1"/>
                <w:color w:val="auto"/>
              </w:rPr>
            </w:pPr>
          </w:p>
        </w:tc>
      </w:tr>
    </w:tbl>
    <w:p>
      <w:pPr>
        <w:spacing w:after="0" w:line="2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Common Shares outstanding during the period.</w:t>
      </w:r>
    </w:p>
    <w:p>
      <w:pPr>
        <w:spacing w:after="0" w:line="9"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at this caption is the balancing amount derived from share issuances. The amount shown for share issuance will fluctuate due to the timing of share issuances and the weighting of average shares over the period.</w:t>
      </w: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actual shares outstanding at the date of the relevant transactions.</w:t>
      </w:r>
    </w:p>
    <w:p>
      <w:pPr>
        <w:spacing w:after="0" w:line="9" w:lineRule="exact"/>
        <w:rPr>
          <w:rFonts w:ascii="Times New Roman" w:cs="Times New Roman" w:eastAsia="Times New Roman" w:hAnsi="Times New Roman"/>
          <w:sz w:val="18"/>
          <w:szCs w:val="18"/>
          <w:color w:val="auto"/>
        </w:rPr>
      </w:pPr>
    </w:p>
    <w:p>
      <w:pPr>
        <w:ind w:left="540" w:right="180" w:hanging="424"/>
        <w:spacing w:after="0" w:line="26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assuming reinvestment of dividends, divided by the beginning net asset value per share.</w:t>
      </w:r>
    </w:p>
    <w:p>
      <w:pPr>
        <w:spacing w:after="0" w:line="114"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ratios, excluding nonrecurring expenses, such as organization costs, are annualized.</w:t>
      </w:r>
    </w:p>
    <w:p>
      <w:pPr>
        <w:spacing w:after="0" w:line="22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the financial highlights for one share of Common Shares outstanding for the year ended December 31, 2023:</w:t>
      </w:r>
    </w:p>
    <w:p>
      <w:pPr>
        <w:spacing w:after="0" w:line="187" w:lineRule="exact"/>
        <w:rPr>
          <w:sz w:val="20"/>
          <w:szCs w:val="20"/>
          <w:color w:val="auto"/>
        </w:rPr>
      </w:pPr>
    </w:p>
    <w:tbl>
      <w:tblPr>
        <w:tblLayout w:type="fixed"/>
        <w:tblInd w:w="1880" w:type="dxa"/>
        <w:tblCellMar>
          <w:top w:w="0" w:type="dxa"/>
          <w:left w:w="0" w:type="dxa"/>
          <w:bottom w:w="0" w:type="dxa"/>
          <w:right w:w="0" w:type="dxa"/>
        </w:tblCellMar>
      </w:tblPr>
      <w:tr>
        <w:trPr>
          <w:trHeight w:val="299"/>
        </w:trPr>
        <w:tc>
          <w:tcPr>
            <w:tcW w:w="20" w:type="dxa"/>
            <w:vAlign w:val="bottom"/>
          </w:tcPr>
          <w:p>
            <w:pPr>
              <w:spacing w:after="0"/>
              <w:rPr>
                <w:sz w:val="24"/>
                <w:szCs w:val="24"/>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w:t>
            </w:r>
            <w:r>
              <w:rPr>
                <w:rFonts w:ascii="Times New Roman" w:cs="Times New Roman" w:eastAsia="Times New Roman" w:hAnsi="Times New Roman"/>
                <w:sz w:val="26"/>
                <w:szCs w:val="26"/>
                <w:b w:val="1"/>
                <w:bCs w:val="1"/>
                <w:color w:val="auto"/>
                <w:vertAlign w:val="superscript"/>
              </w:rPr>
              <w:t>(4)</w:t>
            </w: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gain (loss)(1)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from operations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Common Share Issuance(3)</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increase (decrease) in net assets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return based on net asset value(2)</w:t>
            </w: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outstanding, end of period</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65,478,775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Ratios/Supplemental Data</w:t>
            </w:r>
            <w:r>
              <w:rPr>
                <w:rFonts w:ascii="Times New Roman" w:cs="Times New Roman" w:eastAsia="Times New Roman" w:hAnsi="Times New Roman"/>
                <w:sz w:val="25"/>
                <w:szCs w:val="25"/>
                <w:color w:val="auto"/>
                <w:vertAlign w:val="superscript"/>
              </w:rPr>
              <w:t>(5)</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gross expenses to average net assets without management fee</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waiver</w:t>
            </w: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gross expenses to average net assets with management fee</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without</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management fee waiver</w:t>
            </w: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 management</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 waiver</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Portfolio turnover</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1,817,067</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Common Shares outstanding during the period.</w:t>
      </w:r>
    </w:p>
    <w:p>
      <w:pPr>
        <w:spacing w:after="0" w:line="27"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assuming reinvestment of dividends, divided by the beginning net asset value per share.</w:t>
      </w:r>
    </w:p>
    <w:p>
      <w:pPr>
        <w:ind w:left="54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at this caption is the balancing amount derived from share issuances. The amount shown for share issuance will fluctuate due to the timing of share issuances and the weighting of average shares over the period.</w:t>
      </w: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9" w:lineRule="exact"/>
        <w:rPr>
          <w:rFonts w:ascii="Times New Roman" w:cs="Times New Roman" w:eastAsia="Times New Roman" w:hAnsi="Times New Roman"/>
          <w:sz w:val="18"/>
          <w:szCs w:val="18"/>
          <w:color w:val="auto"/>
        </w:rPr>
      </w:pPr>
    </w:p>
    <w:p>
      <w:pPr>
        <w:ind w:left="540" w:right="580" w:hanging="424"/>
        <w:spacing w:after="0" w:line="26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April 5th (Inception) through December 31, 2022, the ratios represent information on an annualized basis, except for nonrecurring expenses, such as organizational and offering expenses, which are not annualized.</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320" w:top="455" w:right="5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firstLine="440"/>
        <w:spacing w:after="0" w:line="26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information in “Management’s Discussion and Analysis of Financial Condition and Results of Operations” in Part II, Item 7 of the Company’s </w:t>
      </w:r>
      <w:hyperlink r:id="rId26">
        <w:r>
          <w:rPr>
            <w:rFonts w:ascii="Times New Roman" w:cs="Times New Roman" w:eastAsia="Times New Roman" w:hAnsi="Times New Roman"/>
            <w:sz w:val="18"/>
            <w:szCs w:val="18"/>
            <w:i w:val="1"/>
            <w:iCs w:val="1"/>
            <w:u w:val="single" w:color="auto"/>
            <w:color w:val="0000EE"/>
          </w:rPr>
          <w:t>Annual Report on Form 10-K for the fiscal year ended December 31, 2023</w:t>
        </w:r>
      </w:hyperlink>
      <w:r>
        <w:rPr>
          <w:rFonts w:ascii="Times New Roman" w:cs="Times New Roman" w:eastAsia="Times New Roman" w:hAnsi="Times New Roman"/>
          <w:sz w:val="18"/>
          <w:szCs w:val="18"/>
          <w:i w:val="1"/>
          <w:iCs w:val="1"/>
          <w:color w:val="auto"/>
        </w:rPr>
        <w:t>, and Part I, Item 2 of the Company’s Quarterly Report on Form 10-Q for the quarterly period ended September 30, 2024 is incorporated herein by reference.</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20"/>
          </w:cols>
          <w:pgMar w:left="320" w:top="455" w:right="10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ind w:left="120" w:firstLine="440"/>
        <w:spacing w:after="0" w:line="267" w:lineRule="auto"/>
        <w:rPr>
          <w:rFonts w:ascii="Times New Roman" w:cs="Times New Roman" w:eastAsia="Times New Roman" w:hAnsi="Times New Roman"/>
          <w:sz w:val="18"/>
          <w:szCs w:val="18"/>
          <w:i w:val="1"/>
          <w:iCs w:val="1"/>
          <w:color w:val="0000EE"/>
        </w:rPr>
      </w:pPr>
      <w:hyperlink r:id="rId26">
        <w:r>
          <w:rPr>
            <w:rFonts w:ascii="Times New Roman" w:cs="Times New Roman" w:eastAsia="Times New Roman" w:hAnsi="Times New Roman"/>
            <w:sz w:val="18"/>
            <w:szCs w:val="18"/>
            <w:i w:val="1"/>
            <w:iCs w:val="1"/>
            <w:color w:val="auto"/>
          </w:rPr>
          <w:t xml:space="preserve">The information in “Quantitative and Qualitative Disclosures About Market Risk” in Part II, Item 7A of the Company’s </w:t>
        </w:r>
        <w:r>
          <w:rPr>
            <w:rFonts w:ascii="Times New Roman" w:cs="Times New Roman" w:eastAsia="Times New Roman" w:hAnsi="Times New Roman"/>
            <w:sz w:val="18"/>
            <w:szCs w:val="18"/>
            <w:i w:val="1"/>
            <w:iCs w:val="1"/>
            <w:u w:val="single" w:color="auto"/>
            <w:color w:val="0000EE"/>
          </w:rPr>
          <w:t>Annual Report on Form</w:t>
        </w:r>
      </w:hyperlink>
      <w:r>
        <w:rPr>
          <w:rFonts w:ascii="Times New Roman" w:cs="Times New Roman" w:eastAsia="Times New Roman" w:hAnsi="Times New Roman"/>
          <w:sz w:val="18"/>
          <w:szCs w:val="18"/>
          <w:i w:val="1"/>
          <w:iCs w:val="1"/>
          <w:color w:val="auto"/>
        </w:rPr>
        <w:t xml:space="preserve"> </w:t>
      </w:r>
      <w:hyperlink r:id="rId26">
        <w:r>
          <w:rPr>
            <w:rFonts w:ascii="Times New Roman" w:cs="Times New Roman" w:eastAsia="Times New Roman" w:hAnsi="Times New Roman"/>
            <w:sz w:val="18"/>
            <w:szCs w:val="18"/>
            <w:i w:val="1"/>
            <w:iCs w:val="1"/>
            <w:u w:val="single" w:color="auto"/>
            <w:color w:val="0000EE"/>
          </w:rPr>
          <w:t>10-K for the fiscal year ended December 31, 2023</w:t>
        </w:r>
        <w:r>
          <w:rPr>
            <w:rFonts w:ascii="Times New Roman" w:cs="Times New Roman" w:eastAsia="Times New Roman" w:hAnsi="Times New Roman"/>
            <w:sz w:val="18"/>
            <w:szCs w:val="18"/>
            <w:i w:val="1"/>
            <w:iCs w:val="1"/>
            <w:color w:val="000000"/>
          </w:rPr>
          <w:t>, and Part I, Item 3 of the Company’s Quarterly Report on Form 10-Q for the quarterly period ended</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September 30, 2024 is incorporated herein by reference.</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40"/>
          </w:cols>
          <w:pgMar w:left="320" w:top="455" w:right="5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pursuant to the exchange offer in exchange for Restricted Notes where such Restricted Notes were acquired as a result of market-making or other trading activities must acknowledge that it will deliver a prospectus in connection with any resale or other transfer of such Exchange Notes. This prospectus, as it may be amended or supplemented from time to time, may be used by such a broker-dealer in connection with resales or other transfers of such Exchange Notes. To the extent any such broker-dealer participates in the exchange offer, we have agreed that, for a period of up to 180 days after the completion of the exchange offer, upon request of such broker-dealer, we will make this prospectus, as amended or supplemented, available to such broker-dealer for use in connection with any such resales or other transfers of Exchange Notes, and will deliver as many additional copies of this prospectus and each amendment or supplement to this prospectus and any documents incorporated by reference in this prospectus as such broker-dealer may reasonably request.</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any resales or other transfers of Exchange Notes by such broker-dealers. Exchange Notes received by such broker-dealers for their own accounts pursuant to the exchange offer may be resold from time to time in one or more transactions in the over-the-counter market, in negotiated transactions, through the writing of options on the Exchange Notes or a combination of these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or the purchasers of any such Exchange Notes. Any such broker-dealer that resells Exchange Notes that were received by it for its own account pursuant to the exchange offer and any broker or dealer that participates in a distribution of such Exchange Notes may be deemed to be an “underwriter” of the Exchange Notes within the meaning of the 1933 Act, and any profit on any such resale of Exchange Notes and any commissions or concessions received by any such persons may be deemed to be underwriting compensation under the 1933 Act. The accompanying Letter of Transmittal states that, by acknowledging that it will deliver and by delivering a prospectus, such broker-dealer will not be deemed to admit that it is an “underwriter” of the Exchange Notes within the meaning of the 1933 Act.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BUSINESS OF THE COMPANY</w:t>
      </w:r>
    </w:p>
    <w:p>
      <w:pPr>
        <w:spacing w:after="0" w:line="227" w:lineRule="exact"/>
        <w:rPr>
          <w:sz w:val="20"/>
          <w:szCs w:val="20"/>
          <w:color w:val="auto"/>
        </w:rPr>
      </w:pPr>
    </w:p>
    <w:p>
      <w:pPr>
        <w:ind w:left="120" w:firstLine="440"/>
        <w:spacing w:after="0" w:line="28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information in “Business” in Part I, Item 1 of the Company’s </w:t>
      </w:r>
      <w:hyperlink r:id="rId26">
        <w:r>
          <w:rPr>
            <w:rFonts w:ascii="Times New Roman" w:cs="Times New Roman" w:eastAsia="Times New Roman" w:hAnsi="Times New Roman"/>
            <w:sz w:val="18"/>
            <w:szCs w:val="18"/>
            <w:i w:val="1"/>
            <w:iCs w:val="1"/>
            <w:u w:val="single" w:color="auto"/>
            <w:color w:val="0000EE"/>
          </w:rPr>
          <w:t>Annual Report on Form 10-K for the fiscal year ended December 31, 2023</w:t>
        </w:r>
      </w:hyperlink>
      <w:r>
        <w:rPr>
          <w:rFonts w:ascii="Times New Roman" w:cs="Times New Roman" w:eastAsia="Times New Roman" w:hAnsi="Times New Roman"/>
          <w:sz w:val="18"/>
          <w:szCs w:val="18"/>
          <w:i w:val="1"/>
          <w:iCs w:val="1"/>
          <w:color w:val="auto"/>
        </w:rPr>
        <w:t>, is incorporated herein by reference.</w:t>
      </w:r>
    </w:p>
    <w:p>
      <w:pPr>
        <w:spacing w:after="0" w:line="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00"/>
          </w:cols>
          <w:pgMar w:left="320" w:top="455" w:right="6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REGULATION OF THE COMPANY</w:t>
      </w:r>
    </w:p>
    <w:p>
      <w:pPr>
        <w:spacing w:after="0" w:line="227" w:lineRule="exact"/>
        <w:rPr>
          <w:sz w:val="20"/>
          <w:szCs w:val="20"/>
          <w:color w:val="auto"/>
        </w:rPr>
      </w:pPr>
    </w:p>
    <w:p>
      <w:pPr>
        <w:ind w:left="120" w:firstLine="440"/>
        <w:spacing w:after="0" w:line="284" w:lineRule="auto"/>
        <w:rPr>
          <w:rFonts w:ascii="Times New Roman" w:cs="Times New Roman" w:eastAsia="Times New Roman" w:hAnsi="Times New Roman"/>
          <w:sz w:val="18"/>
          <w:szCs w:val="18"/>
          <w:i w:val="1"/>
          <w:iCs w:val="1"/>
          <w:color w:val="0000EE"/>
        </w:rPr>
      </w:pPr>
      <w:hyperlink r:id="rId26">
        <w:r>
          <w:rPr>
            <w:rFonts w:ascii="Times New Roman" w:cs="Times New Roman" w:eastAsia="Times New Roman" w:hAnsi="Times New Roman"/>
            <w:sz w:val="18"/>
            <w:szCs w:val="18"/>
            <w:i w:val="1"/>
            <w:iCs w:val="1"/>
            <w:color w:val="auto"/>
          </w:rPr>
          <w:t xml:space="preserve">The information in “Business—Regulation as a Business Development Company” in Part I, Item 1 of the Company’s </w:t>
        </w:r>
        <w:r>
          <w:rPr>
            <w:rFonts w:ascii="Times New Roman" w:cs="Times New Roman" w:eastAsia="Times New Roman" w:hAnsi="Times New Roman"/>
            <w:sz w:val="18"/>
            <w:szCs w:val="18"/>
            <w:i w:val="1"/>
            <w:iCs w:val="1"/>
            <w:u w:val="single" w:color="auto"/>
            <w:color w:val="0000EE"/>
          </w:rPr>
          <w:t>Annual Report on Form</w:t>
        </w:r>
      </w:hyperlink>
      <w:r>
        <w:rPr>
          <w:rFonts w:ascii="Times New Roman" w:cs="Times New Roman" w:eastAsia="Times New Roman" w:hAnsi="Times New Roman"/>
          <w:sz w:val="18"/>
          <w:szCs w:val="18"/>
          <w:i w:val="1"/>
          <w:iCs w:val="1"/>
          <w:color w:val="auto"/>
        </w:rPr>
        <w:t xml:space="preserve"> </w:t>
      </w:r>
      <w:hyperlink r:id="rId26">
        <w:r>
          <w:rPr>
            <w:rFonts w:ascii="Times New Roman" w:cs="Times New Roman" w:eastAsia="Times New Roman" w:hAnsi="Times New Roman"/>
            <w:sz w:val="18"/>
            <w:szCs w:val="18"/>
            <w:i w:val="1"/>
            <w:iCs w:val="1"/>
            <w:u w:val="single" w:color="auto"/>
            <w:color w:val="0000EE"/>
          </w:rPr>
          <w:t>10-K for the fiscal year ended December 31, 2023</w:t>
        </w:r>
        <w:r>
          <w:rPr>
            <w:rFonts w:ascii="Times New Roman" w:cs="Times New Roman" w:eastAsia="Times New Roman" w:hAnsi="Times New Roman"/>
            <w:sz w:val="18"/>
            <w:szCs w:val="18"/>
            <w:i w:val="1"/>
            <w:iCs w:val="1"/>
            <w:color w:val="000000"/>
          </w:rPr>
          <w:t>, is incorporated herein by reference.</w:t>
        </w:r>
      </w:hyperlink>
    </w:p>
    <w:p>
      <w:pPr>
        <w:spacing w:after="0" w:line="9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740"/>
          </w:cols>
          <w:pgMar w:left="320" w:top="455" w:right="8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Information about our senior securities is shown as of the dates indicated in the below table. The report of our independent registered public accounting firm, KPMG LLP, on the senior securities table as of December 31, 2023, has been filed as an exhibit to the registration statement of which this prospectus is a part.</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Amount of</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xml:space="preserve"> ($</w:t>
            </w:r>
          </w:p>
        </w:tc>
        <w:tc>
          <w:tcPr>
            <w:tcW w:w="300" w:type="dxa"/>
            <w:vAlign w:val="bottom"/>
          </w:tcPr>
          <w:p>
            <w:pPr>
              <w:spacing w:after="0"/>
              <w:rPr>
                <w:sz w:val="12"/>
                <w:szCs w:val="12"/>
                <w:color w:val="auto"/>
              </w:rPr>
            </w:pPr>
          </w:p>
        </w:tc>
        <w:tc>
          <w:tcPr>
            <w:tcW w:w="1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Coverage Per</w:t>
            </w:r>
          </w:p>
        </w:tc>
        <w:tc>
          <w:tcPr>
            <w:tcW w:w="15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14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Average Market Value</w:t>
            </w:r>
          </w:p>
        </w:tc>
        <w:tc>
          <w:tcPr>
            <w:tcW w:w="0" w:type="dxa"/>
            <w:vAlign w:val="bottom"/>
          </w:tcPr>
          <w:p>
            <w:pPr>
              <w:spacing w:after="0"/>
              <w:rPr>
                <w:sz w:val="1"/>
                <w:szCs w:val="1"/>
                <w:color w:val="auto"/>
              </w:rPr>
            </w:pPr>
          </w:p>
        </w:tc>
      </w:tr>
      <w:tr>
        <w:trPr>
          <w:trHeight w:val="148"/>
        </w:trPr>
        <w:tc>
          <w:tcPr>
            <w:tcW w:w="302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30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5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Preference Per</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20" w:type="dxa"/>
            <w:vAlign w:val="bottom"/>
            <w:gridSpan w:val="6"/>
            <w:vMerge w:val="continue"/>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right"/>
              <w:ind w:right="1020"/>
              <w:spacing w:after="0" w:line="160" w:lineRule="exact"/>
              <w:rPr>
                <w:sz w:val="20"/>
                <w:szCs w:val="20"/>
                <w:color w:val="auto"/>
              </w:rPr>
            </w:pPr>
            <w:r>
              <w:rPr>
                <w:rFonts w:ascii="Times New Roman" w:cs="Times New Roman" w:eastAsia="Times New Roman" w:hAnsi="Times New Roman"/>
                <w:sz w:val="14"/>
                <w:szCs w:val="14"/>
                <w:b w:val="1"/>
                <w:bCs w:val="1"/>
                <w:color w:val="auto"/>
              </w:rPr>
              <w:t>Unit</w:t>
            </w:r>
            <w:r>
              <w:rPr>
                <w:rFonts w:ascii="Times New Roman" w:cs="Times New Roman" w:eastAsia="Times New Roman" w:hAnsi="Times New Roman"/>
                <w:sz w:val="10"/>
                <w:szCs w:val="10"/>
                <w:b w:val="1"/>
                <w:bCs w:val="1"/>
                <w:color w:val="auto"/>
              </w:rPr>
              <w:t>(2)</w:t>
            </w:r>
          </w:p>
        </w:tc>
        <w:tc>
          <w:tcPr>
            <w:tcW w:w="152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Unit</w:t>
            </w:r>
            <w:r>
              <w:rPr>
                <w:rFonts w:ascii="Times New Roman" w:cs="Times New Roman" w:eastAsia="Times New Roman" w:hAnsi="Times New Roman"/>
                <w:sz w:val="10"/>
                <w:szCs w:val="10"/>
                <w:b w:val="1"/>
                <w:bCs w:val="1"/>
                <w:color w:val="auto"/>
              </w:rPr>
              <w:t>(3)</w:t>
            </w:r>
          </w:p>
        </w:tc>
        <w:tc>
          <w:tcPr>
            <w:tcW w:w="1440" w:type="dxa"/>
            <w:vAlign w:val="bottom"/>
            <w:gridSpan w:val="2"/>
          </w:tcPr>
          <w:p>
            <w:pPr>
              <w:ind w:left="38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r>
              <w:rPr>
                <w:rFonts w:ascii="Times New Roman" w:cs="Times New Roman" w:eastAsia="Times New Roman" w:hAnsi="Times New Roman"/>
                <w:sz w:val="10"/>
                <w:szCs w:val="10"/>
                <w:b w:val="1"/>
                <w:bCs w:val="1"/>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920" w:type="dxa"/>
            <w:vAlign w:val="bottom"/>
            <w:tcBorders>
              <w:bottom w:val="single" w:sz="8" w:color="auto"/>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Revolving Credit Facility</w:t>
            </w:r>
          </w:p>
        </w:tc>
        <w:tc>
          <w:tcPr>
            <w:tcW w:w="10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2024 (unaudited)</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1,234.4</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1,874.1</w:t>
            </w: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193.3</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2,456.0</w:t>
            </w:r>
          </w:p>
        </w:tc>
        <w:tc>
          <w:tcPr>
            <w:tcW w:w="15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538.0</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2,016.2</w:t>
            </w: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Subscription Facility</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2024 (unaudited)</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951.3</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1,874.1</w:t>
            </w: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1,054.7</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2,456.0</w:t>
            </w:r>
          </w:p>
        </w:tc>
        <w:tc>
          <w:tcPr>
            <w:tcW w:w="15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2029 Notes</w:t>
            </w:r>
          </w:p>
        </w:tc>
        <w:tc>
          <w:tcPr>
            <w:tcW w:w="2180" w:type="dxa"/>
            <w:vAlign w:val="bottom"/>
            <w:tcBorders>
              <w:bottom w:val="single" w:sz="8" w:color="CCEEFF"/>
            </w:tcBorders>
            <w:gridSpan w:val="4"/>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2024 (unaudited)</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744.0</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1,874.1</w:t>
            </w: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2030 Notes</w:t>
            </w:r>
          </w:p>
        </w:tc>
        <w:tc>
          <w:tcPr>
            <w:tcW w:w="2180" w:type="dxa"/>
            <w:vAlign w:val="bottom"/>
            <w:tcBorders>
              <w:bottom w:val="single" w:sz="8" w:color="CCEEFF"/>
            </w:tcBorders>
            <w:gridSpan w:val="4"/>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2024 (unaudited)</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599.1</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1,874.1</w:t>
            </w: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740" w:hanging="424"/>
        <w:spacing w:after="0" w:line="261"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carrying value, excluding the impact of deferred financing costs and hedge accounting relationships, at the end of the period presented.</w:t>
      </w:r>
    </w:p>
    <w:p>
      <w:pPr>
        <w:ind w:left="540" w:right="32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because the senior securities are not registered for public trading.</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PORTFOLIO COMPANIES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September 30, 2024, for each portfolio company in which the Company had an investment. Percentages shown for class of securities held by the Company represent percentage of the class owned and do not necessarily represent voting ownership or economic ownership.</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board of trustees (the “Board of Trustees”) approved the valuation of the Company’s investment portfolio, as of September 30, 2024, at fair value as determined in good faith using a consistently applied valuation process in accordance with the Company’s documented valuation policy that has been reviewed and approved by the Board of Trustees, who also approve in good faith the valuation of such securities as of the end of each quarter. For more information relating to the Company’s investments, see the Company’s financial statements incorporated by reference in this prospectus.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r>
      <w:tr>
        <w:trPr>
          <w:trHeight w:val="122"/>
        </w:trPr>
        <w:tc>
          <w:tcPr>
            <w:tcW w:w="6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060" w:type="dxa"/>
            <w:vAlign w:val="bottom"/>
            <w:gridSpan w:val="2"/>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60" w:type="dxa"/>
            <w:vAlign w:val="bottom"/>
          </w:tcPr>
          <w:p>
            <w:pPr>
              <w:spacing w:after="0"/>
              <w:rPr>
                <w:sz w:val="10"/>
                <w:szCs w:val="10"/>
                <w:color w:val="auto"/>
              </w:rPr>
            </w:pPr>
          </w:p>
        </w:tc>
        <w:tc>
          <w:tcPr>
            <w:tcW w:w="6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right"/>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5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0"/>
                <w:szCs w:val="10"/>
                <w:b w:val="1"/>
                <w:bCs w:val="1"/>
                <w:color w:val="auto"/>
                <w:w w:val="95"/>
              </w:rPr>
              <w:t>Company</w:t>
            </w:r>
            <w:r>
              <w:rPr>
                <w:rFonts w:ascii="Times New Roman" w:cs="Times New Roman" w:eastAsia="Times New Roman" w:hAnsi="Times New Roman"/>
                <w:sz w:val="15"/>
                <w:szCs w:val="15"/>
                <w:b w:val="1"/>
                <w:bCs w:val="1"/>
                <w:color w:val="auto"/>
                <w:w w:val="95"/>
                <w:vertAlign w:val="superscript"/>
              </w:rPr>
              <w:t>(1)(9)</w:t>
            </w:r>
          </w:p>
        </w:tc>
        <w:tc>
          <w:tcPr>
            <w:tcW w:w="2480" w:type="dxa"/>
            <w:vAlign w:val="bottom"/>
          </w:tcPr>
          <w:p>
            <w:pPr>
              <w:spacing w:after="0"/>
              <w:rPr>
                <w:sz w:val="13"/>
                <w:szCs w:val="13"/>
                <w:color w:val="auto"/>
              </w:rPr>
            </w:pPr>
          </w:p>
        </w:tc>
        <w:tc>
          <w:tcPr>
            <w:tcW w:w="1620" w:type="dxa"/>
            <w:vAlign w:val="bottom"/>
            <w:gridSpan w:val="2"/>
          </w:tcPr>
          <w:p>
            <w:pPr>
              <w:ind w:left="50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60" w:type="dxa"/>
            <w:vAlign w:val="bottom"/>
          </w:tcPr>
          <w:p>
            <w:pPr>
              <w:spacing w:after="0"/>
              <w:rPr>
                <w:sz w:val="13"/>
                <w:szCs w:val="13"/>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80" w:type="dxa"/>
            <w:vAlign w:val="bottom"/>
          </w:tcPr>
          <w:p>
            <w:pPr>
              <w:spacing w:after="0"/>
              <w:rPr>
                <w:sz w:val="13"/>
                <w:szCs w:val="13"/>
                <w:color w:val="auto"/>
              </w:rPr>
            </w:pPr>
          </w:p>
        </w:tc>
        <w:tc>
          <w:tcPr>
            <w:tcW w:w="96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Class Held</w:t>
            </w:r>
          </w:p>
        </w:tc>
      </w:tr>
      <w:tr>
        <w:trPr>
          <w:trHeight w:val="122"/>
        </w:trPr>
        <w:tc>
          <w:tcPr>
            <w:tcW w:w="312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Debt Investments</w:t>
            </w:r>
          </w:p>
        </w:tc>
        <w:tc>
          <w:tcPr>
            <w:tcW w:w="1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49"/>
        </w:trPr>
        <w:tc>
          <w:tcPr>
            <w:tcW w:w="3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26"/>
        </w:trPr>
        <w:tc>
          <w:tcPr>
            <w:tcW w:w="31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Truck-Lite Co., LLC </w:t>
            </w:r>
            <w:r>
              <w:rPr>
                <w:rFonts w:ascii="Times New Roman" w:cs="Times New Roman" w:eastAsia="Times New Roman" w:hAnsi="Times New Roman"/>
                <w:sz w:val="10"/>
                <w:szCs w:val="10"/>
                <w:color w:val="auto"/>
              </w:rPr>
              <w:t>(3)</w:t>
            </w:r>
          </w:p>
        </w:tc>
        <w:tc>
          <w:tcPr>
            <w:tcW w:w="1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($281,645</w:t>
            </w:r>
          </w:p>
        </w:tc>
        <w:tc>
          <w:tcPr>
            <w:tcW w:w="8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2/13/2024</w:t>
            </w:r>
          </w:p>
        </w:tc>
        <w:tc>
          <w:tcPr>
            <w:tcW w:w="122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SOFR + 5.75%</w:t>
            </w:r>
          </w:p>
        </w:tc>
        <w:tc>
          <w:tcPr>
            <w:tcW w:w="106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10.86%</w:t>
            </w:r>
          </w:p>
        </w:tc>
        <w:tc>
          <w:tcPr>
            <w:tcW w:w="740" w:type="dxa"/>
            <w:vAlign w:val="bottom"/>
            <w:gridSpan w:val="3"/>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$278,727</w:t>
            </w:r>
          </w:p>
        </w:tc>
        <w:tc>
          <w:tcPr>
            <w:tcW w:w="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280,864</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9.1%</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31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20600 Civic Center Drive</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2/2031)</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31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Southfield, MI 48076</w:t>
            </w: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3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6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6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w:t>
            </w:r>
          </w:p>
        </w:tc>
        <w:tc>
          <w:tcPr>
            <w:tcW w:w="8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2/13/2024</w:t>
            </w:r>
          </w:p>
        </w:tc>
        <w:tc>
          <w:tcPr>
            <w:tcW w:w="122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SOFR + 5.75%</w:t>
            </w:r>
          </w:p>
        </w:tc>
        <w:tc>
          <w:tcPr>
            <w:tcW w:w="106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10.85%</w:t>
            </w:r>
          </w:p>
        </w:tc>
        <w:tc>
          <w:tcPr>
            <w:tcW w:w="740" w:type="dxa"/>
            <w:vAlign w:val="bottom"/>
            <w:gridSpan w:val="3"/>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0"/>
                <w:szCs w:val="10"/>
                <w:color w:val="auto"/>
              </w:rPr>
            </w:pPr>
          </w:p>
        </w:tc>
        <w:tc>
          <w:tcPr>
            <w:tcW w:w="9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230</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8"/>
        </w:trPr>
        <w:tc>
          <w:tcPr>
            <w:tcW w:w="6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($306 par, due 2/2031)</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8"/>
        </w:trPr>
        <w:tc>
          <w:tcPr>
            <w:tcW w:w="64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278,759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281,094</w:t>
            </w: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6"/>
        </w:trPr>
        <w:tc>
          <w:tcPr>
            <w:tcW w:w="31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6"/>
        </w:trPr>
        <w:tc>
          <w:tcPr>
            <w:tcW w:w="31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Artisan Bidco, Inc.</w:t>
            </w:r>
            <w:r>
              <w:rPr>
                <w:rFonts w:ascii="Times New Roman" w:cs="Times New Roman" w:eastAsia="Times New Roman" w:hAnsi="Times New Roman"/>
                <w:sz w:val="10"/>
                <w:szCs w:val="10"/>
                <w:color w:val="auto"/>
              </w:rPr>
              <w:t>(3)</w:t>
            </w:r>
          </w:p>
        </w:tc>
        <w:tc>
          <w:tcPr>
            <w:tcW w:w="1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($111,729</w:t>
            </w:r>
          </w:p>
        </w:tc>
        <w:tc>
          <w:tcPr>
            <w:tcW w:w="8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11/7/2023</w:t>
            </w:r>
          </w:p>
        </w:tc>
        <w:tc>
          <w:tcPr>
            <w:tcW w:w="122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SOFR + 7.00%</w:t>
            </w:r>
          </w:p>
        </w:tc>
        <w:tc>
          <w:tcPr>
            <w:tcW w:w="106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12.12%</w:t>
            </w:r>
          </w:p>
        </w:tc>
        <w:tc>
          <w:tcPr>
            <w:tcW w:w="740" w:type="dxa"/>
            <w:vAlign w:val="bottom"/>
            <w:gridSpan w:val="3"/>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109,450</w:t>
            </w: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111,729</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3.6%</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31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185 Devonshire Street</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11/2029)</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31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100</w:t>
            </w: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31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02110</w:t>
            </w: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3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6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6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w:t>
            </w:r>
          </w:p>
        </w:tc>
        <w:tc>
          <w:tcPr>
            <w:tcW w:w="8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11/7/2023</w:t>
            </w:r>
          </w:p>
        </w:tc>
        <w:tc>
          <w:tcPr>
            <w:tcW w:w="122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E + 7.00%</w:t>
            </w:r>
          </w:p>
        </w:tc>
        <w:tc>
          <w:tcPr>
            <w:tcW w:w="106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10.54%</w:t>
            </w:r>
          </w:p>
        </w:tc>
        <w:tc>
          <w:tcPr>
            <w:tcW w:w="740" w:type="dxa"/>
            <w:vAlign w:val="bottom"/>
            <w:gridSpan w:val="3"/>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54,875</w:t>
            </w:r>
          </w:p>
        </w:tc>
        <w:tc>
          <w:tcPr>
            <w:tcW w:w="80" w:type="dxa"/>
            <w:vAlign w:val="bottom"/>
          </w:tcPr>
          <w:p>
            <w:pPr>
              <w:spacing w:after="0"/>
              <w:rPr>
                <w:sz w:val="10"/>
                <w:szCs w:val="10"/>
                <w:color w:val="auto"/>
              </w:rPr>
            </w:pPr>
          </w:p>
        </w:tc>
        <w:tc>
          <w:tcPr>
            <w:tcW w:w="9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58,027</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1.9%</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6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(EUR 51,994 par,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(EUR 51,994)</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6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11/2029)</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31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Azurite Intermediate Holdings, Inc.</w:t>
            </w:r>
            <w:r>
              <w:rPr>
                <w:rFonts w:ascii="Times New Roman" w:cs="Times New Roman" w:eastAsia="Times New Roman" w:hAnsi="Times New Roman"/>
                <w:sz w:val="10"/>
                <w:szCs w:val="10"/>
                <w:color w:val="auto"/>
              </w:rPr>
              <w:t>(3)</w:t>
            </w:r>
          </w:p>
        </w:tc>
        <w:tc>
          <w:tcPr>
            <w:tcW w:w="1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($160,312</w:t>
            </w:r>
          </w:p>
        </w:tc>
        <w:tc>
          <w:tcPr>
            <w:tcW w:w="8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3/19/2024</w:t>
            </w:r>
          </w:p>
        </w:tc>
        <w:tc>
          <w:tcPr>
            <w:tcW w:w="122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SOFR + 6.50%</w:t>
            </w:r>
          </w:p>
        </w:tc>
        <w:tc>
          <w:tcPr>
            <w:tcW w:w="106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11.35%</w:t>
            </w:r>
          </w:p>
        </w:tc>
        <w:tc>
          <w:tcPr>
            <w:tcW w:w="740" w:type="dxa"/>
            <w:vAlign w:val="bottom"/>
            <w:gridSpan w:val="3"/>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157,173</w:t>
            </w: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158,531</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5.1%</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31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17200 Laguna Canyon Road</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3/2031)</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31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Irvine, CA 92618</w:t>
            </w: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3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31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BCTO Ignition Purchaser,</w:t>
            </w:r>
          </w:p>
        </w:tc>
        <w:tc>
          <w:tcPr>
            <w:tcW w:w="16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holdco loan</w:t>
            </w:r>
          </w:p>
        </w:tc>
        <w:tc>
          <w:tcPr>
            <w:tcW w:w="8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4/18/2023</w:t>
            </w:r>
          </w:p>
        </w:tc>
        <w:tc>
          <w:tcPr>
            <w:tcW w:w="122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SOFR + 9.00%</w:t>
            </w:r>
          </w:p>
        </w:tc>
        <w:tc>
          <w:tcPr>
            <w:tcW w:w="106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14.28%</w:t>
            </w:r>
          </w:p>
        </w:tc>
        <w:tc>
          <w:tcPr>
            <w:tcW w:w="740" w:type="dxa"/>
            <w:vAlign w:val="bottom"/>
            <w:gridSpan w:val="3"/>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114,525</w:t>
            </w:r>
          </w:p>
        </w:tc>
        <w:tc>
          <w:tcPr>
            <w:tcW w:w="80" w:type="dxa"/>
            <w:vAlign w:val="bottom"/>
          </w:tcPr>
          <w:p>
            <w:pPr>
              <w:spacing w:after="0"/>
              <w:rPr>
                <w:sz w:val="10"/>
                <w:szCs w:val="10"/>
                <w:color w:val="auto"/>
              </w:rPr>
            </w:pPr>
          </w:p>
        </w:tc>
        <w:tc>
          <w:tcPr>
            <w:tcW w:w="9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119,293</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3.9%</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31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10"/>
                <w:szCs w:val="10"/>
                <w:color w:val="auto"/>
              </w:rPr>
              <w:t>(3)</w:t>
            </w: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($116,954 par,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ind w:left="780"/>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1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1801 West End Ave</w:t>
            </w:r>
          </w:p>
        </w:tc>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10/2030)</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1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300</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1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Nashville, TN 37203</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31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Crewline Buyer, Inc.</w:t>
            </w:r>
            <w:r>
              <w:rPr>
                <w:rFonts w:ascii="Times New Roman" w:cs="Times New Roman" w:eastAsia="Times New Roman" w:hAnsi="Times New Roman"/>
                <w:sz w:val="10"/>
                <w:szCs w:val="10"/>
                <w:color w:val="auto"/>
              </w:rPr>
              <w:t>(3)</w:t>
            </w:r>
          </w:p>
        </w:tc>
        <w:tc>
          <w:tcPr>
            <w:tcW w:w="1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($147,310</w:t>
            </w:r>
          </w:p>
        </w:tc>
        <w:tc>
          <w:tcPr>
            <w:tcW w:w="8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11/8/2023</w:t>
            </w:r>
          </w:p>
        </w:tc>
        <w:tc>
          <w:tcPr>
            <w:tcW w:w="122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SOFR + 6.75%</w:t>
            </w:r>
          </w:p>
        </w:tc>
        <w:tc>
          <w:tcPr>
            <w:tcW w:w="106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11.35%</w:t>
            </w:r>
          </w:p>
        </w:tc>
        <w:tc>
          <w:tcPr>
            <w:tcW w:w="740" w:type="dxa"/>
            <w:vAlign w:val="bottom"/>
            <w:gridSpan w:val="3"/>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143,585</w:t>
            </w: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146,903</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4.8%</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31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Letterman Drive</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11/2030)</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31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Building C, Suite 410</w:t>
            </w: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3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Francisco, CA 94120</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31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Dye &amp; Durham Corp.</w:t>
            </w:r>
            <w:r>
              <w:rPr>
                <w:rFonts w:ascii="Times New Roman" w:cs="Times New Roman" w:eastAsia="Times New Roman" w:hAnsi="Times New Roman"/>
                <w:sz w:val="10"/>
                <w:szCs w:val="10"/>
                <w:color w:val="auto"/>
              </w:rPr>
              <w:t>(3)(4)(12)</w:t>
            </w:r>
          </w:p>
        </w:tc>
        <w:tc>
          <w:tcPr>
            <w:tcW w:w="16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 ($957 par,</w:t>
            </w:r>
          </w:p>
        </w:tc>
        <w:tc>
          <w:tcPr>
            <w:tcW w:w="8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4/4/2024</w:t>
            </w:r>
          </w:p>
        </w:tc>
        <w:tc>
          <w:tcPr>
            <w:tcW w:w="122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SOFR + 4.35%</w:t>
            </w:r>
          </w:p>
        </w:tc>
        <w:tc>
          <w:tcPr>
            <w:tcW w:w="106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8.95%</w:t>
            </w:r>
          </w:p>
        </w:tc>
        <w:tc>
          <w:tcPr>
            <w:tcW w:w="740" w:type="dxa"/>
            <w:vAlign w:val="bottom"/>
            <w:gridSpan w:val="3"/>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943</w:t>
            </w:r>
          </w:p>
        </w:tc>
        <w:tc>
          <w:tcPr>
            <w:tcW w:w="80" w:type="dxa"/>
            <w:vAlign w:val="bottom"/>
          </w:tcPr>
          <w:p>
            <w:pPr>
              <w:spacing w:after="0"/>
              <w:rPr>
                <w:sz w:val="10"/>
                <w:szCs w:val="10"/>
                <w:color w:val="auto"/>
              </w:rPr>
            </w:pPr>
          </w:p>
        </w:tc>
        <w:tc>
          <w:tcPr>
            <w:tcW w:w="9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961</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31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199 Bay Street</w:t>
            </w: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due 4/2031)</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4"/>
        </w:trPr>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Suite: 4610</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ind w:left="260"/>
        <w:spacing w:after="0" w:line="221" w:lineRule="auto"/>
        <w:rPr>
          <w:sz w:val="20"/>
          <w:szCs w:val="20"/>
          <w:color w:val="auto"/>
        </w:rPr>
      </w:pPr>
      <w:r>
        <w:rPr>
          <w:rFonts w:ascii="Times New Roman" w:cs="Times New Roman" w:eastAsia="Times New Roman" w:hAnsi="Times New Roman"/>
          <w:sz w:val="14"/>
          <w:szCs w:val="14"/>
          <w:color w:val="auto"/>
        </w:rPr>
        <w:t>Toronto, Ontario M5L 1E9</w:t>
      </w:r>
    </w:p>
    <w:p>
      <w:pPr>
        <w:ind w:left="260"/>
        <w:spacing w:after="0"/>
        <w:rPr>
          <w:sz w:val="20"/>
          <w:szCs w:val="20"/>
          <w:color w:val="auto"/>
        </w:rPr>
      </w:pPr>
      <w:r>
        <w:rPr>
          <w:rFonts w:ascii="Times New Roman" w:cs="Times New Roman" w:eastAsia="Times New Roman" w:hAnsi="Times New Roman"/>
          <w:sz w:val="14"/>
          <w:szCs w:val="14"/>
          <w:color w:val="auto"/>
        </w:rPr>
        <w:t>Canada</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12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200" w:type="dxa"/>
            <w:vAlign w:val="bottom"/>
            <w:gridSpan w:val="2"/>
          </w:tcPr>
          <w:p>
            <w:pPr>
              <w:jc w:val="right"/>
              <w:ind w:right="480"/>
              <w:spacing w:after="0" w:line="122"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7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jc w:val="right"/>
              <w:ind w:right="258"/>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5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0" w:type="dxa"/>
            <w:vAlign w:val="bottom"/>
          </w:tcPr>
          <w:p>
            <w:pPr>
              <w:spacing w:after="0"/>
              <w:rPr>
                <w:sz w:val="1"/>
                <w:szCs w:val="1"/>
                <w:color w:val="auto"/>
              </w:rPr>
            </w:pP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0"/>
                <w:szCs w:val="10"/>
                <w:b w:val="1"/>
                <w:bCs w:val="1"/>
                <w:color w:val="auto"/>
                <w:w w:val="95"/>
              </w:rPr>
              <w:t>Company</w:t>
            </w:r>
            <w:r>
              <w:rPr>
                <w:rFonts w:ascii="Times New Roman" w:cs="Times New Roman" w:eastAsia="Times New Roman" w:hAnsi="Times New Roman"/>
                <w:sz w:val="15"/>
                <w:szCs w:val="15"/>
                <w:b w:val="1"/>
                <w:bCs w:val="1"/>
                <w:color w:val="auto"/>
                <w:w w:val="95"/>
                <w:vertAlign w:val="superscript"/>
              </w:rPr>
              <w:t>(1)(9)</w:t>
            </w:r>
          </w:p>
        </w:tc>
        <w:tc>
          <w:tcPr>
            <w:tcW w:w="2240" w:type="dxa"/>
            <w:vAlign w:val="bottom"/>
          </w:tcPr>
          <w:p>
            <w:pPr>
              <w:spacing w:after="0"/>
              <w:rPr>
                <w:sz w:val="13"/>
                <w:szCs w:val="13"/>
                <w:color w:val="auto"/>
              </w:rPr>
            </w:pPr>
          </w:p>
        </w:tc>
        <w:tc>
          <w:tcPr>
            <w:tcW w:w="1700" w:type="dxa"/>
            <w:vAlign w:val="bottom"/>
            <w:gridSpan w:val="2"/>
          </w:tcPr>
          <w:p>
            <w:pPr>
              <w:ind w:left="5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Rate</w:t>
            </w: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(6)</w:t>
            </w:r>
          </w:p>
        </w:tc>
        <w:tc>
          <w:tcPr>
            <w:tcW w:w="880" w:type="dxa"/>
            <w:vAlign w:val="bottom"/>
            <w:gridSpan w:val="2"/>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Class Held</w:t>
            </w:r>
          </w:p>
        </w:tc>
        <w:tc>
          <w:tcPr>
            <w:tcW w:w="0" w:type="dxa"/>
            <w:vAlign w:val="bottom"/>
          </w:tcPr>
          <w:p>
            <w:pPr>
              <w:spacing w:after="0"/>
              <w:rPr>
                <w:sz w:val="1"/>
                <w:szCs w:val="1"/>
                <w:color w:val="auto"/>
              </w:rPr>
            </w:pPr>
          </w:p>
        </w:tc>
      </w:tr>
      <w:tr>
        <w:trPr>
          <w:trHeight w:val="108"/>
        </w:trPr>
        <w:tc>
          <w:tcPr>
            <w:tcW w:w="288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Elements Finco Limited</w:t>
            </w:r>
            <w:r>
              <w:rPr>
                <w:rFonts w:ascii="Times New Roman" w:cs="Times New Roman" w:eastAsia="Times New Roman" w:hAnsi="Times New Roman"/>
                <w:sz w:val="9"/>
                <w:szCs w:val="9"/>
                <w:color w:val="auto"/>
              </w:rPr>
              <w:t>(3)(4)</w:t>
            </w:r>
          </w:p>
        </w:tc>
        <w:tc>
          <w:tcPr>
            <w:tcW w:w="160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First-lien loan ($45,917</w:t>
            </w:r>
          </w:p>
        </w:tc>
        <w:tc>
          <w:tcPr>
            <w:tcW w:w="10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4/29/2024</w:t>
            </w:r>
          </w:p>
        </w:tc>
        <w:tc>
          <w:tcPr>
            <w:tcW w:w="10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SOFR + 4.75%</w:t>
            </w:r>
          </w:p>
        </w:tc>
        <w:tc>
          <w:tcPr>
            <w:tcW w:w="12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9.60%</w:t>
            </w: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45,533</w:t>
            </w:r>
          </w:p>
        </w:tc>
        <w:tc>
          <w:tcPr>
            <w:tcW w:w="140" w:type="dxa"/>
            <w:vAlign w:val="bottom"/>
            <w:tcBorders>
              <w:top w:val="single" w:sz="8" w:color="CCEEFF"/>
              <w:left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45,802</w:t>
            </w:r>
          </w:p>
        </w:tc>
        <w:tc>
          <w:tcPr>
            <w:tcW w:w="2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1.5</w:t>
            </w:r>
          </w:p>
        </w:tc>
        <w:tc>
          <w:tcPr>
            <w:tcW w:w="280" w:type="dxa"/>
            <w:vAlign w:val="bottom"/>
            <w:tcBorders>
              <w:top w:val="single" w:sz="8" w:color="CCEEFF"/>
            </w:tcBorders>
            <w:shd w:val="clear" w:color="auto" w:fill="CCEEFF"/>
          </w:tcPr>
          <w:p>
            <w:pPr>
              <w:jc w:val="right"/>
              <w:ind w:right="9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4th Floor, Heathrow Approach</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4/2031)</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80" w:type="dxa"/>
            <w:vAlign w:val="bottom"/>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470 London Road</w:t>
            </w: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Slough SL3 8QY</w:t>
            </w: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United Kingdom</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7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 (GBP</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4/29/2024</w:t>
            </w:r>
          </w:p>
        </w:tc>
        <w:tc>
          <w:tcPr>
            <w:tcW w:w="12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 + 5.00%</w:t>
            </w:r>
          </w:p>
        </w:tc>
        <w:tc>
          <w:tcPr>
            <w:tcW w:w="12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9.97%</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99,294</w:t>
            </w:r>
          </w:p>
        </w:tc>
        <w:tc>
          <w:tcPr>
            <w:tcW w:w="140" w:type="dxa"/>
            <w:vAlign w:val="bottom"/>
          </w:tcPr>
          <w:p>
            <w:pPr>
              <w:spacing w:after="0"/>
              <w:rPr>
                <w:sz w:val="10"/>
                <w:szCs w:val="10"/>
                <w:color w:val="auto"/>
              </w:rPr>
            </w:pPr>
          </w:p>
        </w:tc>
        <w:tc>
          <w:tcPr>
            <w:tcW w:w="8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106,997</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3.5%</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80,058 par, due 4/2031)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(GBP</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79,768)</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8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Galileo Parent, Inc.</w:t>
            </w:r>
            <w:r>
              <w:rPr>
                <w:rFonts w:ascii="Times New Roman" w:cs="Times New Roman" w:eastAsia="Times New Roman" w:hAnsi="Times New Roman"/>
                <w:sz w:val="10"/>
                <w:szCs w:val="10"/>
                <w:color w:val="auto"/>
              </w:rPr>
              <w:t>(3)</w:t>
            </w:r>
          </w:p>
        </w:tc>
        <w:tc>
          <w:tcPr>
            <w:tcW w:w="1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($149,928</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5/3/2023</w:t>
            </w:r>
          </w:p>
        </w:tc>
        <w:tc>
          <w:tcPr>
            <w:tcW w:w="128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+ 7.25%</w:t>
            </w:r>
          </w:p>
        </w:tc>
        <w:tc>
          <w:tcPr>
            <w:tcW w:w="12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11.85%</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146,339</w:t>
            </w:r>
          </w:p>
        </w:tc>
        <w:tc>
          <w:tcPr>
            <w:tcW w:w="140" w:type="dxa"/>
            <w:vAlign w:val="bottom"/>
            <w:tcBorders>
              <w:lef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151,427</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4.9%</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Prudential Tower, 800 Boylston Street</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5/2030)</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02199</w:t>
            </w: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7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5/3/2023</w:t>
            </w:r>
          </w:p>
        </w:tc>
        <w:tc>
          <w:tcPr>
            <w:tcW w:w="12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+ 7.25%</w:t>
            </w:r>
          </w:p>
        </w:tc>
        <w:tc>
          <w:tcPr>
            <w:tcW w:w="12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11.87%</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15,614</w:t>
            </w:r>
          </w:p>
        </w:tc>
        <w:tc>
          <w:tcPr>
            <w:tcW w:w="140" w:type="dxa"/>
            <w:vAlign w:val="bottom"/>
          </w:tcPr>
          <w:p>
            <w:pPr>
              <w:spacing w:after="0"/>
              <w:rPr>
                <w:sz w:val="10"/>
                <w:szCs w:val="10"/>
                <w:color w:val="auto"/>
              </w:rPr>
            </w:pPr>
          </w:p>
        </w:tc>
        <w:tc>
          <w:tcPr>
            <w:tcW w:w="8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16,389</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0.5%</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($16,154 par, due 5/2030)</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Lynx BidCo</w:t>
            </w:r>
            <w:r>
              <w:rPr>
                <w:rFonts w:ascii="Times New Roman" w:cs="Times New Roman" w:eastAsia="Times New Roman" w:hAnsi="Times New Roman"/>
                <w:sz w:val="10"/>
                <w:szCs w:val="10"/>
                <w:color w:val="auto"/>
              </w:rPr>
              <w:t>(3)(4)</w:t>
            </w:r>
          </w:p>
        </w:tc>
        <w:tc>
          <w:tcPr>
            <w:tcW w:w="1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($39,406</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7/5/2024</w:t>
            </w:r>
          </w:p>
        </w:tc>
        <w:tc>
          <w:tcPr>
            <w:tcW w:w="128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+ 7.11%</w:t>
            </w:r>
          </w:p>
        </w:tc>
        <w:tc>
          <w:tcPr>
            <w:tcW w:w="12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12.42%</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38,345</w:t>
            </w:r>
          </w:p>
        </w:tc>
        <w:tc>
          <w:tcPr>
            <w:tcW w:w="140" w:type="dxa"/>
            <w:vAlign w:val="bottom"/>
            <w:tcBorders>
              <w:lef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38,278</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1.2%</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21 Avenue Kleber</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7/2031)</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75016 Paris</w:t>
            </w: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5.61%</w:t>
            </w: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France</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PIK)</w:t>
            </w:r>
          </w:p>
        </w:tc>
        <w:tc>
          <w:tcPr>
            <w:tcW w:w="6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7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 (EUR</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7/5/2024</w:t>
            </w:r>
          </w:p>
        </w:tc>
        <w:tc>
          <w:tcPr>
            <w:tcW w:w="12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E + 7.11%</w:t>
            </w:r>
          </w:p>
        </w:tc>
        <w:tc>
          <w:tcPr>
            <w:tcW w:w="12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10.81%</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17,540</w:t>
            </w:r>
          </w:p>
        </w:tc>
        <w:tc>
          <w:tcPr>
            <w:tcW w:w="140" w:type="dxa"/>
            <w:vAlign w:val="bottom"/>
          </w:tcPr>
          <w:p>
            <w:pPr>
              <w:spacing w:after="0"/>
              <w:rPr>
                <w:sz w:val="10"/>
                <w:szCs w:val="10"/>
                <w:color w:val="auto"/>
              </w:rPr>
            </w:pPr>
          </w:p>
        </w:tc>
        <w:tc>
          <w:tcPr>
            <w:tcW w:w="8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18,168</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0.6%</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16,568 par, due 7/2031)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(EUR</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5.61%</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16,279)</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PIK)</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8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OutSystems Luxco SARL</w:t>
            </w:r>
            <w:r>
              <w:rPr>
                <w:rFonts w:ascii="Times New Roman" w:cs="Times New Roman" w:eastAsia="Times New Roman" w:hAnsi="Times New Roman"/>
                <w:sz w:val="10"/>
                <w:szCs w:val="10"/>
                <w:color w:val="auto"/>
              </w:rPr>
              <w:t>(3)(4)(5)</w:t>
            </w:r>
          </w:p>
        </w:tc>
        <w:tc>
          <w:tcPr>
            <w:tcW w:w="1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(EUR 3,004</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12/8/2022</w:t>
            </w:r>
          </w:p>
        </w:tc>
        <w:tc>
          <w:tcPr>
            <w:tcW w:w="128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E + 5.75%</w:t>
            </w:r>
          </w:p>
        </w:tc>
        <w:tc>
          <w:tcPr>
            <w:tcW w:w="12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9.13%</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3,120</w:t>
            </w:r>
          </w:p>
        </w:tc>
        <w:tc>
          <w:tcPr>
            <w:tcW w:w="140" w:type="dxa"/>
            <w:vAlign w:val="bottom"/>
            <w:tcBorders>
              <w:lef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3,408</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28 Boulevard F.w. Raiffeisen</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12/2028)</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(EUR</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2411 Luxembourg</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3,054)</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8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Price Fx Inc.</w:t>
            </w:r>
            <w:r>
              <w:rPr>
                <w:rFonts w:ascii="Times New Roman" w:cs="Times New Roman" w:eastAsia="Times New Roman" w:hAnsi="Times New Roman"/>
                <w:sz w:val="10"/>
                <w:szCs w:val="10"/>
                <w:color w:val="auto"/>
              </w:rPr>
              <w:t>(3)(4)</w:t>
            </w:r>
          </w:p>
        </w:tc>
        <w:tc>
          <w:tcPr>
            <w:tcW w:w="17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 (EUR 910</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10/27/2023</w:t>
            </w:r>
          </w:p>
        </w:tc>
        <w:tc>
          <w:tcPr>
            <w:tcW w:w="12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E + 7.00%</w:t>
            </w:r>
          </w:p>
        </w:tc>
        <w:tc>
          <w:tcPr>
            <w:tcW w:w="12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10.69%</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965</w:t>
            </w:r>
          </w:p>
        </w:tc>
        <w:tc>
          <w:tcPr>
            <w:tcW w:w="140" w:type="dxa"/>
            <w:vAlign w:val="bottom"/>
          </w:tcPr>
          <w:p>
            <w:pPr>
              <w:spacing w:after="0"/>
              <w:rPr>
                <w:sz w:val="10"/>
                <w:szCs w:val="10"/>
                <w:color w:val="auto"/>
              </w:rPr>
            </w:pPr>
          </w:p>
        </w:tc>
        <w:tc>
          <w:tcPr>
            <w:tcW w:w="8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1,016</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LÄUtenring 16</w:t>
            </w: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par, due 10/2029)</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(EUR</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85235 Pfaffenhofen</w:t>
            </w: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910)</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Germany</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USA DeBusk, LLC</w:t>
            </w:r>
            <w:r>
              <w:rPr>
                <w:rFonts w:ascii="Times New Roman" w:cs="Times New Roman" w:eastAsia="Times New Roman" w:hAnsi="Times New Roman"/>
                <w:sz w:val="10"/>
                <w:szCs w:val="10"/>
                <w:color w:val="auto"/>
              </w:rPr>
              <w:t>(3)</w:t>
            </w:r>
          </w:p>
        </w:tc>
        <w:tc>
          <w:tcPr>
            <w:tcW w:w="1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($103,740</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4/30/2024</w:t>
            </w:r>
          </w:p>
        </w:tc>
        <w:tc>
          <w:tcPr>
            <w:tcW w:w="128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+ 5.25%</w:t>
            </w:r>
          </w:p>
        </w:tc>
        <w:tc>
          <w:tcPr>
            <w:tcW w:w="12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9.87%</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102,022</w:t>
            </w:r>
          </w:p>
        </w:tc>
        <w:tc>
          <w:tcPr>
            <w:tcW w:w="140" w:type="dxa"/>
            <w:vAlign w:val="bottom"/>
            <w:tcBorders>
              <w:lef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102,719</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3.3%</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1005 West 8th Street</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4/2031)</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Deer Park, TX 77536</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7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4/30/2024</w:t>
            </w:r>
          </w:p>
        </w:tc>
        <w:tc>
          <w:tcPr>
            <w:tcW w:w="12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+ 5.25%</w:t>
            </w:r>
          </w:p>
        </w:tc>
        <w:tc>
          <w:tcPr>
            <w:tcW w:w="12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9.97%</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6,893</w:t>
            </w:r>
          </w:p>
        </w:tc>
        <w:tc>
          <w:tcPr>
            <w:tcW w:w="140" w:type="dxa"/>
            <w:vAlign w:val="bottom"/>
          </w:tcPr>
          <w:p>
            <w:pPr>
              <w:spacing w:after="0"/>
              <w:rPr>
                <w:sz w:val="10"/>
                <w:szCs w:val="10"/>
                <w:color w:val="auto"/>
              </w:rPr>
            </w:pPr>
          </w:p>
        </w:tc>
        <w:tc>
          <w:tcPr>
            <w:tcW w:w="8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6,981</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($7,084 par, due 4/2030)</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Wrangler TopCo, LLC</w:t>
            </w:r>
            <w:r>
              <w:rPr>
                <w:rFonts w:ascii="Times New Roman" w:cs="Times New Roman" w:eastAsia="Times New Roman" w:hAnsi="Times New Roman"/>
                <w:sz w:val="10"/>
                <w:szCs w:val="10"/>
                <w:color w:val="auto"/>
              </w:rPr>
              <w:t>(3)</w:t>
            </w:r>
          </w:p>
        </w:tc>
        <w:tc>
          <w:tcPr>
            <w:tcW w:w="1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($124,248</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7/7/2023</w:t>
            </w:r>
          </w:p>
        </w:tc>
        <w:tc>
          <w:tcPr>
            <w:tcW w:w="128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+ 6.00%</w:t>
            </w:r>
          </w:p>
        </w:tc>
        <w:tc>
          <w:tcPr>
            <w:tcW w:w="12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10.92%</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121,553</w:t>
            </w:r>
          </w:p>
        </w:tc>
        <w:tc>
          <w:tcPr>
            <w:tcW w:w="140" w:type="dxa"/>
            <w:vAlign w:val="bottom"/>
            <w:tcBorders>
              <w:lef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125,815</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4.1%</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9171 Towne Center Drive</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9/2029)</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w:t>
            </w: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Diego, CA 92122</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1,177,769</w:t>
            </w:r>
          </w:p>
        </w:tc>
        <w:tc>
          <w:tcPr>
            <w:tcW w:w="14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1,212,444</w:t>
            </w:r>
          </w:p>
        </w:tc>
        <w:tc>
          <w:tcPr>
            <w:tcW w:w="200" w:type="dxa"/>
            <w:vAlign w:val="bottom"/>
          </w:tcPr>
          <w:p>
            <w:pPr>
              <w:spacing w:after="0"/>
              <w:rPr>
                <w:sz w:val="14"/>
                <w:szCs w:val="14"/>
                <w:color w:val="auto"/>
              </w:rPr>
            </w:pPr>
          </w:p>
        </w:tc>
        <w:tc>
          <w:tcPr>
            <w:tcW w:w="880" w:type="dxa"/>
            <w:vAlign w:val="bottom"/>
            <w:gridSpan w:val="2"/>
          </w:tcPr>
          <w:p>
            <w:pPr>
              <w:jc w:val="right"/>
              <w:ind w:right="98"/>
              <w:spacing w:after="0" w:line="155" w:lineRule="exact"/>
              <w:rPr>
                <w:sz w:val="20"/>
                <w:szCs w:val="20"/>
                <w:color w:val="auto"/>
              </w:rPr>
            </w:pPr>
            <w:r>
              <w:rPr>
                <w:rFonts w:ascii="Times New Roman" w:cs="Times New Roman" w:eastAsia="Times New Roman" w:hAnsi="Times New Roman"/>
                <w:sz w:val="14"/>
                <w:szCs w:val="14"/>
                <w:color w:val="auto"/>
              </w:rPr>
              <w:t>39.2%</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Chemicals</w:t>
            </w: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Erling Lux Bidco SARL</w:t>
            </w:r>
            <w:r>
              <w:rPr>
                <w:rFonts w:ascii="Times New Roman" w:cs="Times New Roman" w:eastAsia="Times New Roman" w:hAnsi="Times New Roman"/>
                <w:sz w:val="10"/>
                <w:szCs w:val="10"/>
                <w:color w:val="auto"/>
              </w:rPr>
              <w:t>(3)(4)</w:t>
            </w:r>
          </w:p>
        </w:tc>
        <w:tc>
          <w:tcPr>
            <w:tcW w:w="17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 (EUR 7,239</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9/6/2022</w:t>
            </w:r>
          </w:p>
        </w:tc>
        <w:tc>
          <w:tcPr>
            <w:tcW w:w="12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E + 7.00%</w:t>
            </w:r>
          </w:p>
        </w:tc>
        <w:tc>
          <w:tcPr>
            <w:tcW w:w="12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10.64%</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6,928</w:t>
            </w:r>
          </w:p>
        </w:tc>
        <w:tc>
          <w:tcPr>
            <w:tcW w:w="140" w:type="dxa"/>
            <w:vAlign w:val="bottom"/>
          </w:tcPr>
          <w:p>
            <w:pPr>
              <w:spacing w:after="0"/>
              <w:rPr>
                <w:sz w:val="10"/>
                <w:szCs w:val="10"/>
                <w:color w:val="auto"/>
              </w:rPr>
            </w:pPr>
          </w:p>
        </w:tc>
        <w:tc>
          <w:tcPr>
            <w:tcW w:w="8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8,286</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0.4%</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1-3 Boulevard De La Foire</w:t>
            </w: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par, due 9/2028)</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(EUR</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1528 Luxembourg</w:t>
            </w: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7,425)</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Luxembourg</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4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9/6/2022</w:t>
            </w:r>
          </w:p>
        </w:tc>
        <w:tc>
          <w:tcPr>
            <w:tcW w:w="128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 + 7.00%</w:t>
            </w:r>
          </w:p>
        </w:tc>
        <w:tc>
          <w:tcPr>
            <w:tcW w:w="12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11.95%</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17,449</w:t>
            </w:r>
          </w:p>
        </w:tc>
        <w:tc>
          <w:tcPr>
            <w:tcW w:w="140" w:type="dxa"/>
            <w:vAlign w:val="bottom"/>
            <w:tcBorders>
              <w:lef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20,633</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0.7%</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(GBP 15,192 par, due</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(GBP</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4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9/2028)</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15,382)</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7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9/6/2022</w:t>
            </w:r>
          </w:p>
        </w:tc>
        <w:tc>
          <w:tcPr>
            <w:tcW w:w="12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 + 7.00%</w:t>
            </w:r>
          </w:p>
        </w:tc>
        <w:tc>
          <w:tcPr>
            <w:tcW w:w="12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11.95%</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378</w:t>
            </w:r>
          </w:p>
        </w:tc>
        <w:tc>
          <w:tcPr>
            <w:tcW w:w="140" w:type="dxa"/>
            <w:vAlign w:val="bottom"/>
          </w:tcPr>
          <w:p>
            <w:pPr>
              <w:spacing w:after="0"/>
              <w:rPr>
                <w:sz w:val="10"/>
                <w:szCs w:val="10"/>
                <w:color w:val="auto"/>
              </w:rPr>
            </w:pPr>
          </w:p>
        </w:tc>
        <w:tc>
          <w:tcPr>
            <w:tcW w:w="8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423</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(GBP 312 par, due 9/2028)</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(GBP</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316)</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64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(NOK 7,427</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9/6/2022</w:t>
            </w:r>
          </w:p>
        </w:tc>
        <w:tc>
          <w:tcPr>
            <w:tcW w:w="128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N + 7.00%</w:t>
            </w:r>
          </w:p>
        </w:tc>
        <w:tc>
          <w:tcPr>
            <w:tcW w:w="12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11.77%</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710</w:t>
            </w:r>
          </w:p>
        </w:tc>
        <w:tc>
          <w:tcPr>
            <w:tcW w:w="140" w:type="dxa"/>
            <w:vAlign w:val="bottom"/>
            <w:tcBorders>
              <w:lef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714</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9/2028)</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(NOK</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4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7,520)</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25,465</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30,056</w:t>
            </w:r>
          </w:p>
        </w:tc>
        <w:tc>
          <w:tcPr>
            <w:tcW w:w="200" w:type="dxa"/>
            <w:vAlign w:val="bottom"/>
            <w:vMerge w:val="continue"/>
          </w:tcPr>
          <w:p>
            <w:pPr>
              <w:spacing w:after="0"/>
              <w:rPr>
                <w:sz w:val="13"/>
                <w:szCs w:val="13"/>
                <w:color w:val="auto"/>
              </w:rPr>
            </w:pPr>
          </w:p>
        </w:tc>
        <w:tc>
          <w:tcPr>
            <w:tcW w:w="880" w:type="dxa"/>
            <w:vAlign w:val="bottom"/>
            <w:gridSpan w:val="2"/>
          </w:tcPr>
          <w:p>
            <w:pPr>
              <w:jc w:val="right"/>
              <w:ind w:right="98"/>
              <w:spacing w:after="0" w:line="155" w:lineRule="exact"/>
              <w:rPr>
                <w:sz w:val="20"/>
                <w:szCs w:val="20"/>
                <w:color w:val="auto"/>
              </w:rPr>
            </w:pPr>
            <w:r>
              <w:rPr>
                <w:rFonts w:ascii="Times New Roman" w:cs="Times New Roman" w:eastAsia="Times New Roman" w:hAnsi="Times New Roman"/>
                <w:sz w:val="14"/>
                <w:szCs w:val="14"/>
                <w:color w:val="auto"/>
              </w:rPr>
              <w:t>1.1%</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b w:val="1"/>
          <w:bCs w:val="1"/>
          <w:u w:val="single" w:color="auto"/>
          <w:color w:val="auto"/>
        </w:rPr>
        <w:t>Company</w:t>
      </w:r>
      <w:r>
        <w:rPr>
          <w:rFonts w:ascii="Times New Roman" w:cs="Times New Roman" w:eastAsia="Times New Roman" w:hAnsi="Times New Roman"/>
          <w:sz w:val="16"/>
          <w:szCs w:val="16"/>
          <w:b w:val="1"/>
          <w:bCs w:val="1"/>
          <w:u w:val="single" w:color="auto"/>
          <w:color w:val="auto"/>
          <w:vertAlign w:val="superscript"/>
        </w:rPr>
        <w:t>(1)(9)</w:t>
      </w:r>
    </w:p>
    <w:p>
      <w:pPr>
        <w:ind w:left="120"/>
        <w:spacing w:after="0" w:line="221" w:lineRule="auto"/>
        <w:rPr>
          <w:sz w:val="20"/>
          <w:szCs w:val="20"/>
          <w:color w:val="auto"/>
        </w:rPr>
      </w:pPr>
      <w:r>
        <w:rPr>
          <w:rFonts w:ascii="Times New Roman" w:cs="Times New Roman" w:eastAsia="Times New Roman" w:hAnsi="Times New Roman"/>
          <w:sz w:val="14"/>
          <w:szCs w:val="14"/>
          <w:b w:val="1"/>
          <w:bCs w:val="1"/>
          <w:color w:val="auto"/>
        </w:rPr>
        <w:t>Communications</w:t>
      </w:r>
    </w:p>
    <w:p>
      <w:pPr>
        <w:ind w:left="120"/>
        <w:spacing w:after="0" w:line="221" w:lineRule="auto"/>
        <w:rPr>
          <w:sz w:val="20"/>
          <w:szCs w:val="20"/>
          <w:color w:val="auto"/>
        </w:rPr>
      </w:pPr>
      <w:r>
        <w:rPr>
          <w:rFonts w:ascii="Times New Roman" w:cs="Times New Roman" w:eastAsia="Times New Roman" w:hAnsi="Times New Roman"/>
          <w:sz w:val="14"/>
          <w:szCs w:val="14"/>
          <w:color w:val="auto"/>
        </w:rPr>
        <w:t>Aurelia Netherlands MidCo 2</w:t>
      </w:r>
    </w:p>
    <w:p>
      <w:pPr>
        <w:ind w:left="260"/>
        <w:spacing w:after="0" w:line="182" w:lineRule="auto"/>
        <w:rPr>
          <w:sz w:val="20"/>
          <w:szCs w:val="20"/>
          <w:color w:val="auto"/>
        </w:rPr>
      </w:pPr>
      <w:r>
        <w:rPr>
          <w:rFonts w:ascii="Times New Roman" w:cs="Times New Roman" w:eastAsia="Times New Roman" w:hAnsi="Times New Roman"/>
          <w:sz w:val="17"/>
          <w:szCs w:val="17"/>
          <w:color w:val="auto"/>
          <w:vertAlign w:val="subscript"/>
        </w:rPr>
        <w:t>B.V.</w:t>
      </w:r>
      <w:r>
        <w:rPr>
          <w:rFonts w:ascii="Times New Roman" w:cs="Times New Roman" w:eastAsia="Times New Roman" w:hAnsi="Times New Roman"/>
          <w:sz w:val="8"/>
          <w:szCs w:val="8"/>
          <w:color w:val="auto"/>
        </w:rPr>
        <w:t>(3)(4)</w:t>
      </w:r>
    </w:p>
    <w:p>
      <w:pPr>
        <w:ind w:left="260"/>
        <w:spacing w:after="0" w:line="222" w:lineRule="auto"/>
        <w:rPr>
          <w:sz w:val="20"/>
          <w:szCs w:val="20"/>
          <w:color w:val="auto"/>
        </w:rPr>
      </w:pPr>
      <w:r>
        <w:rPr>
          <w:rFonts w:ascii="Times New Roman" w:cs="Times New Roman" w:eastAsia="Times New Roman" w:hAnsi="Times New Roman"/>
          <w:sz w:val="14"/>
          <w:szCs w:val="14"/>
          <w:color w:val="auto"/>
        </w:rPr>
        <w:t>Grensen 5</w:t>
      </w:r>
    </w:p>
    <w:p>
      <w:pPr>
        <w:ind w:left="260"/>
        <w:spacing w:after="0" w:line="221" w:lineRule="auto"/>
        <w:rPr>
          <w:sz w:val="20"/>
          <w:szCs w:val="20"/>
          <w:color w:val="auto"/>
        </w:rPr>
      </w:pPr>
      <w:r>
        <w:rPr>
          <w:rFonts w:ascii="Times New Roman" w:cs="Times New Roman" w:eastAsia="Times New Roman" w:hAnsi="Times New Roman"/>
          <w:sz w:val="14"/>
          <w:szCs w:val="14"/>
          <w:color w:val="auto"/>
        </w:rPr>
        <w:t>Oslo</w:t>
      </w:r>
    </w:p>
    <w:p>
      <w:pPr>
        <w:ind w:left="260"/>
        <w:spacing w:after="0" w:line="222" w:lineRule="auto"/>
        <w:rPr>
          <w:sz w:val="20"/>
          <w:szCs w:val="20"/>
          <w:color w:val="auto"/>
        </w:rPr>
      </w:pPr>
      <w:r>
        <w:rPr>
          <w:rFonts w:ascii="Times New Roman" w:cs="Times New Roman" w:eastAsia="Times New Roman" w:hAnsi="Times New Roman"/>
          <w:sz w:val="14"/>
          <w:szCs w:val="14"/>
          <w:color w:val="auto"/>
        </w:rPr>
        <w:t>Norway</w:t>
      </w:r>
    </w:p>
    <w:p>
      <w:pPr>
        <w:ind w:left="120"/>
        <w:spacing w:after="0" w:line="221" w:lineRule="auto"/>
        <w:rPr>
          <w:sz w:val="20"/>
          <w:szCs w:val="20"/>
          <w:color w:val="auto"/>
        </w:rPr>
      </w:pPr>
      <w:r>
        <w:rPr>
          <w:rFonts w:ascii="Times New Roman" w:cs="Times New Roman" w:eastAsia="Times New Roman" w:hAnsi="Times New Roman"/>
          <w:sz w:val="14"/>
          <w:szCs w:val="14"/>
          <w:color w:val="auto"/>
        </w:rPr>
        <w:t>Babylon Finco Limited</w:t>
      </w:r>
      <w:r>
        <w:rPr>
          <w:rFonts w:ascii="Times New Roman" w:cs="Times New Roman" w:eastAsia="Times New Roman" w:hAnsi="Times New Roman"/>
          <w:sz w:val="10"/>
          <w:szCs w:val="10"/>
          <w:color w:val="auto"/>
        </w:rPr>
        <w:t>(3)(4)</w:t>
      </w:r>
    </w:p>
    <w:p>
      <w:pPr>
        <w:ind w:left="260"/>
        <w:spacing w:after="0" w:line="222" w:lineRule="auto"/>
        <w:rPr>
          <w:sz w:val="20"/>
          <w:szCs w:val="20"/>
          <w:color w:val="auto"/>
        </w:rPr>
      </w:pPr>
      <w:r>
        <w:rPr>
          <w:rFonts w:ascii="Times New Roman" w:cs="Times New Roman" w:eastAsia="Times New Roman" w:hAnsi="Times New Roman"/>
          <w:sz w:val="14"/>
          <w:szCs w:val="14"/>
          <w:color w:val="auto"/>
        </w:rPr>
        <w:t>5th Floor</w:t>
      </w:r>
    </w:p>
    <w:p>
      <w:pPr>
        <w:ind w:left="260"/>
        <w:spacing w:after="0" w:line="221" w:lineRule="auto"/>
        <w:rPr>
          <w:sz w:val="20"/>
          <w:szCs w:val="20"/>
          <w:color w:val="auto"/>
        </w:rPr>
      </w:pPr>
      <w:r>
        <w:rPr>
          <w:rFonts w:ascii="Times New Roman" w:cs="Times New Roman" w:eastAsia="Times New Roman" w:hAnsi="Times New Roman"/>
          <w:sz w:val="14"/>
          <w:szCs w:val="14"/>
          <w:color w:val="auto"/>
        </w:rPr>
        <w:t>100 Wood Street</w:t>
      </w:r>
    </w:p>
    <w:p>
      <w:pPr>
        <w:ind w:left="260"/>
        <w:spacing w:after="0" w:line="221" w:lineRule="auto"/>
        <w:rPr>
          <w:sz w:val="20"/>
          <w:szCs w:val="20"/>
          <w:color w:val="auto"/>
        </w:rPr>
      </w:pPr>
      <w:r>
        <w:rPr>
          <w:rFonts w:ascii="Times New Roman" w:cs="Times New Roman" w:eastAsia="Times New Roman" w:hAnsi="Times New Roman"/>
          <w:sz w:val="14"/>
          <w:szCs w:val="14"/>
          <w:color w:val="auto"/>
        </w:rPr>
        <w:t>London EC2V 7AN</w:t>
      </w:r>
    </w:p>
    <w:p>
      <w:pPr>
        <w:ind w:left="260"/>
        <w:spacing w:after="0" w:line="222" w:lineRule="auto"/>
        <w:rPr>
          <w:sz w:val="20"/>
          <w:szCs w:val="20"/>
          <w:color w:val="auto"/>
        </w:rPr>
      </w:pPr>
      <w:r>
        <w:rPr>
          <w:rFonts w:ascii="Times New Roman" w:cs="Times New Roman" w:eastAsia="Times New Roman" w:hAnsi="Times New Roman"/>
          <w:sz w:val="14"/>
          <w:szCs w:val="14"/>
          <w:color w:val="auto"/>
        </w:rPr>
        <w:t>United Kingdom</w:t>
      </w:r>
    </w:p>
    <w:p>
      <w:pPr>
        <w:ind w:left="120"/>
        <w:spacing w:after="0" w:line="221" w:lineRule="auto"/>
        <w:rPr>
          <w:sz w:val="20"/>
          <w:szCs w:val="20"/>
          <w:color w:val="auto"/>
        </w:rPr>
      </w:pPr>
      <w:r>
        <w:rPr>
          <w:rFonts w:ascii="Times New Roman" w:cs="Times New Roman" w:eastAsia="Times New Roman" w:hAnsi="Times New Roman"/>
          <w:sz w:val="14"/>
          <w:szCs w:val="14"/>
          <w:color w:val="auto"/>
        </w:rPr>
        <w:t>Banyan Software Holdings, LLC</w:t>
      </w:r>
      <w:r>
        <w:rPr>
          <w:rFonts w:ascii="Times New Roman" w:cs="Times New Roman" w:eastAsia="Times New Roman" w:hAnsi="Times New Roman"/>
          <w:sz w:val="10"/>
          <w:szCs w:val="10"/>
          <w:color w:val="auto"/>
        </w:rPr>
        <w:t>(3)(4)</w:t>
      </w:r>
    </w:p>
    <w:p>
      <w:pPr>
        <w:ind w:left="260"/>
        <w:spacing w:after="0" w:line="222" w:lineRule="auto"/>
        <w:rPr>
          <w:sz w:val="20"/>
          <w:szCs w:val="20"/>
          <w:color w:val="auto"/>
        </w:rPr>
      </w:pPr>
      <w:r>
        <w:rPr>
          <w:rFonts w:ascii="Times New Roman" w:cs="Times New Roman" w:eastAsia="Times New Roman" w:hAnsi="Times New Roman"/>
          <w:sz w:val="14"/>
          <w:szCs w:val="14"/>
          <w:color w:val="auto"/>
        </w:rPr>
        <w:t>Bloor Street East</w:t>
      </w:r>
    </w:p>
    <w:p>
      <w:pPr>
        <w:ind w:left="260"/>
        <w:spacing w:after="0" w:line="221" w:lineRule="auto"/>
        <w:rPr>
          <w:sz w:val="20"/>
          <w:szCs w:val="20"/>
          <w:color w:val="auto"/>
        </w:rPr>
      </w:pPr>
      <w:r>
        <w:rPr>
          <w:rFonts w:ascii="Times New Roman" w:cs="Times New Roman" w:eastAsia="Times New Roman" w:hAnsi="Times New Roman"/>
          <w:sz w:val="14"/>
          <w:szCs w:val="14"/>
          <w:color w:val="auto"/>
        </w:rPr>
        <w:t>Suite 1804</w:t>
      </w:r>
    </w:p>
    <w:p>
      <w:pPr>
        <w:ind w:left="260"/>
        <w:spacing w:after="0" w:line="221" w:lineRule="auto"/>
        <w:rPr>
          <w:sz w:val="20"/>
          <w:szCs w:val="20"/>
          <w:color w:val="auto"/>
        </w:rPr>
      </w:pPr>
      <w:r>
        <w:rPr>
          <w:rFonts w:ascii="Times New Roman" w:cs="Times New Roman" w:eastAsia="Times New Roman" w:hAnsi="Times New Roman"/>
          <w:sz w:val="14"/>
          <w:szCs w:val="14"/>
          <w:color w:val="auto"/>
        </w:rPr>
        <w:t>Toronto, Ontario</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Canada</w:t>
      </w: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Education</w:t>
      </w:r>
    </w:p>
    <w:p>
      <w:pPr>
        <w:ind w:left="120"/>
        <w:spacing w:after="0" w:line="229" w:lineRule="auto"/>
        <w:rPr>
          <w:sz w:val="20"/>
          <w:szCs w:val="20"/>
          <w:color w:val="auto"/>
        </w:rPr>
      </w:pPr>
      <w:r>
        <w:rPr>
          <w:rFonts w:ascii="Times New Roman" w:cs="Times New Roman" w:eastAsia="Times New Roman" w:hAnsi="Times New Roman"/>
          <w:sz w:val="14"/>
          <w:szCs w:val="14"/>
          <w:color w:val="auto"/>
        </w:rPr>
        <w:t>Kangaroo Bidco AS</w:t>
      </w:r>
      <w:r>
        <w:rPr>
          <w:rFonts w:ascii="Times New Roman" w:cs="Times New Roman" w:eastAsia="Times New Roman" w:hAnsi="Times New Roman"/>
          <w:sz w:val="10"/>
          <w:szCs w:val="10"/>
          <w:color w:val="auto"/>
        </w:rPr>
        <w:t>(3)(4)</w:t>
      </w:r>
    </w:p>
    <w:p>
      <w:pPr>
        <w:jc w:val="right"/>
        <w:spacing w:after="0" w:line="221" w:lineRule="auto"/>
        <w:rPr>
          <w:sz w:val="20"/>
          <w:szCs w:val="20"/>
          <w:color w:val="auto"/>
        </w:rPr>
      </w:pPr>
      <w:r>
        <w:rPr>
          <w:rFonts w:ascii="Times New Roman" w:cs="Times New Roman" w:eastAsia="Times New Roman" w:hAnsi="Times New Roman"/>
          <w:sz w:val="14"/>
          <w:szCs w:val="14"/>
          <w:color w:val="auto"/>
        </w:rPr>
        <w:t>Fridtjof Nansens Plass 7, Oslo, 0160,</w:t>
      </w:r>
    </w:p>
    <w:p>
      <w:pPr>
        <w:ind w:left="260"/>
        <w:spacing w:after="0" w:line="222" w:lineRule="auto"/>
        <w:rPr>
          <w:sz w:val="20"/>
          <w:szCs w:val="20"/>
          <w:color w:val="auto"/>
        </w:rPr>
      </w:pPr>
      <w:r>
        <w:rPr>
          <w:rFonts w:ascii="Times New Roman" w:cs="Times New Roman" w:eastAsia="Times New Roman" w:hAnsi="Times New Roman"/>
          <w:sz w:val="14"/>
          <w:szCs w:val="14"/>
          <w:color w:val="auto"/>
        </w:rPr>
        <w:t>Norway</w:t>
      </w:r>
    </w:p>
    <w:p>
      <w:pPr>
        <w:ind w:left="120"/>
        <w:spacing w:after="0" w:line="221" w:lineRule="auto"/>
        <w:rPr>
          <w:sz w:val="20"/>
          <w:szCs w:val="20"/>
          <w:color w:val="auto"/>
        </w:rPr>
      </w:pPr>
      <w:r>
        <w:rPr>
          <w:rFonts w:ascii="Times New Roman" w:cs="Times New Roman" w:eastAsia="Times New Roman" w:hAnsi="Times New Roman"/>
          <w:sz w:val="14"/>
          <w:szCs w:val="14"/>
          <w:b w:val="1"/>
          <w:bCs w:val="1"/>
          <w:color w:val="auto"/>
        </w:rPr>
        <w:t>Electronics</w:t>
      </w:r>
    </w:p>
    <w:p>
      <w:pPr>
        <w:ind w:left="120"/>
        <w:spacing w:after="0" w:line="222" w:lineRule="auto"/>
        <w:rPr>
          <w:sz w:val="20"/>
          <w:szCs w:val="20"/>
          <w:color w:val="auto"/>
        </w:rPr>
      </w:pPr>
      <w:r>
        <w:rPr>
          <w:rFonts w:ascii="Times New Roman" w:cs="Times New Roman" w:eastAsia="Times New Roman" w:hAnsi="Times New Roman"/>
          <w:sz w:val="14"/>
          <w:szCs w:val="14"/>
          <w:color w:val="auto"/>
        </w:rPr>
        <w:t>Sapphire Software Buyer,</w:t>
      </w:r>
    </w:p>
    <w:p>
      <w:pPr>
        <w:ind w:left="260"/>
        <w:spacing w:after="0" w:line="221" w:lineRule="auto"/>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10"/>
          <w:szCs w:val="10"/>
          <w:color w:val="auto"/>
        </w:rPr>
        <w:t>(3)</w:t>
      </w:r>
    </w:p>
    <w:p>
      <w:pPr>
        <w:ind w:left="260"/>
        <w:spacing w:after="0" w:line="221" w:lineRule="auto"/>
        <w:rPr>
          <w:sz w:val="20"/>
          <w:szCs w:val="20"/>
          <w:color w:val="auto"/>
        </w:rPr>
      </w:pPr>
      <w:r>
        <w:rPr>
          <w:rFonts w:ascii="Times New Roman" w:cs="Times New Roman" w:eastAsia="Times New Roman" w:hAnsi="Times New Roman"/>
          <w:sz w:val="14"/>
          <w:szCs w:val="14"/>
          <w:color w:val="auto"/>
        </w:rPr>
        <w:t>800 District Avenue</w:t>
      </w:r>
    </w:p>
    <w:p>
      <w:pPr>
        <w:ind w:left="260"/>
        <w:spacing w:after="0" w:line="222" w:lineRule="auto"/>
        <w:rPr>
          <w:sz w:val="20"/>
          <w:szCs w:val="20"/>
          <w:color w:val="auto"/>
        </w:rPr>
      </w:pPr>
      <w:r>
        <w:rPr>
          <w:rFonts w:ascii="Times New Roman" w:cs="Times New Roman" w:eastAsia="Times New Roman" w:hAnsi="Times New Roman"/>
          <w:sz w:val="14"/>
          <w:szCs w:val="14"/>
          <w:color w:val="auto"/>
        </w:rPr>
        <w:t>Suite 201</w:t>
      </w:r>
    </w:p>
    <w:p>
      <w:pPr>
        <w:ind w:left="260"/>
        <w:spacing w:after="0" w:line="221" w:lineRule="auto"/>
        <w:rPr>
          <w:sz w:val="20"/>
          <w:szCs w:val="20"/>
          <w:color w:val="auto"/>
        </w:rPr>
      </w:pPr>
      <w:r>
        <w:rPr>
          <w:rFonts w:ascii="Times New Roman" w:cs="Times New Roman" w:eastAsia="Times New Roman" w:hAnsi="Times New Roman"/>
          <w:sz w:val="14"/>
          <w:szCs w:val="14"/>
          <w:color w:val="auto"/>
        </w:rPr>
        <w:t>Burlington, MA 01803-5061</w:t>
      </w:r>
    </w:p>
    <w:p>
      <w:pPr>
        <w:ind w:left="260"/>
        <w:spacing w:after="0" w:line="222" w:lineRule="auto"/>
        <w:rPr>
          <w:sz w:val="20"/>
          <w:szCs w:val="20"/>
          <w:color w:val="auto"/>
        </w:rPr>
      </w:pPr>
      <w:r>
        <w:rPr>
          <w:rFonts w:ascii="Times New Roman" w:cs="Times New Roman" w:eastAsia="Times New Roman" w:hAnsi="Times New Roman"/>
          <w:sz w:val="14"/>
          <w:szCs w:val="14"/>
          <w:color w:val="auto"/>
        </w:rPr>
        <w:t>United States</w:t>
      </w:r>
    </w:p>
    <w:p>
      <w:pPr>
        <w:ind w:left="120"/>
        <w:spacing w:after="0" w:line="221" w:lineRule="auto"/>
        <w:rPr>
          <w:sz w:val="20"/>
          <w:szCs w:val="20"/>
          <w:color w:val="auto"/>
        </w:rPr>
      </w:pPr>
      <w:r>
        <w:rPr>
          <w:rFonts w:ascii="Times New Roman" w:cs="Times New Roman" w:eastAsia="Times New Roman" w:hAnsi="Times New Roman"/>
          <w:sz w:val="14"/>
          <w:szCs w:val="14"/>
          <w:b w:val="1"/>
          <w:bCs w:val="1"/>
          <w:color w:val="auto"/>
        </w:rPr>
        <w:t>Financial Services</w:t>
      </w:r>
    </w:p>
    <w:p>
      <w:pPr>
        <w:ind w:left="120"/>
        <w:spacing w:after="0" w:line="221" w:lineRule="auto"/>
        <w:rPr>
          <w:sz w:val="20"/>
          <w:szCs w:val="20"/>
          <w:color w:val="auto"/>
        </w:rPr>
      </w:pPr>
      <w:r>
        <w:rPr>
          <w:rFonts w:ascii="Times New Roman" w:cs="Times New Roman" w:eastAsia="Times New Roman" w:hAnsi="Times New Roman"/>
          <w:sz w:val="14"/>
          <w:szCs w:val="14"/>
          <w:color w:val="auto"/>
        </w:rPr>
        <w:t>Alaska Bidco Oy</w:t>
      </w:r>
      <w:r>
        <w:rPr>
          <w:rFonts w:ascii="Times New Roman" w:cs="Times New Roman" w:eastAsia="Times New Roman" w:hAnsi="Times New Roman"/>
          <w:sz w:val="10"/>
          <w:szCs w:val="10"/>
          <w:color w:val="auto"/>
        </w:rPr>
        <w:t>(3)(4)</w:t>
      </w:r>
    </w:p>
    <w:p>
      <w:pPr>
        <w:ind w:left="260"/>
        <w:spacing w:after="0" w:line="222" w:lineRule="auto"/>
        <w:rPr>
          <w:sz w:val="20"/>
          <w:szCs w:val="20"/>
          <w:color w:val="auto"/>
        </w:rPr>
      </w:pPr>
      <w:r>
        <w:rPr>
          <w:rFonts w:ascii="Times New Roman" w:cs="Times New Roman" w:eastAsia="Times New Roman" w:hAnsi="Times New Roman"/>
          <w:sz w:val="14"/>
          <w:szCs w:val="14"/>
          <w:color w:val="auto"/>
        </w:rPr>
        <w:t>Linnoitustie 6</w:t>
      </w:r>
    </w:p>
    <w:p>
      <w:pPr>
        <w:ind w:left="260"/>
        <w:spacing w:after="0" w:line="221" w:lineRule="auto"/>
        <w:rPr>
          <w:sz w:val="20"/>
          <w:szCs w:val="20"/>
          <w:color w:val="auto"/>
        </w:rPr>
      </w:pPr>
      <w:r>
        <w:rPr>
          <w:rFonts w:ascii="Times New Roman" w:cs="Times New Roman" w:eastAsia="Times New Roman" w:hAnsi="Times New Roman"/>
          <w:sz w:val="14"/>
          <w:szCs w:val="14"/>
          <w:color w:val="auto"/>
        </w:rPr>
        <w:t>02600, Norway</w:t>
      </w:r>
    </w:p>
    <w:p>
      <w:pPr>
        <w:ind w:left="120"/>
        <w:spacing w:after="0" w:line="222" w:lineRule="auto"/>
        <w:rPr>
          <w:sz w:val="20"/>
          <w:szCs w:val="20"/>
          <w:color w:val="auto"/>
        </w:rPr>
      </w:pPr>
      <w:r>
        <w:rPr>
          <w:rFonts w:ascii="Times New Roman" w:cs="Times New Roman" w:eastAsia="Times New Roman" w:hAnsi="Times New Roman"/>
          <w:sz w:val="14"/>
          <w:szCs w:val="14"/>
          <w:color w:val="auto"/>
        </w:rPr>
        <w:t>BCTO Bluebill Buyer, Inc.</w:t>
      </w:r>
      <w:r>
        <w:rPr>
          <w:rFonts w:ascii="Times New Roman" w:cs="Times New Roman" w:eastAsia="Times New Roman" w:hAnsi="Times New Roman"/>
          <w:sz w:val="10"/>
          <w:szCs w:val="10"/>
          <w:color w:val="auto"/>
        </w:rPr>
        <w:t>(3)(5)</w:t>
      </w:r>
    </w:p>
    <w:p>
      <w:pPr>
        <w:ind w:left="260"/>
        <w:spacing w:after="0" w:line="221" w:lineRule="auto"/>
        <w:rPr>
          <w:sz w:val="20"/>
          <w:szCs w:val="20"/>
          <w:color w:val="auto"/>
        </w:rPr>
      </w:pPr>
      <w:r>
        <w:rPr>
          <w:rFonts w:ascii="Times New Roman" w:cs="Times New Roman" w:eastAsia="Times New Roman" w:hAnsi="Times New Roman"/>
          <w:sz w:val="14"/>
          <w:szCs w:val="14"/>
          <w:color w:val="auto"/>
        </w:rPr>
        <w:t>6100 W. 96th Street, Suite 100</w:t>
      </w:r>
    </w:p>
    <w:p>
      <w:pPr>
        <w:ind w:left="260"/>
        <w:spacing w:after="0" w:line="221" w:lineRule="auto"/>
        <w:rPr>
          <w:sz w:val="20"/>
          <w:szCs w:val="20"/>
          <w:color w:val="auto"/>
        </w:rPr>
      </w:pPr>
      <w:r>
        <w:rPr>
          <w:rFonts w:ascii="Times New Roman" w:cs="Times New Roman" w:eastAsia="Times New Roman" w:hAnsi="Times New Roman"/>
          <w:sz w:val="14"/>
          <w:szCs w:val="14"/>
          <w:color w:val="auto"/>
        </w:rPr>
        <w:t>Indianapolis, IN 46278</w:t>
      </w:r>
    </w:p>
    <w:p>
      <w:pPr>
        <w:ind w:left="120"/>
        <w:spacing w:after="0" w:line="222" w:lineRule="auto"/>
        <w:rPr>
          <w:sz w:val="20"/>
          <w:szCs w:val="20"/>
          <w:color w:val="auto"/>
        </w:rPr>
      </w:pPr>
      <w:r>
        <w:rPr>
          <w:rFonts w:ascii="Times New Roman" w:cs="Times New Roman" w:eastAsia="Times New Roman" w:hAnsi="Times New Roman"/>
          <w:sz w:val="14"/>
          <w:szCs w:val="14"/>
          <w:color w:val="auto"/>
        </w:rPr>
        <w:t>BTRS Holdings, Inc.</w:t>
      </w:r>
      <w:r>
        <w:rPr>
          <w:rFonts w:ascii="Times New Roman" w:cs="Times New Roman" w:eastAsia="Times New Roman" w:hAnsi="Times New Roman"/>
          <w:sz w:val="10"/>
          <w:szCs w:val="10"/>
          <w:color w:val="auto"/>
        </w:rPr>
        <w:t>(3)</w:t>
      </w:r>
    </w:p>
    <w:p>
      <w:pPr>
        <w:ind w:left="260"/>
        <w:spacing w:after="0" w:line="221" w:lineRule="auto"/>
        <w:rPr>
          <w:sz w:val="20"/>
          <w:szCs w:val="20"/>
          <w:color w:val="auto"/>
        </w:rPr>
      </w:pPr>
      <w:r>
        <w:rPr>
          <w:rFonts w:ascii="Times New Roman" w:cs="Times New Roman" w:eastAsia="Times New Roman" w:hAnsi="Times New Roman"/>
          <w:sz w:val="14"/>
          <w:szCs w:val="14"/>
          <w:color w:val="auto"/>
        </w:rPr>
        <w:t>1009 Lenox Drive</w:t>
      </w:r>
    </w:p>
    <w:p>
      <w:pPr>
        <w:ind w:left="260"/>
        <w:spacing w:after="0" w:line="221" w:lineRule="auto"/>
        <w:rPr>
          <w:sz w:val="20"/>
          <w:szCs w:val="20"/>
          <w:color w:val="auto"/>
        </w:rPr>
      </w:pPr>
      <w:r>
        <w:rPr>
          <w:rFonts w:ascii="Times New Roman" w:cs="Times New Roman" w:eastAsia="Times New Roman" w:hAnsi="Times New Roman"/>
          <w:sz w:val="14"/>
          <w:szCs w:val="14"/>
          <w:color w:val="auto"/>
        </w:rPr>
        <w:t>Suite 101</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Lawrenceville, NJ 08648</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CLGF HoldCo 2, LLC</w:t>
      </w:r>
      <w:r>
        <w:rPr>
          <w:rFonts w:ascii="Times New Roman" w:cs="Times New Roman" w:eastAsia="Times New Roman" w:hAnsi="Times New Roman"/>
          <w:sz w:val="10"/>
          <w:szCs w:val="10"/>
          <w:color w:val="auto"/>
        </w:rPr>
        <w:t>(3)(4)</w:t>
      </w:r>
    </w:p>
    <w:p>
      <w:pPr>
        <w:ind w:left="260"/>
        <w:spacing w:after="0" w:line="226" w:lineRule="auto"/>
        <w:rPr>
          <w:sz w:val="20"/>
          <w:szCs w:val="20"/>
          <w:color w:val="auto"/>
        </w:rPr>
      </w:pPr>
      <w:r>
        <w:rPr>
          <w:rFonts w:ascii="Times New Roman" w:cs="Times New Roman" w:eastAsia="Times New Roman" w:hAnsi="Times New Roman"/>
          <w:sz w:val="14"/>
          <w:szCs w:val="14"/>
          <w:color w:val="auto"/>
        </w:rPr>
        <w:t>14600 NW Greenbrier Pkwy</w:t>
      </w:r>
    </w:p>
    <w:p>
      <w:pPr>
        <w:ind w:left="260"/>
        <w:spacing w:after="0" w:line="222" w:lineRule="auto"/>
        <w:rPr>
          <w:sz w:val="20"/>
          <w:szCs w:val="20"/>
          <w:color w:val="auto"/>
        </w:rPr>
      </w:pPr>
      <w:r>
        <w:rPr>
          <w:rFonts w:ascii="Times New Roman" w:cs="Times New Roman" w:eastAsia="Times New Roman" w:hAnsi="Times New Roman"/>
          <w:sz w:val="14"/>
          <w:szCs w:val="14"/>
          <w:color w:val="auto"/>
        </w:rPr>
        <w:t>Beaverton, OR 97006</w:t>
      </w:r>
    </w:p>
    <w:p>
      <w:pPr>
        <w:ind w:left="260"/>
        <w:spacing w:after="0"/>
        <w:rPr>
          <w:sz w:val="20"/>
          <w:szCs w:val="20"/>
          <w:color w:val="auto"/>
        </w:rPr>
      </w:pPr>
      <w:r>
        <w:rPr>
          <w:rFonts w:ascii="Times New Roman" w:cs="Times New Roman" w:eastAsia="Times New Roman" w:hAnsi="Times New Roman"/>
          <w:sz w:val="14"/>
          <w:szCs w:val="14"/>
          <w:color w:val="auto"/>
        </w:rPr>
        <w:t>USA</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Fullsteam Operations LLC</w:t>
      </w:r>
      <w:r>
        <w:rPr>
          <w:rFonts w:ascii="Times New Roman" w:cs="Times New Roman" w:eastAsia="Times New Roman" w:hAnsi="Times New Roman"/>
          <w:sz w:val="10"/>
          <w:szCs w:val="10"/>
          <w:color w:val="auto"/>
        </w:rPr>
        <w:t>(3)</w:t>
      </w:r>
    </w:p>
    <w:p>
      <w:pPr>
        <w:ind w:left="260"/>
        <w:spacing w:after="0" w:line="226" w:lineRule="auto"/>
        <w:rPr>
          <w:sz w:val="20"/>
          <w:szCs w:val="20"/>
          <w:color w:val="auto"/>
        </w:rPr>
      </w:pPr>
      <w:r>
        <w:rPr>
          <w:rFonts w:ascii="Times New Roman" w:cs="Times New Roman" w:eastAsia="Times New Roman" w:hAnsi="Times New Roman"/>
          <w:sz w:val="14"/>
          <w:szCs w:val="14"/>
          <w:color w:val="auto"/>
        </w:rPr>
        <w:t>540 Devall Drive</w:t>
      </w:r>
    </w:p>
    <w:p>
      <w:pPr>
        <w:ind w:left="260"/>
        <w:spacing w:after="0" w:line="222" w:lineRule="auto"/>
        <w:rPr>
          <w:sz w:val="20"/>
          <w:szCs w:val="20"/>
          <w:color w:val="auto"/>
        </w:rPr>
      </w:pPr>
      <w:r>
        <w:rPr>
          <w:rFonts w:ascii="Times New Roman" w:cs="Times New Roman" w:eastAsia="Times New Roman" w:hAnsi="Times New Roman"/>
          <w:sz w:val="14"/>
          <w:szCs w:val="14"/>
          <w:color w:val="auto"/>
        </w:rPr>
        <w:t>Suite 301</w:t>
      </w:r>
    </w:p>
    <w:p>
      <w:pPr>
        <w:ind w:left="260"/>
        <w:spacing w:after="0"/>
        <w:rPr>
          <w:sz w:val="20"/>
          <w:szCs w:val="20"/>
          <w:color w:val="auto"/>
        </w:rPr>
      </w:pPr>
      <w:r>
        <w:rPr>
          <w:rFonts w:ascii="Times New Roman" w:cs="Times New Roman" w:eastAsia="Times New Roman" w:hAnsi="Times New Roman"/>
          <w:sz w:val="14"/>
          <w:szCs w:val="14"/>
          <w:color w:val="auto"/>
        </w:rPr>
        <w:t>Auburn, AL 36832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13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2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66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Percentage</w:t>
            </w: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0" w:type="dxa"/>
            <w:vAlign w:val="bottom"/>
          </w:tcPr>
          <w:p>
            <w:pPr>
              <w:spacing w:after="0"/>
              <w:rPr>
                <w:sz w:val="1"/>
                <w:szCs w:val="1"/>
                <w:color w:val="auto"/>
              </w:rPr>
            </w:pPr>
          </w:p>
        </w:tc>
      </w:tr>
      <w:tr>
        <w:trPr>
          <w:trHeight w:val="148"/>
        </w:trPr>
        <w:tc>
          <w:tcPr>
            <w:tcW w:w="15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100" w:type="dxa"/>
            <w:vAlign w:val="bottom"/>
          </w:tcPr>
          <w:p>
            <w:pPr>
              <w:spacing w:after="0"/>
              <w:rPr>
                <w:sz w:val="12"/>
                <w:szCs w:val="1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160" w:type="dxa"/>
            <w:vAlign w:val="bottom"/>
            <w:gridSpan w:val="2"/>
          </w:tcPr>
          <w:p>
            <w:pPr>
              <w:spacing w:after="0"/>
              <w:rPr>
                <w:sz w:val="12"/>
                <w:szCs w:val="12"/>
                <w:color w:val="auto"/>
              </w:rPr>
            </w:pPr>
          </w:p>
        </w:tc>
        <w:tc>
          <w:tcPr>
            <w:tcW w:w="880" w:type="dxa"/>
            <w:vAlign w:val="bottom"/>
            <w:tcBorders>
              <w:bottom w:val="single" w:sz="8" w:color="auto"/>
            </w:tcBorders>
          </w:tcPr>
          <w:p>
            <w:pPr>
              <w:jc w:val="right"/>
              <w:ind w:right="89"/>
              <w:spacing w:after="0" w:line="148" w:lineRule="exact"/>
              <w:rPr>
                <w:sz w:val="20"/>
                <w:szCs w:val="20"/>
                <w:color w:val="auto"/>
              </w:rPr>
            </w:pPr>
            <w:r>
              <w:rPr>
                <w:rFonts w:ascii="Times New Roman" w:cs="Times New Roman" w:eastAsia="Times New Roman" w:hAnsi="Times New Roman"/>
                <w:sz w:val="11"/>
                <w:szCs w:val="11"/>
                <w:b w:val="1"/>
                <w:bCs w:val="1"/>
                <w:color w:val="auto"/>
              </w:rPr>
              <w:t>Fair Value</w:t>
            </w:r>
            <w:r>
              <w:rPr>
                <w:rFonts w:ascii="Times New Roman" w:cs="Times New Roman" w:eastAsia="Times New Roman" w:hAnsi="Times New Roman"/>
                <w:sz w:val="16"/>
                <w:szCs w:val="16"/>
                <w:b w:val="1"/>
                <w:bCs w:val="1"/>
                <w:color w:val="auto"/>
                <w:vertAlign w:val="superscript"/>
              </w:rPr>
              <w:t>(6)</w:t>
            </w:r>
          </w:p>
        </w:tc>
        <w:tc>
          <w:tcPr>
            <w:tcW w:w="20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c>
          <w:tcPr>
            <w:tcW w:w="280" w:type="dxa"/>
            <w:vAlign w:val="bottom"/>
          </w:tcPr>
          <w:p>
            <w:pPr>
              <w:spacing w:after="0"/>
              <w:rPr>
                <w:sz w:val="12"/>
                <w:szCs w:val="12"/>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Class Held</w:t>
            </w:r>
          </w:p>
        </w:tc>
        <w:tc>
          <w:tcPr>
            <w:tcW w:w="0" w:type="dxa"/>
            <w:vAlign w:val="bottom"/>
          </w:tcPr>
          <w:p>
            <w:pPr>
              <w:spacing w:after="0"/>
              <w:rPr>
                <w:sz w:val="1"/>
                <w:szCs w:val="1"/>
                <w:color w:val="auto"/>
              </w:rPr>
            </w:pPr>
          </w:p>
        </w:tc>
      </w:tr>
      <w:tr>
        <w:trPr>
          <w:trHeight w:val="254"/>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5/22/2024</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E + 5.75%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9.55%</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214,132</w:t>
            </w: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225,340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7.3%</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(EUR 201,909 par, due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(EUR 201,909)</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5/2031)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($89,521</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1/26/2024</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SOFR + 6.25%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11.53%</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86,826</w:t>
            </w: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88,195</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 due 1/2031)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4"/>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($78,971</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1/27/2023</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SOFR + 7.35%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12.20%</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77,593</w:t>
            </w: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80,551</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 due 10/2026)</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4"/>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($32,392</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1/26/2024</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SOFR + 6.25%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11.12%</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31,331</w:t>
            </w: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32,142</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 due 10/2026)</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409,882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426,228</w:t>
            </w:r>
          </w:p>
        </w:tc>
        <w:tc>
          <w:tcPr>
            <w:tcW w:w="200" w:type="dxa"/>
            <w:vAlign w:val="bottom"/>
          </w:tcPr>
          <w:p>
            <w:pPr>
              <w:spacing w:after="0"/>
              <w:rPr>
                <w:sz w:val="13"/>
                <w:szCs w:val="13"/>
                <w:color w:val="auto"/>
              </w:rPr>
            </w:pPr>
          </w:p>
        </w:tc>
        <w:tc>
          <w:tcPr>
            <w:tcW w:w="88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13.8%</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($157,500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11/2/2023</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SOFR + 7.00%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12.29%</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153,099</w:t>
            </w: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160,650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5.2%</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 due 11/2030)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($222,973</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9/30/2024</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SOFR + 5.00%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9.25%</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220,473</w:t>
            </w: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220,473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 due 9/2031)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1"/>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(EUR 727</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5/30/2023</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E + 5.75%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9.10%</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758</w:t>
            </w: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822</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 due 5/2030)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(EUR 737)</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($7,676 par,</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7/20/2023</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SOFR + 6.25%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11.50%</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7,443</w:t>
            </w: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7,676</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0.2%</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7/2029)</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($145,509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12/16/2022</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SOFR + 8.00%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12.86%</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142,457</w:t>
            </w: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146,964</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 due 12/2028)</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revolving loan</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12/16/2022</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SOFR + 7.25%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12.31%</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5,118</w:t>
            </w: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5,566</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0.2%</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($5,422 par, due 12/2028)</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11/7/2023</w:t>
            </w:r>
          </w:p>
        </w:tc>
        <w:tc>
          <w:tcPr>
            <w:tcW w:w="1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SOFR + 8.50%</w:t>
            </w: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13.10%</w:t>
            </w:r>
          </w:p>
        </w:tc>
        <w:tc>
          <w:tcPr>
            <w:tcW w:w="5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96,409</w:t>
            </w:r>
          </w:p>
        </w:tc>
        <w:tc>
          <w:tcPr>
            <w:tcW w:w="140" w:type="dxa"/>
            <w:vAlign w:val="bottom"/>
          </w:tcPr>
          <w:p>
            <w:pPr>
              <w:spacing w:after="0"/>
              <w:rPr>
                <w:sz w:val="12"/>
                <w:szCs w:val="12"/>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98,147</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3.2%</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loan ($97,902</w:t>
            </w:r>
          </w:p>
        </w:tc>
        <w:tc>
          <w:tcPr>
            <w:tcW w:w="9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 due 11/2027)</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Second-lien loan ($83,916</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11/7/2023</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SOFR + 12.00%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16.60%</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78,521</w:t>
            </w: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84,336</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par, due 11/2028)</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11/27/2023</w:t>
            </w:r>
          </w:p>
        </w:tc>
        <w:tc>
          <w:tcPr>
            <w:tcW w:w="1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SOFR + 8.40%</w:t>
            </w: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13.46%</w:t>
            </w:r>
          </w:p>
        </w:tc>
        <w:tc>
          <w:tcPr>
            <w:tcW w:w="5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87,442</w:t>
            </w:r>
          </w:p>
        </w:tc>
        <w:tc>
          <w:tcPr>
            <w:tcW w:w="140" w:type="dxa"/>
            <w:vAlign w:val="bottom"/>
          </w:tcPr>
          <w:p>
            <w:pPr>
              <w:spacing w:after="0"/>
              <w:rPr>
                <w:sz w:val="12"/>
                <w:szCs w:val="12"/>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90,626</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2.9%</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loan ($90,253</w:t>
            </w:r>
          </w:p>
        </w:tc>
        <w:tc>
          <w:tcPr>
            <w:tcW w:w="9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 due 11/2029)</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-5642610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-4853305</wp:posOffset>
            </wp:positionV>
            <wp:extent cx="6995160" cy="939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-4287520</wp:posOffset>
            </wp:positionV>
            <wp:extent cx="6995160" cy="4718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995160" cy="471805"/>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-3344545</wp:posOffset>
            </wp:positionV>
            <wp:extent cx="699516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995160" cy="188595"/>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-3027680</wp:posOffset>
            </wp:positionV>
            <wp:extent cx="6995160" cy="939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-2650490</wp:posOffset>
            </wp:positionV>
            <wp:extent cx="6995160" cy="93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-1990725</wp:posOffset>
            </wp:positionV>
            <wp:extent cx="6995160" cy="94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-1613535</wp:posOffset>
            </wp:positionV>
            <wp:extent cx="6995160" cy="2825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995160" cy="282575"/>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-953135</wp:posOffset>
            </wp:positionV>
            <wp:extent cx="699516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995160" cy="188595"/>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-387350</wp:posOffset>
            </wp:positionV>
            <wp:extent cx="699516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39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2">
            <w:col w:w="2400" w:space="380"/>
            <w:col w:w="832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r>
      <w:tr>
        <w:trPr>
          <w:trHeight w:val="122"/>
        </w:trPr>
        <w:tc>
          <w:tcPr>
            <w:tcW w:w="6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2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6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Amortized</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jc w:val="right"/>
              <w:ind w:right="258"/>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5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0"/>
                <w:szCs w:val="10"/>
                <w:b w:val="1"/>
                <w:bCs w:val="1"/>
                <w:color w:val="auto"/>
                <w:w w:val="95"/>
              </w:rPr>
              <w:t>Company</w:t>
            </w:r>
            <w:r>
              <w:rPr>
                <w:rFonts w:ascii="Times New Roman" w:cs="Times New Roman" w:eastAsia="Times New Roman" w:hAnsi="Times New Roman"/>
                <w:sz w:val="15"/>
                <w:szCs w:val="15"/>
                <w:b w:val="1"/>
                <w:bCs w:val="1"/>
                <w:color w:val="auto"/>
                <w:w w:val="95"/>
                <w:vertAlign w:val="superscript"/>
              </w:rPr>
              <w:t>(1)(9)</w:t>
            </w:r>
          </w:p>
        </w:tc>
        <w:tc>
          <w:tcPr>
            <w:tcW w:w="1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6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94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(6)</w:t>
            </w:r>
          </w:p>
        </w:tc>
        <w:tc>
          <w:tcPr>
            <w:tcW w:w="880" w:type="dxa"/>
            <w:vAlign w:val="bottom"/>
            <w:gridSpan w:val="2"/>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Class Held</w:t>
            </w:r>
          </w:p>
        </w:tc>
      </w:tr>
      <w:tr>
        <w:trPr>
          <w:trHeight w:val="108"/>
        </w:trPr>
        <w:tc>
          <w:tcPr>
            <w:tcW w:w="254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GreenShoot BidCo B.V.</w:t>
            </w:r>
            <w:r>
              <w:rPr>
                <w:rFonts w:ascii="Times New Roman" w:cs="Times New Roman" w:eastAsia="Times New Roman" w:hAnsi="Times New Roman"/>
                <w:sz w:val="9"/>
                <w:szCs w:val="9"/>
                <w:color w:val="auto"/>
              </w:rPr>
              <w:t>(3)(4)</w:t>
            </w:r>
          </w:p>
        </w:tc>
        <w:tc>
          <w:tcPr>
            <w:tcW w:w="360" w:type="dxa"/>
            <w:vAlign w:val="bottom"/>
            <w:tcBorders>
              <w:top w:val="single" w:sz="8" w:color="CCEEFF"/>
            </w:tcBorders>
            <w:shd w:val="clear" w:color="auto" w:fill="CCEEFF"/>
          </w:tcPr>
          <w:p>
            <w:pPr>
              <w:spacing w:after="0"/>
              <w:rPr>
                <w:sz w:val="9"/>
                <w:szCs w:val="9"/>
                <w:color w:val="auto"/>
              </w:rPr>
            </w:pPr>
          </w:p>
        </w:tc>
        <w:tc>
          <w:tcPr>
            <w:tcW w:w="156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First-lien loan (EUR 5,107</w:t>
            </w:r>
          </w:p>
        </w:tc>
        <w:tc>
          <w:tcPr>
            <w:tcW w:w="12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5/28/2024</w:t>
            </w:r>
          </w:p>
        </w:tc>
        <w:tc>
          <w:tcPr>
            <w:tcW w:w="12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E + 5.75%</w:t>
            </w:r>
          </w:p>
        </w:tc>
        <w:tc>
          <w:tcPr>
            <w:tcW w:w="10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9.27%</w:t>
            </w: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right w:val="single" w:sz="8" w:color="CCEEFF"/>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5,409</w:t>
            </w:r>
          </w:p>
        </w:tc>
        <w:tc>
          <w:tcPr>
            <w:tcW w:w="12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5,623</w:t>
            </w:r>
          </w:p>
        </w:tc>
        <w:tc>
          <w:tcPr>
            <w:tcW w:w="2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0.2</w:t>
            </w:r>
          </w:p>
        </w:tc>
        <w:tc>
          <w:tcPr>
            <w:tcW w:w="280" w:type="dxa"/>
            <w:vAlign w:val="bottom"/>
            <w:tcBorders>
              <w:top w:val="single" w:sz="8" w:color="CCEEFF"/>
            </w:tcBorders>
            <w:shd w:val="clear" w:color="auto" w:fill="CCEEFF"/>
          </w:tcPr>
          <w:p>
            <w:pPr>
              <w:jc w:val="right"/>
              <w:ind w:right="9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48"/>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Prinsengracht 769 A</w:t>
            </w:r>
          </w:p>
        </w:tc>
        <w:tc>
          <w:tcPr>
            <w:tcW w:w="204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par, due 5/2030)</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(EUR 5,038)</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9"/>
        </w:trPr>
        <w:tc>
          <w:tcPr>
            <w:tcW w:w="2540" w:type="dxa"/>
            <w:vAlign w:val="bottom"/>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1017JZ Amsterdam</w:t>
            </w: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Netherlands</w:t>
            </w:r>
          </w:p>
        </w:tc>
        <w:tc>
          <w:tcPr>
            <w:tcW w:w="3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2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Ping Identity Holding</w:t>
            </w:r>
          </w:p>
        </w:tc>
        <w:tc>
          <w:tcPr>
            <w:tcW w:w="2040" w:type="dxa"/>
            <w:vAlign w:val="bottom"/>
            <w:gridSpan w:val="3"/>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($136,364</w:t>
            </w:r>
          </w:p>
        </w:tc>
        <w:tc>
          <w:tcPr>
            <w:tcW w:w="9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10/17/2022</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+ 6.75%</w:t>
            </w:r>
          </w:p>
        </w:tc>
        <w:tc>
          <w:tcPr>
            <w:tcW w:w="12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11.35%</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133,908</w:t>
            </w:r>
          </w:p>
        </w:tc>
        <w:tc>
          <w:tcPr>
            <w:tcW w:w="120" w:type="dxa"/>
            <w:vAlign w:val="bottom"/>
          </w:tcPr>
          <w:p>
            <w:pPr>
              <w:spacing w:after="0"/>
              <w:rPr>
                <w:sz w:val="10"/>
                <w:szCs w:val="10"/>
                <w:color w:val="auto"/>
              </w:rPr>
            </w:pPr>
          </w:p>
        </w:tc>
        <w:tc>
          <w:tcPr>
            <w:tcW w:w="94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137,727</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4.5%</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5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Corp.</w:t>
            </w:r>
            <w:r>
              <w:rPr>
                <w:rFonts w:ascii="Times New Roman" w:cs="Times New Roman" w:eastAsia="Times New Roman" w:hAnsi="Times New Roman"/>
                <w:sz w:val="10"/>
                <w:szCs w:val="10"/>
                <w:color w:val="auto"/>
              </w:rPr>
              <w:t>(3)</w:t>
            </w:r>
          </w:p>
        </w:tc>
        <w:tc>
          <w:tcPr>
            <w:tcW w:w="2040" w:type="dxa"/>
            <w:vAlign w:val="bottom"/>
            <w:gridSpan w:val="3"/>
          </w:tcPr>
          <w:p>
            <w:pPr>
              <w:ind w:left="360"/>
              <w:spacing w:after="0" w:line="149" w:lineRule="exact"/>
              <w:rPr>
                <w:sz w:val="20"/>
                <w:szCs w:val="20"/>
                <w:color w:val="auto"/>
              </w:rPr>
            </w:pPr>
            <w:r>
              <w:rPr>
                <w:rFonts w:ascii="Times New Roman" w:cs="Times New Roman" w:eastAsia="Times New Roman" w:hAnsi="Times New Roman"/>
                <w:sz w:val="14"/>
                <w:szCs w:val="14"/>
                <w:color w:val="auto"/>
              </w:rPr>
              <w:t>par, due 10/2029)</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5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17th Street, Suite 100</w:t>
            </w: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Denver, CO 80202</w:t>
            </w: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Volante Technologies, Inc.</w:t>
            </w:r>
          </w:p>
        </w:tc>
        <w:tc>
          <w:tcPr>
            <w:tcW w:w="2040" w:type="dxa"/>
            <w:vAlign w:val="bottom"/>
            <w:gridSpan w:val="3"/>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($2,948 par,</w:t>
            </w:r>
          </w:p>
        </w:tc>
        <w:tc>
          <w:tcPr>
            <w:tcW w:w="9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9/29/2023</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16.50%</w:t>
            </w:r>
          </w:p>
        </w:tc>
        <w:tc>
          <w:tcPr>
            <w:tcW w:w="12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16.50%</w:t>
            </w:r>
          </w:p>
        </w:tc>
        <w:tc>
          <w:tcPr>
            <w:tcW w:w="540" w:type="dxa"/>
            <w:vAlign w:val="bottom"/>
            <w:tcBorders>
              <w:right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2,928</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3,021</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Harborside 5</w:t>
            </w:r>
          </w:p>
        </w:tc>
        <w:tc>
          <w:tcPr>
            <w:tcW w:w="204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due 9/2028)</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185 Hudson Street,</w:t>
            </w: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1605</w:t>
            </w: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Jersey City, NJ 07311</w:t>
            </w:r>
          </w:p>
        </w:tc>
        <w:tc>
          <w:tcPr>
            <w:tcW w:w="3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3"/>
        </w:trPr>
        <w:tc>
          <w:tcPr>
            <w:tcW w:w="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560,393</w:t>
            </w:r>
          </w:p>
        </w:tc>
        <w:tc>
          <w:tcPr>
            <w:tcW w:w="12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580,508</w:t>
            </w:r>
          </w:p>
        </w:tc>
        <w:tc>
          <w:tcPr>
            <w:tcW w:w="200" w:type="dxa"/>
            <w:vAlign w:val="bottom"/>
          </w:tcPr>
          <w:p>
            <w:pPr>
              <w:spacing w:after="0"/>
              <w:rPr>
                <w:sz w:val="14"/>
                <w:szCs w:val="14"/>
                <w:color w:val="auto"/>
              </w:rPr>
            </w:pPr>
          </w:p>
        </w:tc>
        <w:tc>
          <w:tcPr>
            <w:tcW w:w="880" w:type="dxa"/>
            <w:vAlign w:val="bottom"/>
            <w:gridSpan w:val="2"/>
          </w:tcPr>
          <w:p>
            <w:pPr>
              <w:jc w:val="right"/>
              <w:ind w:right="98"/>
              <w:spacing w:after="0" w:line="155" w:lineRule="exact"/>
              <w:rPr>
                <w:sz w:val="20"/>
                <w:szCs w:val="20"/>
                <w:color w:val="auto"/>
              </w:rPr>
            </w:pPr>
            <w:r>
              <w:rPr>
                <w:rFonts w:ascii="Times New Roman" w:cs="Times New Roman" w:eastAsia="Times New Roman" w:hAnsi="Times New Roman"/>
                <w:sz w:val="14"/>
                <w:szCs w:val="14"/>
                <w:color w:val="auto"/>
              </w:rPr>
              <w:t>18.8%</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26"/>
        </w:trPr>
        <w:tc>
          <w:tcPr>
            <w:tcW w:w="2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Edge Bidco B.V</w:t>
            </w:r>
            <w:r>
              <w:rPr>
                <w:rFonts w:ascii="Times New Roman" w:cs="Times New Roman" w:eastAsia="Times New Roman" w:hAnsi="Times New Roman"/>
                <w:sz w:val="10"/>
                <w:szCs w:val="10"/>
                <w:color w:val="auto"/>
              </w:rPr>
              <w:t>(3)(4)(5)</w:t>
            </w:r>
          </w:p>
        </w:tc>
        <w:tc>
          <w:tcPr>
            <w:tcW w:w="2040" w:type="dxa"/>
            <w:vAlign w:val="bottom"/>
            <w:gridSpan w:val="3"/>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(EUR 5,947</w:t>
            </w:r>
          </w:p>
        </w:tc>
        <w:tc>
          <w:tcPr>
            <w:tcW w:w="9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2/24/2023</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+ 6.75%</w:t>
            </w:r>
          </w:p>
        </w:tc>
        <w:tc>
          <w:tcPr>
            <w:tcW w:w="12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10.10%</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6,210</w:t>
            </w:r>
          </w:p>
        </w:tc>
        <w:tc>
          <w:tcPr>
            <w:tcW w:w="120" w:type="dxa"/>
            <w:vAlign w:val="bottom"/>
          </w:tcPr>
          <w:p>
            <w:pPr>
              <w:spacing w:after="0"/>
              <w:rPr>
                <w:sz w:val="10"/>
                <w:szCs w:val="10"/>
                <w:color w:val="auto"/>
              </w:rPr>
            </w:pPr>
          </w:p>
        </w:tc>
        <w:tc>
          <w:tcPr>
            <w:tcW w:w="94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6,772</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5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De Lairessestraat 145</w:t>
            </w:r>
          </w:p>
        </w:tc>
        <w:tc>
          <w:tcPr>
            <w:tcW w:w="2040" w:type="dxa"/>
            <w:vAlign w:val="bottom"/>
            <w:gridSpan w:val="3"/>
          </w:tcPr>
          <w:p>
            <w:pPr>
              <w:ind w:left="360"/>
              <w:spacing w:after="0" w:line="149" w:lineRule="exact"/>
              <w:rPr>
                <w:sz w:val="20"/>
                <w:szCs w:val="20"/>
                <w:color w:val="auto"/>
              </w:rPr>
            </w:pPr>
            <w:r>
              <w:rPr>
                <w:rFonts w:ascii="Times New Roman" w:cs="Times New Roman" w:eastAsia="Times New Roman" w:hAnsi="Times New Roman"/>
                <w:sz w:val="14"/>
                <w:szCs w:val="14"/>
                <w:color w:val="auto"/>
              </w:rPr>
              <w:t>par, due 2/2029)</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(EUR 6,068)</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5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1075 HJ Amsterdam</w:t>
            </w: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Netherlands</w:t>
            </w: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Raptor US Buyer II Corp.</w:t>
            </w:r>
            <w:r>
              <w:rPr>
                <w:rFonts w:ascii="Times New Roman" w:cs="Times New Roman" w:eastAsia="Times New Roman" w:hAnsi="Times New Roman"/>
                <w:sz w:val="10"/>
                <w:szCs w:val="10"/>
                <w:color w:val="auto"/>
              </w:rPr>
              <w:t>(3)(5)</w:t>
            </w:r>
          </w:p>
        </w:tc>
        <w:tc>
          <w:tcPr>
            <w:tcW w:w="2040" w:type="dxa"/>
            <w:vAlign w:val="bottom"/>
            <w:gridSpan w:val="3"/>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($115,134</w:t>
            </w:r>
          </w:p>
        </w:tc>
        <w:tc>
          <w:tcPr>
            <w:tcW w:w="9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3/24/2023</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+ 6.25%</w:t>
            </w:r>
          </w:p>
        </w:tc>
        <w:tc>
          <w:tcPr>
            <w:tcW w:w="12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11.16%</w:t>
            </w:r>
          </w:p>
        </w:tc>
        <w:tc>
          <w:tcPr>
            <w:tcW w:w="540" w:type="dxa"/>
            <w:vAlign w:val="bottom"/>
            <w:tcBorders>
              <w:right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112,182</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116,328</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3.8%</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9"/>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205 West Wacker Drive, Suite 1800</w:t>
            </w:r>
          </w:p>
        </w:tc>
        <w:tc>
          <w:tcPr>
            <w:tcW w:w="204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par, due 3/2029)</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Chicago, IL 60606</w:t>
            </w:r>
          </w:p>
        </w:tc>
        <w:tc>
          <w:tcPr>
            <w:tcW w:w="3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2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SL Buyer Corp.</w:t>
            </w:r>
            <w:r>
              <w:rPr>
                <w:rFonts w:ascii="Times New Roman" w:cs="Times New Roman" w:eastAsia="Times New Roman" w:hAnsi="Times New Roman"/>
                <w:sz w:val="10"/>
                <w:szCs w:val="10"/>
                <w:color w:val="auto"/>
              </w:rPr>
              <w:t>(3)(5)</w:t>
            </w:r>
          </w:p>
        </w:tc>
        <w:tc>
          <w:tcPr>
            <w:tcW w:w="2040" w:type="dxa"/>
            <w:vAlign w:val="bottom"/>
            <w:gridSpan w:val="3"/>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($3,668 par,</w:t>
            </w:r>
          </w:p>
        </w:tc>
        <w:tc>
          <w:tcPr>
            <w:tcW w:w="9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7/7/2023</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+ 7.75%</w:t>
            </w:r>
          </w:p>
        </w:tc>
        <w:tc>
          <w:tcPr>
            <w:tcW w:w="12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13.00%</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3,534</w:t>
            </w:r>
          </w:p>
        </w:tc>
        <w:tc>
          <w:tcPr>
            <w:tcW w:w="120" w:type="dxa"/>
            <w:vAlign w:val="bottom"/>
          </w:tcPr>
          <w:p>
            <w:pPr>
              <w:spacing w:after="0"/>
              <w:rPr>
                <w:sz w:val="10"/>
                <w:szCs w:val="10"/>
                <w:color w:val="auto"/>
              </w:rPr>
            </w:pPr>
          </w:p>
        </w:tc>
        <w:tc>
          <w:tcPr>
            <w:tcW w:w="94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3,646</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5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111 South Wood Avenue</w:t>
            </w:r>
          </w:p>
        </w:tc>
        <w:tc>
          <w:tcPr>
            <w:tcW w:w="2040" w:type="dxa"/>
            <w:vAlign w:val="bottom"/>
            <w:gridSpan w:val="3"/>
          </w:tcPr>
          <w:p>
            <w:pPr>
              <w:ind w:left="360"/>
              <w:spacing w:after="0" w:line="149" w:lineRule="exact"/>
              <w:rPr>
                <w:sz w:val="20"/>
                <w:szCs w:val="20"/>
                <w:color w:val="auto"/>
              </w:rPr>
            </w:pPr>
            <w:r>
              <w:rPr>
                <w:rFonts w:ascii="Times New Roman" w:cs="Times New Roman" w:eastAsia="Times New Roman" w:hAnsi="Times New Roman"/>
                <w:sz w:val="14"/>
                <w:szCs w:val="14"/>
                <w:color w:val="auto"/>
              </w:rPr>
              <w:t>due 7/2029)</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8"/>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Iselin, NJ 08830</w:t>
            </w: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8"/>
        </w:trPr>
        <w:tc>
          <w:tcPr>
            <w:tcW w:w="64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121,926</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126,746</w:t>
            </w:r>
          </w:p>
        </w:tc>
        <w:tc>
          <w:tcPr>
            <w:tcW w:w="880" w:type="dxa"/>
            <w:vAlign w:val="bottom"/>
            <w:gridSpan w:val="2"/>
            <w:shd w:val="clear" w:color="auto" w:fill="CCEEFF"/>
          </w:tcPr>
          <w:p>
            <w:pPr>
              <w:jc w:val="right"/>
              <w:ind w:right="98"/>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6"/>
        </w:trPr>
        <w:tc>
          <w:tcPr>
            <w:tcW w:w="25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6"/>
        </w:trPr>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Equinox Holdings, Inc.</w:t>
            </w:r>
          </w:p>
        </w:tc>
        <w:tc>
          <w:tcPr>
            <w:tcW w:w="2040" w:type="dxa"/>
            <w:vAlign w:val="bottom"/>
            <w:gridSpan w:val="3"/>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($196,292</w:t>
            </w:r>
          </w:p>
        </w:tc>
        <w:tc>
          <w:tcPr>
            <w:tcW w:w="9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3/8/2024</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+ 8.25%</w:t>
            </w:r>
          </w:p>
        </w:tc>
        <w:tc>
          <w:tcPr>
            <w:tcW w:w="12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12.85%</w:t>
            </w:r>
          </w:p>
        </w:tc>
        <w:tc>
          <w:tcPr>
            <w:tcW w:w="540" w:type="dxa"/>
            <w:vAlign w:val="bottom"/>
            <w:tcBorders>
              <w:right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193,586</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195,802</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6.3%</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31 Hudson Yards</w:t>
            </w:r>
          </w:p>
        </w:tc>
        <w:tc>
          <w:tcPr>
            <w:tcW w:w="204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 xml:space="preserve">par, due 3/2029) </w:t>
            </w:r>
            <w:r>
              <w:rPr>
                <w:rFonts w:ascii="Times New Roman" w:cs="Times New Roman" w:eastAsia="Times New Roman" w:hAnsi="Times New Roman"/>
                <w:sz w:val="10"/>
                <w:szCs w:val="10"/>
                <w:color w:val="auto"/>
              </w:rPr>
              <w:t>(3)</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10001</w:t>
            </w: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5"/>
        </w:trPr>
        <w:tc>
          <w:tcPr>
            <w:tcW w:w="6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PIK)</w:t>
            </w:r>
          </w:p>
        </w:tc>
        <w:tc>
          <w:tcPr>
            <w:tcW w:w="5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26"/>
        </w:trPr>
        <w:tc>
          <w:tcPr>
            <w:tcW w:w="6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40" w:type="dxa"/>
            <w:vAlign w:val="bottom"/>
            <w:gridSpan w:val="3"/>
          </w:tcPr>
          <w:p>
            <w:pPr>
              <w:ind w:left="360"/>
              <w:spacing w:after="0" w:line="126" w:lineRule="exact"/>
              <w:rPr>
                <w:sz w:val="20"/>
                <w:szCs w:val="20"/>
                <w:color w:val="auto"/>
              </w:rPr>
            </w:pPr>
            <w:r>
              <w:rPr>
                <w:rFonts w:ascii="Times New Roman" w:cs="Times New Roman" w:eastAsia="Times New Roman" w:hAnsi="Times New Roman"/>
                <w:sz w:val="14"/>
                <w:szCs w:val="14"/>
                <w:color w:val="auto"/>
              </w:rPr>
              <w:t>Second-lien loan ($9,025</w:t>
            </w:r>
          </w:p>
        </w:tc>
        <w:tc>
          <w:tcPr>
            <w:tcW w:w="9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3/13/2024</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16.00%</w:t>
            </w:r>
          </w:p>
        </w:tc>
        <w:tc>
          <w:tcPr>
            <w:tcW w:w="12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16.00%</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8,813</w:t>
            </w:r>
          </w:p>
        </w:tc>
        <w:tc>
          <w:tcPr>
            <w:tcW w:w="120" w:type="dxa"/>
            <w:vAlign w:val="bottom"/>
          </w:tcPr>
          <w:p>
            <w:pPr>
              <w:spacing w:after="0"/>
              <w:rPr>
                <w:sz w:val="10"/>
                <w:szCs w:val="10"/>
                <w:color w:val="auto"/>
              </w:rPr>
            </w:pPr>
          </w:p>
        </w:tc>
        <w:tc>
          <w:tcPr>
            <w:tcW w:w="94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9,183</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0.3%</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par, due 6/2027)</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PIK</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Sport Alliance GmbH</w:t>
            </w:r>
            <w:r>
              <w:rPr>
                <w:rFonts w:ascii="Times New Roman" w:cs="Times New Roman" w:eastAsia="Times New Roman" w:hAnsi="Times New Roman"/>
                <w:sz w:val="10"/>
                <w:szCs w:val="10"/>
                <w:color w:val="auto"/>
              </w:rPr>
              <w:t>(3)(4)</w:t>
            </w:r>
          </w:p>
        </w:tc>
        <w:tc>
          <w:tcPr>
            <w:tcW w:w="2040" w:type="dxa"/>
            <w:vAlign w:val="bottom"/>
            <w:gridSpan w:val="3"/>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(EUR 4,448</w:t>
            </w:r>
          </w:p>
        </w:tc>
        <w:tc>
          <w:tcPr>
            <w:tcW w:w="9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4/10/2024</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+ 7.25%</w:t>
            </w:r>
          </w:p>
        </w:tc>
        <w:tc>
          <w:tcPr>
            <w:tcW w:w="12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10.74%</w:t>
            </w:r>
          </w:p>
        </w:tc>
        <w:tc>
          <w:tcPr>
            <w:tcW w:w="540" w:type="dxa"/>
            <w:vAlign w:val="bottom"/>
            <w:tcBorders>
              <w:right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4,659</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4,880</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Raboisen 6</w:t>
            </w:r>
          </w:p>
        </w:tc>
        <w:tc>
          <w:tcPr>
            <w:tcW w:w="204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par, due 4/2030)</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(EUR 4,372)</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20095 Hamburg</w:t>
            </w: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5"/>
        </w:trPr>
        <w:tc>
          <w:tcPr>
            <w:tcW w:w="2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Germany</w:t>
            </w:r>
          </w:p>
        </w:tc>
        <w:tc>
          <w:tcPr>
            <w:tcW w:w="3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PIK)</w:t>
            </w:r>
          </w:p>
        </w:tc>
        <w:tc>
          <w:tcPr>
            <w:tcW w:w="540" w:type="dxa"/>
            <w:vAlign w:val="bottom"/>
            <w:tcBorders>
              <w:bottom w:val="single" w:sz="8" w:color="auto"/>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63"/>
        </w:trPr>
        <w:tc>
          <w:tcPr>
            <w:tcW w:w="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207,058</w:t>
            </w:r>
          </w:p>
        </w:tc>
        <w:tc>
          <w:tcPr>
            <w:tcW w:w="12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209,865</w:t>
            </w:r>
          </w:p>
        </w:tc>
        <w:tc>
          <w:tcPr>
            <w:tcW w:w="200" w:type="dxa"/>
            <w:vAlign w:val="bottom"/>
          </w:tcPr>
          <w:p>
            <w:pPr>
              <w:spacing w:after="0"/>
              <w:rPr>
                <w:sz w:val="14"/>
                <w:szCs w:val="14"/>
                <w:color w:val="auto"/>
              </w:rPr>
            </w:pPr>
          </w:p>
        </w:tc>
        <w:tc>
          <w:tcPr>
            <w:tcW w:w="880" w:type="dxa"/>
            <w:vAlign w:val="bottom"/>
            <w:gridSpan w:val="2"/>
          </w:tcPr>
          <w:p>
            <w:pPr>
              <w:jc w:val="right"/>
              <w:ind w:right="98"/>
              <w:spacing w:after="0" w:line="155" w:lineRule="exact"/>
              <w:rPr>
                <w:sz w:val="20"/>
                <w:szCs w:val="20"/>
                <w:color w:val="auto"/>
              </w:rPr>
            </w:pPr>
            <w:r>
              <w:rPr>
                <w:rFonts w:ascii="Times New Roman" w:cs="Times New Roman" w:eastAsia="Times New Roman" w:hAnsi="Times New Roman"/>
                <w:sz w:val="14"/>
                <w:szCs w:val="14"/>
                <w:color w:val="auto"/>
              </w:rPr>
              <w:t>6.8%</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2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Human Resource Support Services</w:t>
            </w: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26"/>
        </w:trPr>
        <w:tc>
          <w:tcPr>
            <w:tcW w:w="2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bswift, LLC</w:t>
            </w:r>
            <w:r>
              <w:rPr>
                <w:rFonts w:ascii="Times New Roman" w:cs="Times New Roman" w:eastAsia="Times New Roman" w:hAnsi="Times New Roman"/>
                <w:sz w:val="10"/>
                <w:szCs w:val="10"/>
                <w:color w:val="auto"/>
              </w:rPr>
              <w:t>(3)(5)</w:t>
            </w:r>
          </w:p>
        </w:tc>
        <w:tc>
          <w:tcPr>
            <w:tcW w:w="2040" w:type="dxa"/>
            <w:vAlign w:val="bottom"/>
            <w:gridSpan w:val="3"/>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($139,902</w:t>
            </w:r>
          </w:p>
        </w:tc>
        <w:tc>
          <w:tcPr>
            <w:tcW w:w="9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11/7/2022</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+ 6.38%</w:t>
            </w:r>
          </w:p>
        </w:tc>
        <w:tc>
          <w:tcPr>
            <w:tcW w:w="12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11.68%</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136,608</w:t>
            </w:r>
          </w:p>
        </w:tc>
        <w:tc>
          <w:tcPr>
            <w:tcW w:w="120" w:type="dxa"/>
            <w:vAlign w:val="bottom"/>
          </w:tcPr>
          <w:p>
            <w:pPr>
              <w:spacing w:after="0"/>
              <w:rPr>
                <w:sz w:val="10"/>
                <w:szCs w:val="10"/>
                <w:color w:val="auto"/>
              </w:rPr>
            </w:pPr>
          </w:p>
        </w:tc>
        <w:tc>
          <w:tcPr>
            <w:tcW w:w="94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141,651</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4.6%</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25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W. Monroe</w:t>
            </w:r>
          </w:p>
        </w:tc>
        <w:tc>
          <w:tcPr>
            <w:tcW w:w="2040" w:type="dxa"/>
            <w:vAlign w:val="bottom"/>
            <w:gridSpan w:val="3"/>
          </w:tcPr>
          <w:p>
            <w:pPr>
              <w:ind w:left="360"/>
              <w:spacing w:after="0" w:line="149" w:lineRule="exact"/>
              <w:rPr>
                <w:sz w:val="20"/>
                <w:szCs w:val="20"/>
                <w:color w:val="auto"/>
              </w:rPr>
            </w:pPr>
            <w:r>
              <w:rPr>
                <w:rFonts w:ascii="Times New Roman" w:cs="Times New Roman" w:eastAsia="Times New Roman" w:hAnsi="Times New Roman"/>
                <w:sz w:val="14"/>
                <w:szCs w:val="14"/>
                <w:color w:val="auto"/>
              </w:rPr>
              <w:t>par, due 11/2028)</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5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3800</w:t>
            </w: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5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Chicago, IL 60661</w:t>
            </w: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HireVue, Inc.</w:t>
            </w:r>
            <w:r>
              <w:rPr>
                <w:rFonts w:ascii="Times New Roman" w:cs="Times New Roman" w:eastAsia="Times New Roman" w:hAnsi="Times New Roman"/>
                <w:sz w:val="10"/>
                <w:szCs w:val="10"/>
                <w:color w:val="auto"/>
              </w:rPr>
              <w:t>(3)</w:t>
            </w:r>
          </w:p>
        </w:tc>
        <w:tc>
          <w:tcPr>
            <w:tcW w:w="2040" w:type="dxa"/>
            <w:vAlign w:val="bottom"/>
            <w:gridSpan w:val="3"/>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($110,055</w:t>
            </w:r>
          </w:p>
        </w:tc>
        <w:tc>
          <w:tcPr>
            <w:tcW w:w="9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5/3/2023</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+ 7.25%</w:t>
            </w:r>
          </w:p>
        </w:tc>
        <w:tc>
          <w:tcPr>
            <w:tcW w:w="12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12.50%</w:t>
            </w:r>
          </w:p>
        </w:tc>
        <w:tc>
          <w:tcPr>
            <w:tcW w:w="540" w:type="dxa"/>
            <w:vAlign w:val="bottom"/>
            <w:tcBorders>
              <w:right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107,603</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111,431</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3.6%</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10876 South River Front Parkway</w:t>
            </w:r>
          </w:p>
        </w:tc>
        <w:tc>
          <w:tcPr>
            <w:tcW w:w="204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par, due 5/2029)</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South Jordan, UT 84095</w:t>
            </w: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3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6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40" w:type="dxa"/>
            <w:vAlign w:val="bottom"/>
            <w:gridSpan w:val="3"/>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revolving loan</w:t>
            </w:r>
          </w:p>
        </w:tc>
        <w:tc>
          <w:tcPr>
            <w:tcW w:w="9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5/3/2023</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+ 7.25%</w:t>
            </w:r>
          </w:p>
        </w:tc>
        <w:tc>
          <w:tcPr>
            <w:tcW w:w="12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12.38%</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5,431</w:t>
            </w:r>
          </w:p>
        </w:tc>
        <w:tc>
          <w:tcPr>
            <w:tcW w:w="120" w:type="dxa"/>
            <w:vAlign w:val="bottom"/>
          </w:tcPr>
          <w:p>
            <w:pPr>
              <w:spacing w:after="0"/>
              <w:rPr>
                <w:sz w:val="10"/>
                <w:szCs w:val="10"/>
                <w:color w:val="auto"/>
              </w:rPr>
            </w:pPr>
          </w:p>
        </w:tc>
        <w:tc>
          <w:tcPr>
            <w:tcW w:w="94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5,922</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($5,746 par, due 5/2029)</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MadCap Software, Inc.</w:t>
            </w:r>
            <w:r>
              <w:rPr>
                <w:rFonts w:ascii="Times New Roman" w:cs="Times New Roman" w:eastAsia="Times New Roman" w:hAnsi="Times New Roman"/>
                <w:sz w:val="10"/>
                <w:szCs w:val="10"/>
                <w:color w:val="auto"/>
              </w:rPr>
              <w:t>(3)(5)</w:t>
            </w:r>
          </w:p>
        </w:tc>
        <w:tc>
          <w:tcPr>
            <w:tcW w:w="2040" w:type="dxa"/>
            <w:vAlign w:val="bottom"/>
            <w:gridSpan w:val="3"/>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($2,481 par,</w:t>
            </w:r>
          </w:p>
        </w:tc>
        <w:tc>
          <w:tcPr>
            <w:tcW w:w="9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12/15/2023</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+ 6.10%</w:t>
            </w:r>
          </w:p>
        </w:tc>
        <w:tc>
          <w:tcPr>
            <w:tcW w:w="12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10.35%</w:t>
            </w:r>
          </w:p>
        </w:tc>
        <w:tc>
          <w:tcPr>
            <w:tcW w:w="540" w:type="dxa"/>
            <w:vAlign w:val="bottom"/>
            <w:tcBorders>
              <w:right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2,437</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2,457</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9171 Towne Centre Drive</w:t>
            </w:r>
          </w:p>
        </w:tc>
        <w:tc>
          <w:tcPr>
            <w:tcW w:w="204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due 12/2026)</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6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1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Diego, CA 92122</w:t>
            </w:r>
          </w:p>
        </w:tc>
        <w:tc>
          <w:tcPr>
            <w:tcW w:w="3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5"/>
        </w:trPr>
        <w:tc>
          <w:tcPr>
            <w:tcW w:w="6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252,079</w:t>
            </w: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261,461</w:t>
            </w:r>
          </w:p>
        </w:tc>
        <w:tc>
          <w:tcPr>
            <w:tcW w:w="200" w:type="dxa"/>
            <w:vAlign w:val="bottom"/>
          </w:tcPr>
          <w:p>
            <w:pPr>
              <w:spacing w:after="0"/>
              <w:rPr>
                <w:sz w:val="13"/>
                <w:szCs w:val="13"/>
                <w:color w:val="auto"/>
              </w:rPr>
            </w:pPr>
          </w:p>
        </w:tc>
        <w:tc>
          <w:tcPr>
            <w:tcW w:w="880" w:type="dxa"/>
            <w:vAlign w:val="bottom"/>
            <w:gridSpan w:val="2"/>
          </w:tcPr>
          <w:p>
            <w:pPr>
              <w:jc w:val="right"/>
              <w:ind w:right="98"/>
              <w:spacing w:after="0" w:line="155" w:lineRule="exact"/>
              <w:rPr>
                <w:sz w:val="20"/>
                <w:szCs w:val="20"/>
                <w:color w:val="auto"/>
              </w:rPr>
            </w:pPr>
            <w:r>
              <w:rPr>
                <w:rFonts w:ascii="Times New Roman" w:cs="Times New Roman" w:eastAsia="Times New Roman" w:hAnsi="Times New Roman"/>
                <w:sz w:val="14"/>
                <w:szCs w:val="14"/>
                <w:color w:val="auto"/>
              </w:rPr>
              <w:t>8.5%</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Initial</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r>
      <w:tr>
        <w:trPr>
          <w:trHeight w:val="122"/>
        </w:trPr>
        <w:tc>
          <w:tcPr>
            <w:tcW w:w="6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14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1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6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right"/>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5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0"/>
                <w:szCs w:val="10"/>
                <w:b w:val="1"/>
                <w:bCs w:val="1"/>
                <w:color w:val="auto"/>
                <w:w w:val="95"/>
              </w:rPr>
              <w:t>Company</w:t>
            </w:r>
            <w:r>
              <w:rPr>
                <w:rFonts w:ascii="Times New Roman" w:cs="Times New Roman" w:eastAsia="Times New Roman" w:hAnsi="Times New Roman"/>
                <w:sz w:val="15"/>
                <w:szCs w:val="15"/>
                <w:b w:val="1"/>
                <w:bCs w:val="1"/>
                <w:color w:val="auto"/>
                <w:w w:val="95"/>
                <w:vertAlign w:val="superscript"/>
              </w:rPr>
              <w:t>(1)(9)</w:t>
            </w:r>
          </w:p>
        </w:tc>
        <w:tc>
          <w:tcPr>
            <w:tcW w:w="1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ind w:left="50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98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Class Held</w:t>
            </w:r>
          </w:p>
        </w:tc>
      </w:tr>
      <w:tr>
        <w:trPr>
          <w:trHeight w:val="122"/>
        </w:trPr>
        <w:tc>
          <w:tcPr>
            <w:tcW w:w="260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240" w:type="dxa"/>
            <w:vAlign w:val="bottom"/>
            <w:tcBorders>
              <w:top w:val="single" w:sz="8" w:color="CCEEFF"/>
            </w:tcBorders>
            <w:shd w:val="clear" w:color="auto" w:fill="CCEEFF"/>
          </w:tcPr>
          <w:p>
            <w:pPr>
              <w:spacing w:after="0"/>
              <w:rPr>
                <w:sz w:val="10"/>
                <w:szCs w:val="10"/>
                <w:color w:val="auto"/>
              </w:rPr>
            </w:pPr>
          </w:p>
        </w:tc>
        <w:tc>
          <w:tcPr>
            <w:tcW w:w="1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26"/>
        </w:trPr>
        <w:tc>
          <w:tcPr>
            <w:tcW w:w="26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Disco Parent, Inc.</w:t>
            </w:r>
            <w:r>
              <w:rPr>
                <w:rFonts w:ascii="Times New Roman" w:cs="Times New Roman" w:eastAsia="Times New Roman" w:hAnsi="Times New Roman"/>
                <w:sz w:val="10"/>
                <w:szCs w:val="10"/>
                <w:color w:val="auto"/>
              </w:rPr>
              <w:t>(3)</w:t>
            </w:r>
          </w:p>
        </w:tc>
        <w:tc>
          <w:tcPr>
            <w:tcW w:w="1860" w:type="dxa"/>
            <w:vAlign w:val="bottom"/>
            <w:gridSpan w:val="3"/>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($57,756</w:t>
            </w: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3/30/2023</w:t>
            </w:r>
          </w:p>
        </w:tc>
        <w:tc>
          <w:tcPr>
            <w:tcW w:w="14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+ 7.50%</w:t>
            </w:r>
          </w:p>
        </w:tc>
        <w:tc>
          <w:tcPr>
            <w:tcW w:w="11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12.56%</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56,567</w:t>
            </w:r>
          </w:p>
        </w:tc>
        <w:tc>
          <w:tcPr>
            <w:tcW w:w="9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58,391</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1.9%</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22 Boston Wharf Road</w:t>
            </w:r>
          </w:p>
        </w:tc>
        <w:tc>
          <w:tcPr>
            <w:tcW w:w="186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par, due 3/2029)</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02210</w:t>
            </w: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2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26"/>
        </w:trPr>
        <w:tc>
          <w:tcPr>
            <w:tcW w:w="26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Arrow Buyer, Inc.</w:t>
            </w:r>
            <w:r>
              <w:rPr>
                <w:rFonts w:ascii="Times New Roman" w:cs="Times New Roman" w:eastAsia="Times New Roman" w:hAnsi="Times New Roman"/>
                <w:sz w:val="10"/>
                <w:szCs w:val="10"/>
                <w:color w:val="auto"/>
              </w:rPr>
              <w:t>(3)</w:t>
            </w:r>
          </w:p>
        </w:tc>
        <w:tc>
          <w:tcPr>
            <w:tcW w:w="1860" w:type="dxa"/>
            <w:vAlign w:val="bottom"/>
            <w:gridSpan w:val="3"/>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($128,889</w:t>
            </w: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6/30/2023</w:t>
            </w:r>
          </w:p>
        </w:tc>
        <w:tc>
          <w:tcPr>
            <w:tcW w:w="14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+ 5.75%</w:t>
            </w:r>
          </w:p>
        </w:tc>
        <w:tc>
          <w:tcPr>
            <w:tcW w:w="11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10.35%</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125,867</w:t>
            </w:r>
          </w:p>
        </w:tc>
        <w:tc>
          <w:tcPr>
            <w:tcW w:w="9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129,635</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4.2%</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 East 49th Street</w:t>
            </w:r>
          </w:p>
        </w:tc>
        <w:tc>
          <w:tcPr>
            <w:tcW w:w="186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par, due 7/2030)</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Tower 49</w:t>
            </w: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10017</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26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Coupa Holdings, LLC </w:t>
            </w:r>
            <w:r>
              <w:rPr>
                <w:rFonts w:ascii="Times New Roman" w:cs="Times New Roman" w:eastAsia="Times New Roman" w:hAnsi="Times New Roman"/>
                <w:sz w:val="10"/>
                <w:szCs w:val="10"/>
                <w:color w:val="auto"/>
              </w:rPr>
              <w:t>(3)</w:t>
            </w:r>
          </w:p>
        </w:tc>
        <w:tc>
          <w:tcPr>
            <w:tcW w:w="1860" w:type="dxa"/>
            <w:vAlign w:val="bottom"/>
            <w:gridSpan w:val="3"/>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($129,249</w:t>
            </w: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2/27/2023</w:t>
            </w:r>
          </w:p>
        </w:tc>
        <w:tc>
          <w:tcPr>
            <w:tcW w:w="14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+ 5.50%</w:t>
            </w:r>
          </w:p>
        </w:tc>
        <w:tc>
          <w:tcPr>
            <w:tcW w:w="114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10.75%</w:t>
            </w:r>
          </w:p>
        </w:tc>
        <w:tc>
          <w:tcPr>
            <w:tcW w:w="6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126,479</w:t>
            </w:r>
          </w:p>
        </w:tc>
        <w:tc>
          <w:tcPr>
            <w:tcW w:w="98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131,494</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4.3%</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1855 S. Grant Street</w:t>
            </w:r>
          </w:p>
        </w:tc>
        <w:tc>
          <w:tcPr>
            <w:tcW w:w="1860" w:type="dxa"/>
            <w:vAlign w:val="bottom"/>
            <w:gridSpan w:val="3"/>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par, due 2/2030)</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26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Hippo XPA Bidco AB</w:t>
            </w:r>
            <w:r>
              <w:rPr>
                <w:rFonts w:ascii="Times New Roman" w:cs="Times New Roman" w:eastAsia="Times New Roman" w:hAnsi="Times New Roman"/>
                <w:sz w:val="10"/>
                <w:szCs w:val="10"/>
                <w:color w:val="auto"/>
              </w:rPr>
              <w:t>(3)(4)</w:t>
            </w:r>
          </w:p>
        </w:tc>
        <w:tc>
          <w:tcPr>
            <w:tcW w:w="1860" w:type="dxa"/>
            <w:vAlign w:val="bottom"/>
            <w:gridSpan w:val="3"/>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(SEK</w:t>
            </w: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2/20/2024</w:t>
            </w:r>
          </w:p>
        </w:tc>
        <w:tc>
          <w:tcPr>
            <w:tcW w:w="14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STIBOR + 6.50%</w:t>
            </w:r>
          </w:p>
        </w:tc>
        <w:tc>
          <w:tcPr>
            <w:tcW w:w="11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9.92%</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7,486</w:t>
            </w:r>
          </w:p>
        </w:tc>
        <w:tc>
          <w:tcPr>
            <w:tcW w:w="9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7,771</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0.3%</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Stora Varvsgatan 11 B, 211 74</w:t>
            </w:r>
          </w:p>
        </w:tc>
        <w:tc>
          <w:tcPr>
            <w:tcW w:w="186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79,513 par, due 2/2031)</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(SEK 78,777)</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Malmö, Sweden</w:t>
            </w: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5"/>
        </w:trPr>
        <w:tc>
          <w:tcPr>
            <w:tcW w:w="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PIK)</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26"/>
        </w:trPr>
        <w:tc>
          <w:tcPr>
            <w:tcW w:w="64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1860" w:type="dxa"/>
            <w:vAlign w:val="bottom"/>
            <w:gridSpan w:val="3"/>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(EUR</w:t>
            </w: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2/20/2024</w:t>
            </w:r>
          </w:p>
        </w:tc>
        <w:tc>
          <w:tcPr>
            <w:tcW w:w="14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+ 6.50%</w:t>
            </w:r>
          </w:p>
        </w:tc>
        <w:tc>
          <w:tcPr>
            <w:tcW w:w="114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9.87%</w:t>
            </w:r>
          </w:p>
        </w:tc>
        <w:tc>
          <w:tcPr>
            <w:tcW w:w="6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2,577</w:t>
            </w:r>
          </w:p>
        </w:tc>
        <w:tc>
          <w:tcPr>
            <w:tcW w:w="98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2,714</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6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860" w:type="dxa"/>
            <w:vAlign w:val="bottom"/>
            <w:gridSpan w:val="3"/>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2,450 par, due 2/2031)</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(EUR 2,432)</w:t>
            </w: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6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5"/>
        </w:trPr>
        <w:tc>
          <w:tcPr>
            <w:tcW w:w="6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PIK)</w:t>
            </w: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26"/>
        </w:trPr>
        <w:tc>
          <w:tcPr>
            <w:tcW w:w="26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Merit Software Finance Holdings, LLC</w:t>
            </w:r>
            <w:r>
              <w:rPr>
                <w:rFonts w:ascii="Times New Roman" w:cs="Times New Roman" w:eastAsia="Times New Roman" w:hAnsi="Times New Roman"/>
                <w:sz w:val="10"/>
                <w:szCs w:val="10"/>
                <w:color w:val="auto"/>
              </w:rPr>
              <w:t>3)</w:t>
            </w:r>
          </w:p>
        </w:tc>
        <w:tc>
          <w:tcPr>
            <w:tcW w:w="1860" w:type="dxa"/>
            <w:vAlign w:val="bottom"/>
            <w:gridSpan w:val="3"/>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($10,714</w:t>
            </w: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6/20/2024</w:t>
            </w:r>
          </w:p>
        </w:tc>
        <w:tc>
          <w:tcPr>
            <w:tcW w:w="14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+ 7.50%</w:t>
            </w:r>
          </w:p>
        </w:tc>
        <w:tc>
          <w:tcPr>
            <w:tcW w:w="11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12.42%</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10,363</w:t>
            </w:r>
          </w:p>
        </w:tc>
        <w:tc>
          <w:tcPr>
            <w:tcW w:w="9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10,414</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0.3%</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2057-A Green Bay Rd. Unit #A 109</w:t>
            </w:r>
          </w:p>
        </w:tc>
        <w:tc>
          <w:tcPr>
            <w:tcW w:w="186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par, due 6/2029)</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Highland Park, IL 60035</w:t>
            </w: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26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SMA Technologies Holdings, LLC</w:t>
            </w:r>
            <w:r>
              <w:rPr>
                <w:rFonts w:ascii="Times New Roman" w:cs="Times New Roman" w:eastAsia="Times New Roman" w:hAnsi="Times New Roman"/>
                <w:sz w:val="10"/>
                <w:szCs w:val="10"/>
                <w:color w:val="auto"/>
              </w:rPr>
              <w:t>(3)(5)</w:t>
            </w:r>
          </w:p>
        </w:tc>
        <w:tc>
          <w:tcPr>
            <w:tcW w:w="1860" w:type="dxa"/>
            <w:vAlign w:val="bottom"/>
            <w:gridSpan w:val="3"/>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($5,667</w:t>
            </w: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10/31/2022</w:t>
            </w:r>
          </w:p>
        </w:tc>
        <w:tc>
          <w:tcPr>
            <w:tcW w:w="14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+ 6.75%</w:t>
            </w:r>
          </w:p>
        </w:tc>
        <w:tc>
          <w:tcPr>
            <w:tcW w:w="114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12.00%</w:t>
            </w:r>
          </w:p>
        </w:tc>
        <w:tc>
          <w:tcPr>
            <w:tcW w:w="6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5,500</w:t>
            </w:r>
          </w:p>
        </w:tc>
        <w:tc>
          <w:tcPr>
            <w:tcW w:w="98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5,780</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9"/>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14237 East Sam Houston Parkway N.</w:t>
            </w:r>
          </w:p>
        </w:tc>
        <w:tc>
          <w:tcPr>
            <w:tcW w:w="1860" w:type="dxa"/>
            <w:vAlign w:val="bottom"/>
            <w:gridSpan w:val="3"/>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par, due 10/2028)</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200-314</w:t>
            </w: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Houston, TX 77044</w:t>
            </w: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3"/>
        </w:trPr>
        <w:tc>
          <w:tcPr>
            <w:tcW w:w="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278,272</w:t>
            </w:r>
          </w:p>
        </w:tc>
        <w:tc>
          <w:tcPr>
            <w:tcW w:w="140" w:type="dxa"/>
            <w:vAlign w:val="bottom"/>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287,808</w:t>
            </w:r>
          </w:p>
        </w:tc>
        <w:tc>
          <w:tcPr>
            <w:tcW w:w="180" w:type="dxa"/>
            <w:vAlign w:val="bottom"/>
          </w:tcPr>
          <w:p>
            <w:pPr>
              <w:spacing w:after="0"/>
              <w:rPr>
                <w:sz w:val="14"/>
                <w:szCs w:val="14"/>
                <w:color w:val="auto"/>
              </w:rPr>
            </w:pPr>
          </w:p>
        </w:tc>
        <w:tc>
          <w:tcPr>
            <w:tcW w:w="86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9.4%</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2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26"/>
        </w:trPr>
        <w:tc>
          <w:tcPr>
            <w:tcW w:w="26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Aptean, Inc.</w:t>
            </w:r>
            <w:r>
              <w:rPr>
                <w:rFonts w:ascii="Times New Roman" w:cs="Times New Roman" w:eastAsia="Times New Roman" w:hAnsi="Times New Roman"/>
                <w:sz w:val="10"/>
                <w:szCs w:val="10"/>
                <w:color w:val="auto"/>
              </w:rPr>
              <w:t>(3)</w:t>
            </w:r>
          </w:p>
        </w:tc>
        <w:tc>
          <w:tcPr>
            <w:tcW w:w="1860" w:type="dxa"/>
            <w:vAlign w:val="bottom"/>
            <w:gridSpan w:val="3"/>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($115,634</w:t>
            </w: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1/30/2024</w:t>
            </w:r>
          </w:p>
        </w:tc>
        <w:tc>
          <w:tcPr>
            <w:tcW w:w="14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+ 5.25%</w:t>
            </w:r>
          </w:p>
        </w:tc>
        <w:tc>
          <w:tcPr>
            <w:tcW w:w="11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10.10%</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114,415</w:t>
            </w:r>
          </w:p>
        </w:tc>
        <w:tc>
          <w:tcPr>
            <w:tcW w:w="9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115,285</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3.8%</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4325 Alexander Drive. Suite 100</w:t>
            </w:r>
          </w:p>
        </w:tc>
        <w:tc>
          <w:tcPr>
            <w:tcW w:w="186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par, due 1/2031)</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Alpharetta, GA</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26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ASP Unifrax Holdings,</w:t>
            </w:r>
          </w:p>
        </w:tc>
        <w:tc>
          <w:tcPr>
            <w:tcW w:w="1860" w:type="dxa"/>
            <w:vAlign w:val="bottom"/>
            <w:gridSpan w:val="3"/>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($3,408</w:t>
            </w: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9/30/2024</w:t>
            </w:r>
          </w:p>
        </w:tc>
        <w:tc>
          <w:tcPr>
            <w:tcW w:w="14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+ 7.75%</w:t>
            </w:r>
          </w:p>
        </w:tc>
        <w:tc>
          <w:tcPr>
            <w:tcW w:w="114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12.35%</w:t>
            </w:r>
          </w:p>
        </w:tc>
        <w:tc>
          <w:tcPr>
            <w:tcW w:w="6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3,331</w:t>
            </w:r>
          </w:p>
        </w:tc>
        <w:tc>
          <w:tcPr>
            <w:tcW w:w="98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3,417</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10"/>
                <w:szCs w:val="10"/>
                <w:color w:val="auto"/>
              </w:rPr>
              <w:t>(12)</w:t>
            </w:r>
          </w:p>
        </w:tc>
        <w:tc>
          <w:tcPr>
            <w:tcW w:w="1860" w:type="dxa"/>
            <w:vAlign w:val="bottom"/>
            <w:gridSpan w:val="3"/>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xml:space="preserve">par, due 9/2029) </w:t>
            </w:r>
            <w:r>
              <w:rPr>
                <w:rFonts w:ascii="Times New Roman" w:cs="Times New Roman" w:eastAsia="Times New Roman" w:hAnsi="Times New Roman"/>
                <w:sz w:val="10"/>
                <w:szCs w:val="10"/>
                <w:color w:val="auto"/>
              </w:rPr>
              <w:t>(3)</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600 Riverwalk Parkway</w:t>
            </w: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120</w:t>
            </w: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Tonawanda, NY 14150</w:t>
            </w: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6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860" w:type="dxa"/>
            <w:vAlign w:val="bottom"/>
            <w:gridSpan w:val="3"/>
          </w:tcPr>
          <w:p>
            <w:pPr>
              <w:ind w:left="240"/>
              <w:spacing w:after="0" w:line="126" w:lineRule="exact"/>
              <w:rPr>
                <w:sz w:val="20"/>
                <w:szCs w:val="20"/>
                <w:color w:val="auto"/>
              </w:rPr>
            </w:pPr>
            <w:r>
              <w:rPr>
                <w:rFonts w:ascii="Times New Roman" w:cs="Times New Roman" w:eastAsia="Times New Roman" w:hAnsi="Times New Roman"/>
                <w:sz w:val="14"/>
                <w:szCs w:val="14"/>
                <w:color w:val="auto"/>
              </w:rPr>
              <w:t>Second-lien note ($1,993</w:t>
            </w: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8/31/2023</w:t>
            </w:r>
          </w:p>
        </w:tc>
        <w:tc>
          <w:tcPr>
            <w:tcW w:w="14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7.10%</w:t>
            </w:r>
          </w:p>
        </w:tc>
        <w:tc>
          <w:tcPr>
            <w:tcW w:w="11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7.10%</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1,488</w:t>
            </w:r>
          </w:p>
        </w:tc>
        <w:tc>
          <w:tcPr>
            <w:tcW w:w="9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1,355</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6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par, due 9/2029)</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6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5"/>
        </w:trPr>
        <w:tc>
          <w:tcPr>
            <w:tcW w:w="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PIK)</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26"/>
        </w:trPr>
        <w:tc>
          <w:tcPr>
            <w:tcW w:w="26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Avalara, Inc.</w:t>
            </w:r>
            <w:r>
              <w:rPr>
                <w:rFonts w:ascii="Times New Roman" w:cs="Times New Roman" w:eastAsia="Times New Roman" w:hAnsi="Times New Roman"/>
                <w:sz w:val="10"/>
                <w:szCs w:val="10"/>
                <w:color w:val="auto"/>
              </w:rPr>
              <w:t>(3)</w:t>
            </w:r>
          </w:p>
        </w:tc>
        <w:tc>
          <w:tcPr>
            <w:tcW w:w="1860" w:type="dxa"/>
            <w:vAlign w:val="bottom"/>
            <w:gridSpan w:val="3"/>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($136,364</w:t>
            </w: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10/19/2022</w:t>
            </w:r>
          </w:p>
        </w:tc>
        <w:tc>
          <w:tcPr>
            <w:tcW w:w="14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+ 6.25%</w:t>
            </w:r>
          </w:p>
        </w:tc>
        <w:tc>
          <w:tcPr>
            <w:tcW w:w="114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10.85%</w:t>
            </w:r>
          </w:p>
        </w:tc>
        <w:tc>
          <w:tcPr>
            <w:tcW w:w="6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133,833</w:t>
            </w:r>
          </w:p>
        </w:tc>
        <w:tc>
          <w:tcPr>
            <w:tcW w:w="98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138,239</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4.5%</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255 South King Street</w:t>
            </w:r>
          </w:p>
        </w:tc>
        <w:tc>
          <w:tcPr>
            <w:tcW w:w="1860" w:type="dxa"/>
            <w:vAlign w:val="bottom"/>
            <w:gridSpan w:val="3"/>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par, due 10/2028)</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6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1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Seattle, WA 98104</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26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Heritage Environmental Services, Inc.</w:t>
            </w:r>
            <w:r>
              <w:rPr>
                <w:rFonts w:ascii="Times New Roman" w:cs="Times New Roman" w:eastAsia="Times New Roman" w:hAnsi="Times New Roman"/>
                <w:sz w:val="10"/>
                <w:szCs w:val="10"/>
                <w:color w:val="auto"/>
              </w:rPr>
              <w:t>(3)</w:t>
            </w:r>
          </w:p>
        </w:tc>
        <w:tc>
          <w:tcPr>
            <w:tcW w:w="1860" w:type="dxa"/>
            <w:vAlign w:val="bottom"/>
            <w:gridSpan w:val="3"/>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($132,012</w:t>
            </w: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1/31/2024</w:t>
            </w:r>
          </w:p>
        </w:tc>
        <w:tc>
          <w:tcPr>
            <w:tcW w:w="14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+ 5.50%</w:t>
            </w:r>
          </w:p>
        </w:tc>
        <w:tc>
          <w:tcPr>
            <w:tcW w:w="11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10.75%</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131,277</w:t>
            </w:r>
          </w:p>
        </w:tc>
        <w:tc>
          <w:tcPr>
            <w:tcW w:w="9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133,150</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4.3%</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6510 Telecom DR,</w:t>
            </w:r>
          </w:p>
        </w:tc>
        <w:tc>
          <w:tcPr>
            <w:tcW w:w="186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par, due 1/2031)</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400</w:t>
            </w: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Indianapolis, IN 46278</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64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1860" w:type="dxa"/>
            <w:vAlign w:val="bottom"/>
            <w:gridSpan w:val="3"/>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($16,608</w:t>
            </w: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1/31/2024</w:t>
            </w:r>
          </w:p>
        </w:tc>
        <w:tc>
          <w:tcPr>
            <w:tcW w:w="14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+ 5.00%</w:t>
            </w:r>
          </w:p>
        </w:tc>
        <w:tc>
          <w:tcPr>
            <w:tcW w:w="114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9.64%</w:t>
            </w:r>
          </w:p>
        </w:tc>
        <w:tc>
          <w:tcPr>
            <w:tcW w:w="6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16,527</w:t>
            </w:r>
          </w:p>
        </w:tc>
        <w:tc>
          <w:tcPr>
            <w:tcW w:w="98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16,608</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0.5%</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71"/>
        </w:trPr>
        <w:tc>
          <w:tcPr>
            <w:tcW w:w="6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par, due 1/2031)</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r>
      <w:tr>
        <w:trPr>
          <w:trHeight w:val="122"/>
        </w:trPr>
        <w:tc>
          <w:tcPr>
            <w:tcW w:w="6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220" w:type="dxa"/>
            <w:vAlign w:val="bottom"/>
            <w:gridSpan w:val="2"/>
          </w:tcPr>
          <w:p>
            <w:pPr>
              <w:jc w:val="right"/>
              <w:ind w:right="480"/>
              <w:spacing w:after="0" w:line="122"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Amortized</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jc w:val="right"/>
              <w:ind w:right="258"/>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5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0"/>
                <w:szCs w:val="10"/>
                <w:b w:val="1"/>
                <w:bCs w:val="1"/>
                <w:color w:val="auto"/>
                <w:w w:val="95"/>
              </w:rPr>
              <w:t>Company</w:t>
            </w:r>
            <w:r>
              <w:rPr>
                <w:rFonts w:ascii="Times New Roman" w:cs="Times New Roman" w:eastAsia="Times New Roman" w:hAnsi="Times New Roman"/>
                <w:sz w:val="15"/>
                <w:szCs w:val="15"/>
                <w:b w:val="1"/>
                <w:bCs w:val="1"/>
                <w:color w:val="auto"/>
                <w:w w:val="95"/>
                <w:vertAlign w:val="superscript"/>
              </w:rPr>
              <w:t>(1)(9)</w:t>
            </w:r>
          </w:p>
        </w:tc>
        <w:tc>
          <w:tcPr>
            <w:tcW w:w="1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Rate</w:t>
            </w: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100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(6)</w:t>
            </w:r>
          </w:p>
        </w:tc>
        <w:tc>
          <w:tcPr>
            <w:tcW w:w="880" w:type="dxa"/>
            <w:vAlign w:val="bottom"/>
            <w:gridSpan w:val="2"/>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Class Held</w:t>
            </w:r>
          </w:p>
        </w:tc>
      </w:tr>
      <w:tr>
        <w:trPr>
          <w:trHeight w:val="108"/>
        </w:trPr>
        <w:tc>
          <w:tcPr>
            <w:tcW w:w="242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Skylark UK DebtCo</w:t>
            </w:r>
          </w:p>
        </w:tc>
        <w:tc>
          <w:tcPr>
            <w:tcW w:w="380" w:type="dxa"/>
            <w:vAlign w:val="bottom"/>
            <w:tcBorders>
              <w:top w:val="single" w:sz="8" w:color="CCEEFF"/>
            </w:tcBorders>
            <w:shd w:val="clear" w:color="auto" w:fill="CCEEFF"/>
          </w:tcPr>
          <w:p>
            <w:pPr>
              <w:spacing w:after="0"/>
              <w:rPr>
                <w:sz w:val="9"/>
                <w:szCs w:val="9"/>
                <w:color w:val="auto"/>
              </w:rPr>
            </w:pPr>
          </w:p>
        </w:tc>
        <w:tc>
          <w:tcPr>
            <w:tcW w:w="158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First-lien loan ($56,651</w:t>
            </w:r>
          </w:p>
        </w:tc>
        <w:tc>
          <w:tcPr>
            <w:tcW w:w="12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9/7/2023</w:t>
            </w:r>
          </w:p>
        </w:tc>
        <w:tc>
          <w:tcPr>
            <w:tcW w:w="10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SOFR + 5.75%</w:t>
            </w:r>
          </w:p>
        </w:tc>
        <w:tc>
          <w:tcPr>
            <w:tcW w:w="10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10.35%</w:t>
            </w: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55,259</w:t>
            </w:r>
          </w:p>
        </w:tc>
        <w:tc>
          <w:tcPr>
            <w:tcW w:w="1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56,934</w:t>
            </w:r>
          </w:p>
        </w:tc>
        <w:tc>
          <w:tcPr>
            <w:tcW w:w="2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1.8</w:t>
            </w:r>
          </w:p>
        </w:tc>
        <w:tc>
          <w:tcPr>
            <w:tcW w:w="280" w:type="dxa"/>
            <w:vAlign w:val="bottom"/>
            <w:tcBorders>
              <w:top w:val="single" w:sz="8" w:color="CCEEFF"/>
            </w:tcBorders>
            <w:shd w:val="clear" w:color="auto" w:fill="CCEEFF"/>
          </w:tcPr>
          <w:p>
            <w:pPr>
              <w:jc w:val="right"/>
              <w:ind w:right="9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Limited</w:t>
            </w:r>
            <w:r>
              <w:rPr>
                <w:rFonts w:ascii="Times New Roman" w:cs="Times New Roman" w:eastAsia="Times New Roman" w:hAnsi="Times New Roman"/>
                <w:sz w:val="10"/>
                <w:szCs w:val="10"/>
                <w:color w:val="auto"/>
              </w:rPr>
              <w:t>(3)(4)</w:t>
            </w:r>
          </w:p>
        </w:tc>
        <w:tc>
          <w:tcPr>
            <w:tcW w:w="2080" w:type="dxa"/>
            <w:vAlign w:val="bottom"/>
            <w:gridSpan w:val="3"/>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par, due 9/2030)</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9"/>
        </w:trPr>
        <w:tc>
          <w:tcPr>
            <w:tcW w:w="2420" w:type="dxa"/>
            <w:vAlign w:val="bottom"/>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4th Floor</w:t>
            </w: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Pall Mall</w:t>
            </w: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London SW1Y 5NQ</w:t>
            </w: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United Kingdom</w:t>
            </w:r>
          </w:p>
        </w:tc>
        <w:tc>
          <w:tcPr>
            <w:tcW w:w="3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6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(GBP</w:t>
            </w:r>
          </w:p>
        </w:tc>
        <w:tc>
          <w:tcPr>
            <w:tcW w:w="9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9/7/2023</w:t>
            </w:r>
          </w:p>
        </w:tc>
        <w:tc>
          <w:tcPr>
            <w:tcW w:w="128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 + 5.75%</w:t>
            </w:r>
          </w:p>
        </w:tc>
        <w:tc>
          <w:tcPr>
            <w:tcW w:w="12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10.76%</w:t>
            </w:r>
          </w:p>
        </w:tc>
        <w:tc>
          <w:tcPr>
            <w:tcW w:w="66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69,659</w:t>
            </w:r>
          </w:p>
        </w:tc>
        <w:tc>
          <w:tcPr>
            <w:tcW w:w="100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77,899</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2.5%</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85"/>
        </w:trPr>
        <w:tc>
          <w:tcPr>
            <w:tcW w:w="6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57,691 par, due 9/2030)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(GBP 58,075)</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26"/>
        </w:trPr>
        <w:tc>
          <w:tcPr>
            <w:tcW w:w="64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20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(EUR</w:t>
            </w:r>
          </w:p>
        </w:tc>
        <w:tc>
          <w:tcPr>
            <w:tcW w:w="9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9/7/2023</w:t>
            </w:r>
          </w:p>
        </w:tc>
        <w:tc>
          <w:tcPr>
            <w:tcW w:w="12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+ 5.75%</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9.10%</w:t>
            </w:r>
          </w:p>
        </w:tc>
        <w:tc>
          <w:tcPr>
            <w:tcW w:w="66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17,566</w:t>
            </w:r>
          </w:p>
        </w:tc>
        <w:tc>
          <w:tcPr>
            <w:tcW w:w="100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18,865</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0.6%</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85"/>
        </w:trPr>
        <w:tc>
          <w:tcPr>
            <w:tcW w:w="6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16,819 par, due 9/2030)</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(EUR 16,903)</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26"/>
        </w:trPr>
        <w:tc>
          <w:tcPr>
            <w:tcW w:w="24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Varinem German BidCo</w:t>
            </w:r>
          </w:p>
        </w:tc>
        <w:tc>
          <w:tcPr>
            <w:tcW w:w="20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(EUR</w:t>
            </w:r>
          </w:p>
        </w:tc>
        <w:tc>
          <w:tcPr>
            <w:tcW w:w="9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7/11/2024</w:t>
            </w:r>
          </w:p>
        </w:tc>
        <w:tc>
          <w:tcPr>
            <w:tcW w:w="128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+ 6.00%</w:t>
            </w:r>
          </w:p>
        </w:tc>
        <w:tc>
          <w:tcPr>
            <w:tcW w:w="12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9.67%</w:t>
            </w:r>
          </w:p>
        </w:tc>
        <w:tc>
          <w:tcPr>
            <w:tcW w:w="66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13,677</w:t>
            </w:r>
          </w:p>
        </w:tc>
        <w:tc>
          <w:tcPr>
            <w:tcW w:w="100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14,079</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0.5%</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GmbH</w:t>
            </w:r>
            <w:r>
              <w:rPr>
                <w:rFonts w:ascii="Times New Roman" w:cs="Times New Roman" w:eastAsia="Times New Roman" w:hAnsi="Times New Roman"/>
                <w:sz w:val="8"/>
                <w:szCs w:val="8"/>
                <w:color w:val="auto"/>
              </w:rPr>
              <w:t>(3)(4)</w:t>
            </w:r>
          </w:p>
        </w:tc>
        <w:tc>
          <w:tcPr>
            <w:tcW w:w="208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color w:val="auto"/>
              </w:rPr>
              <w:t>12,696 par, due 7/2031)</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(EUR 12,615)</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Max-Joseph-Str. 2</w:t>
            </w: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80333 Munich</w:t>
            </w: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8"/>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Germany</w:t>
            </w: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8"/>
        </w:trPr>
        <w:tc>
          <w:tcPr>
            <w:tcW w:w="6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557,032</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575,831</w:t>
            </w:r>
          </w:p>
        </w:tc>
        <w:tc>
          <w:tcPr>
            <w:tcW w:w="880" w:type="dxa"/>
            <w:vAlign w:val="bottom"/>
            <w:gridSpan w:val="2"/>
            <w:shd w:val="clear" w:color="auto" w:fill="CCEEFF"/>
          </w:tcPr>
          <w:p>
            <w:pPr>
              <w:jc w:val="right"/>
              <w:ind w:right="98"/>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5"/>
        </w:trPr>
        <w:tc>
          <w:tcPr>
            <w:tcW w:w="24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3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6"/>
        </w:trPr>
        <w:tc>
          <w:tcPr>
            <w:tcW w:w="2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Laramie Energy, LLC</w:t>
            </w:r>
            <w:r>
              <w:rPr>
                <w:rFonts w:ascii="Times New Roman" w:cs="Times New Roman" w:eastAsia="Times New Roman" w:hAnsi="Times New Roman"/>
                <w:sz w:val="10"/>
                <w:szCs w:val="10"/>
                <w:color w:val="auto"/>
              </w:rPr>
              <w:t>(3)</w:t>
            </w:r>
          </w:p>
        </w:tc>
        <w:tc>
          <w:tcPr>
            <w:tcW w:w="20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($97,561</w:t>
            </w:r>
          </w:p>
        </w:tc>
        <w:tc>
          <w:tcPr>
            <w:tcW w:w="9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2/21/2023</w:t>
            </w:r>
          </w:p>
        </w:tc>
        <w:tc>
          <w:tcPr>
            <w:tcW w:w="12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+ 7.10%</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11.95%</w:t>
            </w:r>
          </w:p>
        </w:tc>
        <w:tc>
          <w:tcPr>
            <w:tcW w:w="66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96,396</w:t>
            </w:r>
          </w:p>
        </w:tc>
        <w:tc>
          <w:tcPr>
            <w:tcW w:w="100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98,781</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3.2%</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9"/>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730 17th Street</w:t>
            </w:r>
          </w:p>
        </w:tc>
        <w:tc>
          <w:tcPr>
            <w:tcW w:w="2080" w:type="dxa"/>
            <w:vAlign w:val="bottom"/>
            <w:gridSpan w:val="3"/>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par, due 2/2027)</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Denver, CO 80202</w:t>
            </w:r>
          </w:p>
        </w:tc>
        <w:tc>
          <w:tcPr>
            <w:tcW w:w="3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24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Mach Natural Resources</w:t>
            </w:r>
          </w:p>
        </w:tc>
        <w:tc>
          <w:tcPr>
            <w:tcW w:w="20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($118,750</w:t>
            </w:r>
          </w:p>
        </w:tc>
        <w:tc>
          <w:tcPr>
            <w:tcW w:w="9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12/28/2023</w:t>
            </w:r>
          </w:p>
        </w:tc>
        <w:tc>
          <w:tcPr>
            <w:tcW w:w="128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+ 6.65%</w:t>
            </w:r>
          </w:p>
        </w:tc>
        <w:tc>
          <w:tcPr>
            <w:tcW w:w="12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11.25%</w:t>
            </w:r>
          </w:p>
        </w:tc>
        <w:tc>
          <w:tcPr>
            <w:tcW w:w="66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116,919</w:t>
            </w:r>
          </w:p>
        </w:tc>
        <w:tc>
          <w:tcPr>
            <w:tcW w:w="100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118,750</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3.9%</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LP</w:t>
            </w:r>
            <w:r>
              <w:rPr>
                <w:rFonts w:ascii="Times New Roman" w:cs="Times New Roman" w:eastAsia="Times New Roman" w:hAnsi="Times New Roman"/>
                <w:sz w:val="8"/>
                <w:szCs w:val="8"/>
                <w:color w:val="auto"/>
              </w:rPr>
              <w:t>(3)(4)</w:t>
            </w:r>
          </w:p>
        </w:tc>
        <w:tc>
          <w:tcPr>
            <w:tcW w:w="208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color w:val="auto"/>
              </w:rPr>
              <w:t>par, due 12/2026)</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14201 Wireless Way</w:t>
            </w: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300</w:t>
            </w: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8"/>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Oklahoma City, OK 73134</w:t>
            </w: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8"/>
        </w:trPr>
        <w:tc>
          <w:tcPr>
            <w:tcW w:w="6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213,315</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217,531</w:t>
            </w:r>
          </w:p>
        </w:tc>
        <w:tc>
          <w:tcPr>
            <w:tcW w:w="880" w:type="dxa"/>
            <w:vAlign w:val="bottom"/>
            <w:gridSpan w:val="2"/>
            <w:shd w:val="clear" w:color="auto" w:fill="CCEEFF"/>
          </w:tcPr>
          <w:p>
            <w:pPr>
              <w:jc w:val="right"/>
              <w:ind w:right="98"/>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6"/>
        </w:trPr>
        <w:tc>
          <w:tcPr>
            <w:tcW w:w="24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6"/>
        </w:trPr>
        <w:tc>
          <w:tcPr>
            <w:tcW w:w="2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Scorpio Bidco</w:t>
            </w:r>
            <w:r>
              <w:rPr>
                <w:rFonts w:ascii="Times New Roman" w:cs="Times New Roman" w:eastAsia="Times New Roman" w:hAnsi="Times New Roman"/>
                <w:sz w:val="10"/>
                <w:szCs w:val="10"/>
                <w:color w:val="auto"/>
              </w:rPr>
              <w:t>(3)(4)</w:t>
            </w:r>
          </w:p>
        </w:tc>
        <w:tc>
          <w:tcPr>
            <w:tcW w:w="20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(EUR</w:t>
            </w:r>
          </w:p>
        </w:tc>
        <w:tc>
          <w:tcPr>
            <w:tcW w:w="9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4/4/2024</w:t>
            </w:r>
          </w:p>
        </w:tc>
        <w:tc>
          <w:tcPr>
            <w:tcW w:w="12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+ 5.75%</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9.60%</w:t>
            </w:r>
          </w:p>
        </w:tc>
        <w:tc>
          <w:tcPr>
            <w:tcW w:w="66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80,055</w:t>
            </w:r>
          </w:p>
        </w:tc>
        <w:tc>
          <w:tcPr>
            <w:tcW w:w="100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83,063</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2.7%</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 BD De Sebastopol</w:t>
            </w:r>
          </w:p>
        </w:tc>
        <w:tc>
          <w:tcPr>
            <w:tcW w:w="2080" w:type="dxa"/>
            <w:vAlign w:val="bottom"/>
            <w:gridSpan w:val="3"/>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75,326 par, due 4/2031)</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(EUR 74,426)</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75001 Paris</w:t>
            </w: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France</w:t>
            </w:r>
          </w:p>
        </w:tc>
        <w:tc>
          <w:tcPr>
            <w:tcW w:w="3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48"/>
        </w:trPr>
        <w:tc>
          <w:tcPr>
            <w:tcW w:w="2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Pharmaceuticals</w:t>
            </w: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26"/>
        </w:trPr>
        <w:tc>
          <w:tcPr>
            <w:tcW w:w="2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Apellis Pharmaceuticals,</w:t>
            </w:r>
          </w:p>
        </w:tc>
        <w:tc>
          <w:tcPr>
            <w:tcW w:w="20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($157,895</w:t>
            </w:r>
          </w:p>
        </w:tc>
        <w:tc>
          <w:tcPr>
            <w:tcW w:w="9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5/13/2024</w:t>
            </w:r>
          </w:p>
        </w:tc>
        <w:tc>
          <w:tcPr>
            <w:tcW w:w="12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+ 5.75%</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10.35%</w:t>
            </w:r>
          </w:p>
        </w:tc>
        <w:tc>
          <w:tcPr>
            <w:tcW w:w="66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157,895</w:t>
            </w:r>
          </w:p>
        </w:tc>
        <w:tc>
          <w:tcPr>
            <w:tcW w:w="100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158,895</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5.2%</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Inc.</w:t>
            </w:r>
            <w:r>
              <w:rPr>
                <w:rFonts w:ascii="Times New Roman" w:cs="Times New Roman" w:eastAsia="Times New Roman" w:hAnsi="Times New Roman"/>
                <w:sz w:val="8"/>
                <w:szCs w:val="8"/>
                <w:color w:val="auto"/>
              </w:rPr>
              <w:t>(3)(4)</w:t>
            </w:r>
          </w:p>
        </w:tc>
        <w:tc>
          <w:tcPr>
            <w:tcW w:w="2080" w:type="dxa"/>
            <w:vAlign w:val="bottom"/>
            <w:gridSpan w:val="3"/>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par, due 5/2030)</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5th Avenue</w:t>
            </w: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Waltham, MA 02451, USA</w:t>
            </w:r>
          </w:p>
        </w:tc>
        <w:tc>
          <w:tcPr>
            <w:tcW w:w="3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24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Arrowhead Pharmaceuticals, Inc.</w:t>
            </w:r>
            <w:r>
              <w:rPr>
                <w:rFonts w:ascii="Times New Roman" w:cs="Times New Roman" w:eastAsia="Times New Roman" w:hAnsi="Times New Roman"/>
                <w:sz w:val="10"/>
                <w:szCs w:val="10"/>
                <w:color w:val="auto"/>
              </w:rPr>
              <w:t>(4)</w:t>
            </w:r>
          </w:p>
        </w:tc>
        <w:tc>
          <w:tcPr>
            <w:tcW w:w="20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($134,701</w:t>
            </w:r>
          </w:p>
        </w:tc>
        <w:tc>
          <w:tcPr>
            <w:tcW w:w="9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8/7/2024</w:t>
            </w:r>
          </w:p>
        </w:tc>
        <w:tc>
          <w:tcPr>
            <w:tcW w:w="128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15.00%</w:t>
            </w:r>
          </w:p>
        </w:tc>
        <w:tc>
          <w:tcPr>
            <w:tcW w:w="12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15.00%</w:t>
            </w:r>
          </w:p>
        </w:tc>
        <w:tc>
          <w:tcPr>
            <w:tcW w:w="66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133,398</w:t>
            </w:r>
          </w:p>
        </w:tc>
        <w:tc>
          <w:tcPr>
            <w:tcW w:w="100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134,701</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4.4%</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177 East Colorado Boulevard</w:t>
            </w:r>
          </w:p>
        </w:tc>
        <w:tc>
          <w:tcPr>
            <w:tcW w:w="208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color w:val="auto"/>
              </w:rPr>
              <w:t>par, due 8/2031)</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700</w:t>
            </w: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Pasadena, CA 91105</w:t>
            </w: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8"/>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9"/>
        </w:trPr>
        <w:tc>
          <w:tcPr>
            <w:tcW w:w="6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291,293</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293,596</w:t>
            </w:r>
          </w:p>
        </w:tc>
        <w:tc>
          <w:tcPr>
            <w:tcW w:w="880" w:type="dxa"/>
            <w:vAlign w:val="bottom"/>
            <w:gridSpan w:val="2"/>
            <w:shd w:val="clear" w:color="auto" w:fill="CCEEFF"/>
          </w:tcPr>
          <w:p>
            <w:pPr>
              <w:jc w:val="right"/>
              <w:ind w:right="98"/>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5"/>
        </w:trPr>
        <w:tc>
          <w:tcPr>
            <w:tcW w:w="24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3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6"/>
        </w:trPr>
        <w:tc>
          <w:tcPr>
            <w:tcW w:w="2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Cirrus (BidCo) Limited</w:t>
            </w:r>
            <w:r>
              <w:rPr>
                <w:rFonts w:ascii="Times New Roman" w:cs="Times New Roman" w:eastAsia="Times New Roman" w:hAnsi="Times New Roman"/>
                <w:sz w:val="10"/>
                <w:szCs w:val="10"/>
                <w:color w:val="auto"/>
              </w:rPr>
              <w:t>(3)(4)(5)</w:t>
            </w:r>
          </w:p>
        </w:tc>
        <w:tc>
          <w:tcPr>
            <w:tcW w:w="20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(GBP 667</w:t>
            </w:r>
          </w:p>
        </w:tc>
        <w:tc>
          <w:tcPr>
            <w:tcW w:w="9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8/9/2024</w:t>
            </w:r>
          </w:p>
        </w:tc>
        <w:tc>
          <w:tcPr>
            <w:tcW w:w="12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 + 6.25%</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11.20%</w:t>
            </w:r>
          </w:p>
        </w:tc>
        <w:tc>
          <w:tcPr>
            <w:tcW w:w="66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824</w:t>
            </w:r>
          </w:p>
        </w:tc>
        <w:tc>
          <w:tcPr>
            <w:tcW w:w="100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871</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Third Floor</w:t>
            </w:r>
          </w:p>
        </w:tc>
        <w:tc>
          <w:tcPr>
            <w:tcW w:w="2080" w:type="dxa"/>
            <w:vAlign w:val="bottom"/>
            <w:gridSpan w:val="3"/>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par, due 8/2030)</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(GBP 649)</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Arena Court, Crown Lane</w:t>
            </w: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Maidenhead SL6 8QZ</w:t>
            </w: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United Kingdom</w:t>
            </w:r>
          </w:p>
        </w:tc>
        <w:tc>
          <w:tcPr>
            <w:tcW w:w="3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48"/>
        </w:trPr>
        <w:tc>
          <w:tcPr>
            <w:tcW w:w="2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26"/>
        </w:trPr>
        <w:tc>
          <w:tcPr>
            <w:tcW w:w="2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vertAlign w:val="subscript"/>
              </w:rPr>
              <w:t>Acosta</w:t>
            </w:r>
            <w:r>
              <w:rPr>
                <w:rFonts w:ascii="Times New Roman" w:cs="Times New Roman" w:eastAsia="Times New Roman" w:hAnsi="Times New Roman"/>
                <w:sz w:val="8"/>
                <w:szCs w:val="8"/>
                <w:color w:val="auto"/>
              </w:rPr>
              <w:t>(3)(12)</w:t>
            </w:r>
          </w:p>
        </w:tc>
        <w:tc>
          <w:tcPr>
            <w:tcW w:w="20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($182,000</w:t>
            </w:r>
          </w:p>
        </w:tc>
        <w:tc>
          <w:tcPr>
            <w:tcW w:w="9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8/20/2024</w:t>
            </w:r>
          </w:p>
        </w:tc>
        <w:tc>
          <w:tcPr>
            <w:tcW w:w="12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+ 5.60%</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10.73%</w:t>
            </w:r>
          </w:p>
        </w:tc>
        <w:tc>
          <w:tcPr>
            <w:tcW w:w="66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178,376</w:t>
            </w:r>
          </w:p>
        </w:tc>
        <w:tc>
          <w:tcPr>
            <w:tcW w:w="100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178,360</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5.8%</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6600 Corporate Center Parkway</w:t>
            </w:r>
          </w:p>
        </w:tc>
        <w:tc>
          <w:tcPr>
            <w:tcW w:w="2080" w:type="dxa"/>
            <w:vAlign w:val="bottom"/>
            <w:gridSpan w:val="3"/>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par, due 8/2031)</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Jacksonville, FL 32216</w:t>
            </w: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3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r>
      <w:tr>
        <w:trPr>
          <w:trHeight w:val="122"/>
        </w:trPr>
        <w:tc>
          <w:tcPr>
            <w:tcW w:w="6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12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Rate and</w:t>
            </w:r>
          </w:p>
        </w:tc>
        <w:tc>
          <w:tcPr>
            <w:tcW w:w="1220" w:type="dxa"/>
            <w:vAlign w:val="bottom"/>
            <w:gridSpan w:val="2"/>
          </w:tcPr>
          <w:p>
            <w:pPr>
              <w:jc w:val="right"/>
              <w:ind w:right="480"/>
              <w:spacing w:after="0" w:line="122"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76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Amortized</w:t>
            </w: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tcPr>
          <w:p>
            <w:pPr>
              <w:jc w:val="right"/>
              <w:ind w:right="258"/>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6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0"/>
                <w:szCs w:val="10"/>
                <w:b w:val="1"/>
                <w:bCs w:val="1"/>
                <w:color w:val="auto"/>
                <w:w w:val="95"/>
              </w:rPr>
              <w:t>Company</w:t>
            </w:r>
            <w:r>
              <w:rPr>
                <w:rFonts w:ascii="Times New Roman" w:cs="Times New Roman" w:eastAsia="Times New Roman" w:hAnsi="Times New Roman"/>
                <w:sz w:val="15"/>
                <w:szCs w:val="15"/>
                <w:b w:val="1"/>
                <w:bCs w:val="1"/>
                <w:color w:val="auto"/>
                <w:w w:val="95"/>
                <w:vertAlign w:val="superscript"/>
              </w:rPr>
              <w:t>(1)(9)</w:t>
            </w: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Rate</w:t>
            </w: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102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(6)</w:t>
            </w:r>
          </w:p>
        </w:tc>
        <w:tc>
          <w:tcPr>
            <w:tcW w:w="860" w:type="dxa"/>
            <w:vAlign w:val="bottom"/>
            <w:gridSpan w:val="2"/>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w w:val="92"/>
              </w:rPr>
              <w:t>of Net Assets</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Class Held</w:t>
            </w:r>
          </w:p>
        </w:tc>
      </w:tr>
      <w:tr>
        <w:trPr>
          <w:trHeight w:val="108"/>
        </w:trPr>
        <w:tc>
          <w:tcPr>
            <w:tcW w:w="240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Bed Bath and Beyond</w:t>
            </w:r>
          </w:p>
        </w:tc>
        <w:tc>
          <w:tcPr>
            <w:tcW w:w="180" w:type="dxa"/>
            <w:vAlign w:val="bottom"/>
            <w:tcBorders>
              <w:top w:val="single" w:sz="8" w:color="CCEEFF"/>
            </w:tcBorders>
            <w:shd w:val="clear" w:color="auto" w:fill="CCEEFF"/>
          </w:tcPr>
          <w:p>
            <w:pPr>
              <w:spacing w:after="0"/>
              <w:rPr>
                <w:sz w:val="9"/>
                <w:szCs w:val="9"/>
                <w:color w:val="auto"/>
              </w:rPr>
            </w:pPr>
          </w:p>
        </w:tc>
        <w:tc>
          <w:tcPr>
            <w:tcW w:w="158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ABL FILO term loan</w:t>
            </w:r>
          </w:p>
        </w:tc>
        <w:tc>
          <w:tcPr>
            <w:tcW w:w="10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9/2/2022</w:t>
            </w:r>
          </w:p>
        </w:tc>
        <w:tc>
          <w:tcPr>
            <w:tcW w:w="10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SOFR + 9.90%</w:t>
            </w:r>
          </w:p>
        </w:tc>
        <w:tc>
          <w:tcPr>
            <w:tcW w:w="10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14.75%</w:t>
            </w: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17,510</w:t>
            </w:r>
          </w:p>
        </w:tc>
        <w:tc>
          <w:tcPr>
            <w:tcW w:w="14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16,380</w:t>
            </w:r>
          </w:p>
        </w:tc>
        <w:tc>
          <w:tcPr>
            <w:tcW w:w="2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0.5</w:t>
            </w:r>
          </w:p>
        </w:tc>
        <w:tc>
          <w:tcPr>
            <w:tcW w:w="280" w:type="dxa"/>
            <w:vAlign w:val="bottom"/>
            <w:tcBorders>
              <w:top w:val="single" w:sz="8" w:color="CCEEFF"/>
            </w:tcBorders>
            <w:shd w:val="clear" w:color="auto" w:fill="CCEEFF"/>
          </w:tcPr>
          <w:p>
            <w:pPr>
              <w:jc w:val="right"/>
              <w:ind w:right="9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Inc.</w:t>
            </w:r>
            <w:r>
              <w:rPr>
                <w:rFonts w:ascii="Times New Roman" w:cs="Times New Roman" w:eastAsia="Times New Roman" w:hAnsi="Times New Roman"/>
                <w:sz w:val="8"/>
                <w:szCs w:val="8"/>
                <w:color w:val="auto"/>
              </w:rPr>
              <w:t>(3)(11)</w:t>
            </w:r>
          </w:p>
        </w:tc>
        <w:tc>
          <w:tcPr>
            <w:tcW w:w="186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($17,805 par, due 8/2027)</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39"/>
        </w:trPr>
        <w:tc>
          <w:tcPr>
            <w:tcW w:w="2400" w:type="dxa"/>
            <w:vAlign w:val="bottom"/>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650 Liberty Avenue</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1"/>
        </w:trPr>
        <w:tc>
          <w:tcPr>
            <w:tcW w:w="2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Union, NJ 07083</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26"/>
        </w:trPr>
        <w:tc>
          <w:tcPr>
            <w:tcW w:w="6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60" w:type="dxa"/>
            <w:vAlign w:val="bottom"/>
            <w:gridSpan w:val="3"/>
          </w:tcPr>
          <w:p>
            <w:pPr>
              <w:ind w:left="180"/>
              <w:spacing w:after="0" w:line="126" w:lineRule="exact"/>
              <w:rPr>
                <w:sz w:val="20"/>
                <w:szCs w:val="20"/>
                <w:color w:val="auto"/>
              </w:rPr>
            </w:pPr>
            <w:r>
              <w:rPr>
                <w:rFonts w:ascii="Times New Roman" w:cs="Times New Roman" w:eastAsia="Times New Roman" w:hAnsi="Times New Roman"/>
                <w:sz w:val="14"/>
                <w:szCs w:val="14"/>
                <w:color w:val="auto"/>
              </w:rPr>
              <w:t>Roll Up DIP term loan</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4/24/2023</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+ 7.90%</w:t>
            </w:r>
          </w:p>
        </w:tc>
        <w:tc>
          <w:tcPr>
            <w:tcW w:w="12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12.75%</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45,128</w:t>
            </w:r>
          </w:p>
        </w:tc>
        <w:tc>
          <w:tcPr>
            <w:tcW w:w="10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41,517</w:t>
            </w:r>
          </w:p>
        </w:tc>
        <w:tc>
          <w:tcPr>
            <w:tcW w:w="86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1.3%</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71"/>
        </w:trPr>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($45,128 par)</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PIK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26"/>
        </w:trPr>
        <w:tc>
          <w:tcPr>
            <w:tcW w:w="64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860" w:type="dxa"/>
            <w:vAlign w:val="bottom"/>
            <w:gridSpan w:val="3"/>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Super-Priority DIP term</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4/24/2023</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+ 7.90%</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12.75%</w:t>
            </w: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7,456</w:t>
            </w:r>
          </w:p>
        </w:tc>
        <w:tc>
          <w:tcPr>
            <w:tcW w:w="10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6,859</w:t>
            </w:r>
          </w:p>
        </w:tc>
        <w:tc>
          <w:tcPr>
            <w:tcW w:w="86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71"/>
        </w:trPr>
        <w:tc>
          <w:tcPr>
            <w:tcW w:w="6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 ($7,456 par)</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26"/>
        </w:trPr>
        <w:tc>
          <w:tcPr>
            <w:tcW w:w="24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Belk, Inc.</w:t>
            </w:r>
            <w:r>
              <w:rPr>
                <w:rFonts w:ascii="Times New Roman" w:cs="Times New Roman" w:eastAsia="Times New Roman" w:hAnsi="Times New Roman"/>
                <w:sz w:val="10"/>
                <w:szCs w:val="10"/>
                <w:color w:val="auto"/>
              </w:rPr>
              <w:t>(3)</w:t>
            </w:r>
          </w:p>
        </w:tc>
        <w:tc>
          <w:tcPr>
            <w:tcW w:w="1860" w:type="dxa"/>
            <w:vAlign w:val="bottom"/>
            <w:gridSpan w:val="3"/>
          </w:tcPr>
          <w:p>
            <w:pPr>
              <w:ind w:left="180"/>
              <w:spacing w:after="0" w:line="126" w:lineRule="exact"/>
              <w:rPr>
                <w:sz w:val="20"/>
                <w:szCs w:val="20"/>
                <w:color w:val="auto"/>
              </w:rPr>
            </w:pPr>
            <w:r>
              <w:rPr>
                <w:rFonts w:ascii="Times New Roman" w:cs="Times New Roman" w:eastAsia="Times New Roman" w:hAnsi="Times New Roman"/>
                <w:sz w:val="14"/>
                <w:szCs w:val="14"/>
                <w:color w:val="auto"/>
              </w:rPr>
              <w:t>First-lien loan ($195,000</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7/22/2024</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+ 7.00%</w:t>
            </w:r>
          </w:p>
        </w:tc>
        <w:tc>
          <w:tcPr>
            <w:tcW w:w="12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12.28%</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192,010</w:t>
            </w:r>
          </w:p>
        </w:tc>
        <w:tc>
          <w:tcPr>
            <w:tcW w:w="10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192,563</w:t>
            </w:r>
          </w:p>
        </w:tc>
        <w:tc>
          <w:tcPr>
            <w:tcW w:w="86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6.2%</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8"/>
        </w:trPr>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2801 West Tyvola Road</w:t>
            </w:r>
          </w:p>
        </w:tc>
        <w:tc>
          <w:tcPr>
            <w:tcW w:w="186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par, due 7/2029)</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Charlotte, NC 28217</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1"/>
        </w:trPr>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26"/>
        </w:trPr>
        <w:tc>
          <w:tcPr>
            <w:tcW w:w="24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Commercehub, Inc.</w:t>
            </w:r>
            <w:r>
              <w:rPr>
                <w:rFonts w:ascii="Times New Roman" w:cs="Times New Roman" w:eastAsia="Times New Roman" w:hAnsi="Times New Roman"/>
                <w:sz w:val="10"/>
                <w:szCs w:val="10"/>
                <w:color w:val="auto"/>
              </w:rPr>
              <w:t>(3)</w:t>
            </w:r>
          </w:p>
        </w:tc>
        <w:tc>
          <w:tcPr>
            <w:tcW w:w="1860" w:type="dxa"/>
            <w:vAlign w:val="bottom"/>
            <w:gridSpan w:val="3"/>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First-lien loan ($147,375</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11/15/2022</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+ 6.25%</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11.35%</w:t>
            </w: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140,132</w:t>
            </w:r>
          </w:p>
        </w:tc>
        <w:tc>
          <w:tcPr>
            <w:tcW w:w="10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141,112</w:t>
            </w:r>
          </w:p>
        </w:tc>
        <w:tc>
          <w:tcPr>
            <w:tcW w:w="86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4.6%</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9"/>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800 Troy-Schenectady Rd Suite 100</w:t>
            </w:r>
          </w:p>
        </w:tc>
        <w:tc>
          <w:tcPr>
            <w:tcW w:w="186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par, due 12/2027)</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1"/>
        </w:trPr>
        <w:tc>
          <w:tcPr>
            <w:tcW w:w="2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Latham, NY 12110</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26"/>
        </w:trPr>
        <w:tc>
          <w:tcPr>
            <w:tcW w:w="24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PDI TA Holdings, Inc.</w:t>
            </w:r>
            <w:r>
              <w:rPr>
                <w:rFonts w:ascii="Times New Roman" w:cs="Times New Roman" w:eastAsia="Times New Roman" w:hAnsi="Times New Roman"/>
                <w:sz w:val="10"/>
                <w:szCs w:val="10"/>
                <w:color w:val="auto"/>
              </w:rPr>
              <w:t>(3)</w:t>
            </w:r>
          </w:p>
        </w:tc>
        <w:tc>
          <w:tcPr>
            <w:tcW w:w="1860" w:type="dxa"/>
            <w:vAlign w:val="bottom"/>
            <w:gridSpan w:val="3"/>
          </w:tcPr>
          <w:p>
            <w:pPr>
              <w:ind w:left="180"/>
              <w:spacing w:after="0" w:line="126" w:lineRule="exact"/>
              <w:rPr>
                <w:sz w:val="20"/>
                <w:szCs w:val="20"/>
                <w:color w:val="auto"/>
              </w:rPr>
            </w:pPr>
            <w:r>
              <w:rPr>
                <w:rFonts w:ascii="Times New Roman" w:cs="Times New Roman" w:eastAsia="Times New Roman" w:hAnsi="Times New Roman"/>
                <w:sz w:val="14"/>
                <w:szCs w:val="14"/>
                <w:color w:val="auto"/>
              </w:rPr>
              <w:t>First-lien loan ($129,858</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2/1/2024</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+ 5.25%</w:t>
            </w:r>
          </w:p>
        </w:tc>
        <w:tc>
          <w:tcPr>
            <w:tcW w:w="12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10.46%</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127,609</w:t>
            </w:r>
          </w:p>
        </w:tc>
        <w:tc>
          <w:tcPr>
            <w:tcW w:w="10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129,858</w:t>
            </w:r>
          </w:p>
        </w:tc>
        <w:tc>
          <w:tcPr>
            <w:tcW w:w="86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4.2%</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8"/>
        </w:trPr>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4001 Central Pointe Parkway</w:t>
            </w:r>
          </w:p>
        </w:tc>
        <w:tc>
          <w:tcPr>
            <w:tcW w:w="186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par, due 2/2031)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Bldg 200</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1"/>
        </w:trPr>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Temple, TX 76504</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26"/>
        </w:trPr>
        <w:tc>
          <w:tcPr>
            <w:tcW w:w="24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Rapid Data GmbH</w:t>
            </w:r>
          </w:p>
        </w:tc>
        <w:tc>
          <w:tcPr>
            <w:tcW w:w="1860" w:type="dxa"/>
            <w:vAlign w:val="bottom"/>
            <w:gridSpan w:val="3"/>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First-lien loan (EUR 4,495</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7/11/2023</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+ 6.25%</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9.96%</w:t>
            </w: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4,706</w:t>
            </w:r>
          </w:p>
        </w:tc>
        <w:tc>
          <w:tcPr>
            <w:tcW w:w="10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5,090</w:t>
            </w:r>
          </w:p>
        </w:tc>
        <w:tc>
          <w:tcPr>
            <w:tcW w:w="86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Unternehmensberatung</w:t>
            </w:r>
            <w:r>
              <w:rPr>
                <w:rFonts w:ascii="Times New Roman" w:cs="Times New Roman" w:eastAsia="Times New Roman" w:hAnsi="Times New Roman"/>
                <w:sz w:val="10"/>
                <w:szCs w:val="10"/>
                <w:color w:val="auto"/>
              </w:rPr>
              <w:t>(3)(4)</w:t>
            </w:r>
          </w:p>
        </w:tc>
        <w:tc>
          <w:tcPr>
            <w:tcW w:w="186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par, due 7/2029)</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(EUR 4,561)</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Agricolastr. 54</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30952 Ronnenberg</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1"/>
        </w:trPr>
        <w:tc>
          <w:tcPr>
            <w:tcW w:w="2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Germany</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3"/>
        </w:trPr>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712,927</w:t>
            </w:r>
          </w:p>
        </w:tc>
        <w:tc>
          <w:tcPr>
            <w:tcW w:w="140" w:type="dxa"/>
            <w:vAlign w:val="bottom"/>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711,739</w:t>
            </w:r>
          </w:p>
        </w:tc>
        <w:tc>
          <w:tcPr>
            <w:tcW w:w="200" w:type="dxa"/>
            <w:vAlign w:val="bottom"/>
          </w:tcPr>
          <w:p>
            <w:pPr>
              <w:spacing w:after="0"/>
              <w:rPr>
                <w:sz w:val="14"/>
                <w:szCs w:val="14"/>
                <w:color w:val="auto"/>
              </w:rPr>
            </w:pPr>
          </w:p>
        </w:tc>
        <w:tc>
          <w:tcPr>
            <w:tcW w:w="860" w:type="dxa"/>
            <w:vAlign w:val="bottom"/>
            <w:gridSpan w:val="2"/>
          </w:tcPr>
          <w:p>
            <w:pPr>
              <w:jc w:val="right"/>
              <w:ind w:right="98"/>
              <w:spacing w:after="0" w:line="155" w:lineRule="exact"/>
              <w:rPr>
                <w:sz w:val="20"/>
                <w:szCs w:val="20"/>
                <w:color w:val="auto"/>
              </w:rPr>
            </w:pPr>
            <w:r>
              <w:rPr>
                <w:rFonts w:ascii="Times New Roman" w:cs="Times New Roman" w:eastAsia="Times New Roman" w:hAnsi="Times New Roman"/>
                <w:sz w:val="14"/>
                <w:szCs w:val="14"/>
                <w:color w:val="auto"/>
              </w:rPr>
              <w:t>23.0%</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8"/>
        </w:trPr>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Transportation</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26"/>
        </w:trPr>
        <w:tc>
          <w:tcPr>
            <w:tcW w:w="24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Ben Nevis Midco Limited</w:t>
            </w:r>
            <w:r>
              <w:rPr>
                <w:rFonts w:ascii="Times New Roman" w:cs="Times New Roman" w:eastAsia="Times New Roman" w:hAnsi="Times New Roman"/>
                <w:sz w:val="10"/>
                <w:szCs w:val="10"/>
                <w:color w:val="auto"/>
              </w:rPr>
              <w:t>(3)(4)</w:t>
            </w:r>
          </w:p>
        </w:tc>
        <w:tc>
          <w:tcPr>
            <w:tcW w:w="1860" w:type="dxa"/>
            <w:vAlign w:val="bottom"/>
            <w:gridSpan w:val="3"/>
          </w:tcPr>
          <w:p>
            <w:pPr>
              <w:ind w:left="180"/>
              <w:spacing w:after="0" w:line="126" w:lineRule="exact"/>
              <w:rPr>
                <w:sz w:val="20"/>
                <w:szCs w:val="20"/>
                <w:color w:val="auto"/>
              </w:rPr>
            </w:pPr>
            <w:r>
              <w:rPr>
                <w:rFonts w:ascii="Times New Roman" w:cs="Times New Roman" w:eastAsia="Times New Roman" w:hAnsi="Times New Roman"/>
                <w:sz w:val="14"/>
                <w:szCs w:val="14"/>
                <w:color w:val="auto"/>
              </w:rPr>
              <w:t>First-lien loan ($72,693</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3/26/2024</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+ 5.50%</w:t>
            </w:r>
          </w:p>
        </w:tc>
        <w:tc>
          <w:tcPr>
            <w:tcW w:w="12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10.42%</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71,519</w:t>
            </w:r>
          </w:p>
        </w:tc>
        <w:tc>
          <w:tcPr>
            <w:tcW w:w="10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71,943</w:t>
            </w:r>
          </w:p>
        </w:tc>
        <w:tc>
          <w:tcPr>
            <w:tcW w:w="86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2.3%</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8"/>
        </w:trPr>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8th Floor</w:t>
            </w:r>
          </w:p>
        </w:tc>
        <w:tc>
          <w:tcPr>
            <w:tcW w:w="186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par, due 3/2028)</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 Farringdon Street</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1"/>
        </w:trPr>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London EC4A 4AB</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26"/>
        </w:trPr>
        <w:tc>
          <w:tcPr>
            <w:tcW w:w="24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Shiftmove GmbH </w:t>
            </w:r>
            <w:r>
              <w:rPr>
                <w:rFonts w:ascii="Times New Roman" w:cs="Times New Roman" w:eastAsia="Times New Roman" w:hAnsi="Times New Roman"/>
                <w:sz w:val="10"/>
                <w:szCs w:val="10"/>
                <w:color w:val="auto"/>
              </w:rPr>
              <w:t>(3)(4)(5)</w:t>
            </w:r>
          </w:p>
        </w:tc>
        <w:tc>
          <w:tcPr>
            <w:tcW w:w="1860" w:type="dxa"/>
            <w:vAlign w:val="bottom"/>
            <w:gridSpan w:val="3"/>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First-lien loan (EUR</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9/30/2024</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+ 6.00%</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9.35%</w:t>
            </w: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15,309</w:t>
            </w:r>
          </w:p>
        </w:tc>
        <w:tc>
          <w:tcPr>
            <w:tcW w:w="10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15,308</w:t>
            </w:r>
          </w:p>
        </w:tc>
        <w:tc>
          <w:tcPr>
            <w:tcW w:w="86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0.5%</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Warschauer Straße 57</w:t>
            </w:r>
          </w:p>
        </w:tc>
        <w:tc>
          <w:tcPr>
            <w:tcW w:w="186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14,167 par, due 9/2030)</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(EUR 13,717)</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10243 Berlin</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1"/>
        </w:trPr>
        <w:tc>
          <w:tcPr>
            <w:tcW w:w="2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Germany</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56"/>
        </w:trPr>
        <w:tc>
          <w:tcPr>
            <w:tcW w:w="6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86,828</w:t>
            </w: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87,251</w:t>
            </w:r>
          </w:p>
        </w:tc>
        <w:tc>
          <w:tcPr>
            <w:tcW w:w="200" w:type="dxa"/>
            <w:vAlign w:val="bottom"/>
          </w:tcPr>
          <w:p>
            <w:pPr>
              <w:spacing w:after="0"/>
              <w:rPr>
                <w:sz w:val="13"/>
                <w:szCs w:val="13"/>
                <w:color w:val="auto"/>
              </w:rPr>
            </w:pPr>
          </w:p>
        </w:tc>
        <w:tc>
          <w:tcPr>
            <w:tcW w:w="860" w:type="dxa"/>
            <w:vAlign w:val="bottom"/>
            <w:gridSpan w:val="2"/>
          </w:tcPr>
          <w:p>
            <w:pPr>
              <w:jc w:val="right"/>
              <w:ind w:right="98"/>
              <w:spacing w:after="0" w:line="155" w:lineRule="exact"/>
              <w:rPr>
                <w:sz w:val="20"/>
                <w:szCs w:val="20"/>
                <w:color w:val="auto"/>
              </w:rPr>
            </w:pPr>
            <w:r>
              <w:rPr>
                <w:rFonts w:ascii="Times New Roman" w:cs="Times New Roman" w:eastAsia="Times New Roman" w:hAnsi="Times New Roman"/>
                <w:sz w:val="14"/>
                <w:szCs w:val="14"/>
                <w:color w:val="auto"/>
              </w:rPr>
              <w:t>2.8%</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7"/>
        </w:trPr>
        <w:tc>
          <w:tcPr>
            <w:tcW w:w="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5,684,016</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5,825,606</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98"/>
              <w:spacing w:after="0" w:line="149" w:lineRule="exact"/>
              <w:rPr>
                <w:sz w:val="20"/>
                <w:szCs w:val="20"/>
                <w:color w:val="auto"/>
              </w:rPr>
            </w:pPr>
            <w:r>
              <w:rPr>
                <w:rFonts w:ascii="Times New Roman" w:cs="Times New Roman" w:eastAsia="Times New Roman" w:hAnsi="Times New Roman"/>
                <w:sz w:val="14"/>
                <w:szCs w:val="14"/>
                <w:color w:val="auto"/>
              </w:rPr>
              <w:t>188.8%</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5"/>
        </w:trPr>
        <w:tc>
          <w:tcPr>
            <w:tcW w:w="6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8"/>
        </w:trPr>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 and Other Investments</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26"/>
        </w:trPr>
        <w:tc>
          <w:tcPr>
            <w:tcW w:w="24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Clarience Technologies,</w:t>
            </w:r>
          </w:p>
        </w:tc>
        <w:tc>
          <w:tcPr>
            <w:tcW w:w="1860" w:type="dxa"/>
            <w:vAlign w:val="bottom"/>
            <w:gridSpan w:val="3"/>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Class A Units (2,666 units)</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2/12/2024</w:t>
            </w: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6,557</w:t>
            </w:r>
          </w:p>
        </w:tc>
        <w:tc>
          <w:tcPr>
            <w:tcW w:w="10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6,508</w:t>
            </w:r>
          </w:p>
        </w:tc>
        <w:tc>
          <w:tcPr>
            <w:tcW w:w="86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680" w:type="dxa"/>
            <w:vAlign w:val="bottom"/>
            <w:gridSpan w:val="2"/>
            <w:shd w:val="clear" w:color="auto" w:fill="CCEEFF"/>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0.4%</w:t>
            </w: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LLC</w:t>
            </w:r>
            <w:r>
              <w:rPr>
                <w:rFonts w:ascii="Times New Roman" w:cs="Times New Roman" w:eastAsia="Times New Roman" w:hAnsi="Times New Roman"/>
                <w:sz w:val="8"/>
                <w:szCs w:val="8"/>
                <w:color w:val="auto"/>
              </w:rPr>
              <w:t>(8)(10)</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20600 Civic Center Drive</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Southfield, MI 48076</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1"/>
        </w:trPr>
        <w:tc>
          <w:tcPr>
            <w:tcW w:w="2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48"/>
        </w:trPr>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26"/>
        </w:trPr>
        <w:tc>
          <w:tcPr>
            <w:tcW w:w="24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Artisan Topco LP</w:t>
            </w:r>
            <w:r>
              <w:rPr>
                <w:rFonts w:ascii="Times New Roman" w:cs="Times New Roman" w:eastAsia="Times New Roman" w:hAnsi="Times New Roman"/>
                <w:sz w:val="10"/>
                <w:szCs w:val="10"/>
                <w:color w:val="auto"/>
              </w:rPr>
              <w:t>(8)(10)</w:t>
            </w:r>
          </w:p>
        </w:tc>
        <w:tc>
          <w:tcPr>
            <w:tcW w:w="1860" w:type="dxa"/>
            <w:vAlign w:val="bottom"/>
            <w:gridSpan w:val="3"/>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Class A Preferred Units</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11/7/2023</w:t>
            </w: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7,883</w:t>
            </w:r>
          </w:p>
        </w:tc>
        <w:tc>
          <w:tcPr>
            <w:tcW w:w="10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6,602</w:t>
            </w:r>
          </w:p>
        </w:tc>
        <w:tc>
          <w:tcPr>
            <w:tcW w:w="86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680" w:type="dxa"/>
            <w:vAlign w:val="bottom"/>
            <w:gridSpan w:val="2"/>
            <w:shd w:val="clear" w:color="auto" w:fill="CCEEFF"/>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0.8%</w:t>
            </w: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185 Devonshire Street</w:t>
            </w:r>
          </w:p>
        </w:tc>
        <w:tc>
          <w:tcPr>
            <w:tcW w:w="186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(7,882,736 units)</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100</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02110</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1"/>
        </w:trPr>
        <w:tc>
          <w:tcPr>
            <w:tcW w:w="2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26"/>
        </w:trPr>
        <w:tc>
          <w:tcPr>
            <w:tcW w:w="24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Insight Hideaway Aggregator,</w:t>
            </w:r>
          </w:p>
        </w:tc>
        <w:tc>
          <w:tcPr>
            <w:tcW w:w="1860" w:type="dxa"/>
            <w:vAlign w:val="bottom"/>
            <w:gridSpan w:val="3"/>
          </w:tcPr>
          <w:p>
            <w:pPr>
              <w:ind w:left="180"/>
              <w:spacing w:after="0" w:line="126" w:lineRule="exact"/>
              <w:rPr>
                <w:sz w:val="20"/>
                <w:szCs w:val="20"/>
                <w:color w:val="auto"/>
              </w:rPr>
            </w:pPr>
            <w:r>
              <w:rPr>
                <w:rFonts w:ascii="Times New Roman" w:cs="Times New Roman" w:eastAsia="Times New Roman" w:hAnsi="Times New Roman"/>
                <w:sz w:val="14"/>
                <w:szCs w:val="14"/>
                <w:color w:val="auto"/>
              </w:rPr>
              <w:t>Partnership Interest</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3/19/2024</w:t>
            </w: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21,701</w:t>
            </w:r>
          </w:p>
        </w:tc>
        <w:tc>
          <w:tcPr>
            <w:tcW w:w="10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21,701</w:t>
            </w:r>
          </w:p>
        </w:tc>
        <w:tc>
          <w:tcPr>
            <w:tcW w:w="86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0.7%</w:t>
            </w:r>
          </w:p>
        </w:tc>
        <w:tc>
          <w:tcPr>
            <w:tcW w:w="68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0.8%</w:t>
            </w:r>
          </w:p>
        </w:tc>
      </w:tr>
      <w:tr>
        <w:trPr>
          <w:trHeight w:val="148"/>
        </w:trPr>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L.P.</w:t>
            </w:r>
            <w:r>
              <w:rPr>
                <w:rFonts w:ascii="Times New Roman" w:cs="Times New Roman" w:eastAsia="Times New Roman" w:hAnsi="Times New Roman"/>
                <w:sz w:val="8"/>
                <w:szCs w:val="8"/>
                <w:color w:val="auto"/>
              </w:rPr>
              <w:t>(8)(10)</w:t>
            </w:r>
          </w:p>
        </w:tc>
        <w:tc>
          <w:tcPr>
            <w:tcW w:w="186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(2,170,139 units)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17200 Laguna Canyon Road</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Irvine, CA 92618</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88"/>
        </w:trPr>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7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Rate and</w:t>
            </w:r>
          </w:p>
        </w:tc>
        <w:tc>
          <w:tcPr>
            <w:tcW w:w="12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278"/>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680" w:type="dxa"/>
            <w:vAlign w:val="bottom"/>
            <w:gridSpan w:val="2"/>
          </w:tcPr>
          <w:p>
            <w:pPr>
              <w:jc w:val="center"/>
              <w:ind w:right="118"/>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0" w:type="dxa"/>
            <w:vAlign w:val="bottom"/>
          </w:tcPr>
          <w:p>
            <w:pPr>
              <w:spacing w:after="0"/>
              <w:rPr>
                <w:sz w:val="1"/>
                <w:szCs w:val="1"/>
                <w:color w:val="auto"/>
              </w:rPr>
            </w:pP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0"/>
                <w:szCs w:val="10"/>
                <w:b w:val="1"/>
                <w:bCs w:val="1"/>
                <w:color w:val="auto"/>
                <w:w w:val="95"/>
              </w:rPr>
              <w:t>Company</w:t>
            </w:r>
            <w:r>
              <w:rPr>
                <w:rFonts w:ascii="Times New Roman" w:cs="Times New Roman" w:eastAsia="Times New Roman" w:hAnsi="Times New Roman"/>
                <w:sz w:val="15"/>
                <w:szCs w:val="15"/>
                <w:b w:val="1"/>
                <w:bCs w:val="1"/>
                <w:color w:val="auto"/>
                <w:w w:val="95"/>
                <w:vertAlign w:val="superscript"/>
              </w:rPr>
              <w:t>(1)(9)</w:t>
            </w: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00" w:type="dxa"/>
            <w:vAlign w:val="bottom"/>
            <w:gridSpan w:val="2"/>
          </w:tcPr>
          <w:p>
            <w:pPr>
              <w:ind w:left="5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8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8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(6)</w:t>
            </w:r>
          </w:p>
        </w:tc>
        <w:tc>
          <w:tcPr>
            <w:tcW w:w="900" w:type="dxa"/>
            <w:vAlign w:val="bottom"/>
            <w:gridSpan w:val="2"/>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c>
          <w:tcPr>
            <w:tcW w:w="680" w:type="dxa"/>
            <w:vAlign w:val="bottom"/>
            <w:gridSpan w:val="2"/>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9"/>
              </w:rPr>
              <w:t>Class Held</w:t>
            </w:r>
          </w:p>
        </w:tc>
        <w:tc>
          <w:tcPr>
            <w:tcW w:w="0" w:type="dxa"/>
            <w:vAlign w:val="bottom"/>
          </w:tcPr>
          <w:p>
            <w:pPr>
              <w:spacing w:after="0"/>
              <w:rPr>
                <w:sz w:val="1"/>
                <w:szCs w:val="1"/>
                <w:color w:val="auto"/>
              </w:rPr>
            </w:pPr>
          </w:p>
        </w:tc>
      </w:tr>
      <w:tr>
        <w:trPr>
          <w:trHeight w:val="108"/>
        </w:trPr>
        <w:tc>
          <w:tcPr>
            <w:tcW w:w="276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Newark FP Co-Invest, L.P.</w:t>
            </w:r>
            <w:r>
              <w:rPr>
                <w:rFonts w:ascii="Times New Roman" w:cs="Times New Roman" w:eastAsia="Times New Roman" w:hAnsi="Times New Roman"/>
                <w:sz w:val="9"/>
                <w:szCs w:val="9"/>
                <w:color w:val="auto"/>
              </w:rPr>
              <w:t>(8)(10</w:t>
            </w:r>
            <w:r>
              <w:rPr>
                <w:rFonts w:ascii="Times New Roman" w:cs="Times New Roman" w:eastAsia="Times New Roman" w:hAnsi="Times New Roman"/>
                <w:sz w:val="12"/>
                <w:szCs w:val="12"/>
                <w:color w:val="auto"/>
              </w:rPr>
              <w:t>)</w:t>
            </w:r>
          </w:p>
        </w:tc>
        <w:tc>
          <w:tcPr>
            <w:tcW w:w="460" w:type="dxa"/>
            <w:vAlign w:val="bottom"/>
            <w:tcBorders>
              <w:top w:val="single" w:sz="8" w:color="CCEEFF"/>
            </w:tcBorders>
            <w:shd w:val="clear" w:color="auto" w:fill="CCEEFF"/>
          </w:tcPr>
          <w:p>
            <w:pPr>
              <w:spacing w:after="0"/>
              <w:rPr>
                <w:sz w:val="9"/>
                <w:szCs w:val="9"/>
                <w:color w:val="auto"/>
              </w:rPr>
            </w:pPr>
          </w:p>
        </w:tc>
        <w:tc>
          <w:tcPr>
            <w:tcW w:w="160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Partnership (8,555,356</w:t>
            </w:r>
          </w:p>
        </w:tc>
        <w:tc>
          <w:tcPr>
            <w:tcW w:w="10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11/8/2023</w:t>
            </w:r>
          </w:p>
        </w:tc>
        <w:tc>
          <w:tcPr>
            <w:tcW w:w="1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8,572</w:t>
            </w:r>
          </w:p>
        </w:tc>
        <w:tc>
          <w:tcPr>
            <w:tcW w:w="1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7,757</w:t>
            </w: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0.3</w:t>
            </w:r>
          </w:p>
        </w:tc>
        <w:tc>
          <w:tcPr>
            <w:tcW w:w="300" w:type="dxa"/>
            <w:vAlign w:val="bottom"/>
            <w:tcBorders>
              <w:top w:val="single" w:sz="8" w:color="CCEEFF"/>
            </w:tcBorders>
            <w:shd w:val="clear" w:color="auto" w:fill="CCEEFF"/>
          </w:tcPr>
          <w:p>
            <w:pPr>
              <w:jc w:val="right"/>
              <w:ind w:right="11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1.2</w:t>
            </w:r>
          </w:p>
        </w:tc>
        <w:tc>
          <w:tcPr>
            <w:tcW w:w="180" w:type="dxa"/>
            <w:vAlign w:val="bottom"/>
            <w:tcBorders>
              <w:top w:val="single" w:sz="8" w:color="CCEEFF"/>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Letterman Drive</w:t>
            </w:r>
          </w:p>
        </w:tc>
        <w:tc>
          <w:tcPr>
            <w:tcW w:w="2160" w:type="dxa"/>
            <w:vAlign w:val="bottom"/>
            <w:gridSpan w:val="3"/>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units)</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60" w:type="dxa"/>
            <w:vAlign w:val="bottom"/>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Building C, Suite 410</w:t>
            </w: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Francisco, CA 94120</w:t>
            </w:r>
          </w:p>
        </w:tc>
        <w:tc>
          <w:tcPr>
            <w:tcW w:w="4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Warrior TopCo LP (8)(10)</w:t>
            </w:r>
          </w:p>
        </w:tc>
        <w:tc>
          <w:tcPr>
            <w:tcW w:w="2160" w:type="dxa"/>
            <w:vAlign w:val="bottom"/>
            <w:gridSpan w:val="3"/>
          </w:tcPr>
          <w:p>
            <w:pPr>
              <w:ind w:left="460"/>
              <w:spacing w:after="0" w:line="126" w:lineRule="exact"/>
              <w:rPr>
                <w:sz w:val="20"/>
                <w:szCs w:val="20"/>
                <w:color w:val="auto"/>
              </w:rPr>
            </w:pPr>
            <w:r>
              <w:rPr>
                <w:rFonts w:ascii="Times New Roman" w:cs="Times New Roman" w:eastAsia="Times New Roman" w:hAnsi="Times New Roman"/>
                <w:sz w:val="14"/>
                <w:szCs w:val="14"/>
                <w:color w:val="auto"/>
              </w:rPr>
              <w:t>Class A Units (9,576,271</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7/7/2023</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9,576</w:t>
            </w:r>
          </w:p>
        </w:tc>
        <w:tc>
          <w:tcPr>
            <w:tcW w:w="80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12,473</w:t>
            </w:r>
          </w:p>
        </w:tc>
        <w:tc>
          <w:tcPr>
            <w:tcW w:w="900" w:type="dxa"/>
            <w:vAlign w:val="bottom"/>
            <w:gridSpan w:val="2"/>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0.4%</w:t>
            </w:r>
          </w:p>
        </w:tc>
        <w:tc>
          <w:tcPr>
            <w:tcW w:w="6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8"/>
        </w:trPr>
        <w:tc>
          <w:tcPr>
            <w:tcW w:w="27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9171 Towne Center Drive</w:t>
            </w:r>
          </w:p>
        </w:tc>
        <w:tc>
          <w:tcPr>
            <w:tcW w:w="2160" w:type="dxa"/>
            <w:vAlign w:val="bottom"/>
            <w:gridSpan w:val="3"/>
          </w:tcPr>
          <w:p>
            <w:pPr>
              <w:ind w:left="460"/>
              <w:spacing w:after="0" w:line="149" w:lineRule="exact"/>
              <w:rPr>
                <w:sz w:val="20"/>
                <w:szCs w:val="20"/>
                <w:color w:val="auto"/>
              </w:rPr>
            </w:pPr>
            <w:r>
              <w:rPr>
                <w:rFonts w:ascii="Times New Roman" w:cs="Times New Roman" w:eastAsia="Times New Roman" w:hAnsi="Times New Roman"/>
                <w:sz w:val="14"/>
                <w:szCs w:val="14"/>
                <w:color w:val="auto"/>
              </w:rPr>
              <w:t>units)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w:t>
            </w:r>
          </w:p>
        </w:tc>
        <w:tc>
          <w:tcPr>
            <w:tcW w:w="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7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San Diego, CA 92122</w:t>
            </w:r>
          </w:p>
        </w:tc>
        <w:tc>
          <w:tcPr>
            <w:tcW w:w="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47,732</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48,533</w:t>
            </w:r>
          </w:p>
        </w:tc>
        <w:tc>
          <w:tcPr>
            <w:tcW w:w="900" w:type="dxa"/>
            <w:vAlign w:val="bottom"/>
            <w:gridSpan w:val="2"/>
            <w:shd w:val="clear" w:color="auto" w:fill="CCEEFF"/>
          </w:tcPr>
          <w:p>
            <w:pPr>
              <w:jc w:val="right"/>
              <w:ind w:right="118"/>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4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AF Eagle Parent, L.P.</w:t>
            </w:r>
            <w:r>
              <w:rPr>
                <w:rFonts w:ascii="Times New Roman" w:cs="Times New Roman" w:eastAsia="Times New Roman" w:hAnsi="Times New Roman"/>
                <w:sz w:val="10"/>
                <w:szCs w:val="10"/>
                <w:color w:val="auto"/>
              </w:rPr>
              <w:t>(8)(10)</w:t>
            </w:r>
          </w:p>
        </w:tc>
        <w:tc>
          <w:tcPr>
            <w:tcW w:w="2160" w:type="dxa"/>
            <w:vAlign w:val="bottom"/>
            <w:gridSpan w:val="3"/>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Partnership Units (337,024</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11/27/2023</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11,364</w:t>
            </w:r>
          </w:p>
        </w:tc>
        <w:tc>
          <w:tcPr>
            <w:tcW w:w="80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11,364</w:t>
            </w:r>
          </w:p>
        </w:tc>
        <w:tc>
          <w:tcPr>
            <w:tcW w:w="900" w:type="dxa"/>
            <w:vAlign w:val="bottom"/>
            <w:gridSpan w:val="2"/>
            <w:shd w:val="clear" w:color="auto" w:fill="CCEEFF"/>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0.3%</w:t>
            </w:r>
          </w:p>
        </w:tc>
        <w:tc>
          <w:tcPr>
            <w:tcW w:w="6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540 Devall Drive</w:t>
            </w:r>
          </w:p>
        </w:tc>
        <w:tc>
          <w:tcPr>
            <w:tcW w:w="2160" w:type="dxa"/>
            <w:vAlign w:val="bottom"/>
            <w:gridSpan w:val="3"/>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units)</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301</w:t>
            </w: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Auburn, AL 36832</w:t>
            </w:r>
          </w:p>
        </w:tc>
        <w:tc>
          <w:tcPr>
            <w:tcW w:w="4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CLGF Holdings, L.P. </w:t>
            </w:r>
            <w:r>
              <w:rPr>
                <w:rFonts w:ascii="Times New Roman" w:cs="Times New Roman" w:eastAsia="Times New Roman" w:hAnsi="Times New Roman"/>
                <w:sz w:val="10"/>
                <w:szCs w:val="10"/>
                <w:color w:val="auto"/>
              </w:rPr>
              <w:t>(4)(8)(10)</w:t>
            </w:r>
          </w:p>
        </w:tc>
        <w:tc>
          <w:tcPr>
            <w:tcW w:w="2160" w:type="dxa"/>
            <w:vAlign w:val="bottom"/>
            <w:gridSpan w:val="3"/>
          </w:tcPr>
          <w:p>
            <w:pPr>
              <w:ind w:left="460"/>
              <w:spacing w:after="0" w:line="126" w:lineRule="exact"/>
              <w:rPr>
                <w:sz w:val="20"/>
                <w:szCs w:val="20"/>
                <w:color w:val="auto"/>
              </w:rPr>
            </w:pPr>
            <w:r>
              <w:rPr>
                <w:rFonts w:ascii="Times New Roman" w:cs="Times New Roman" w:eastAsia="Times New Roman" w:hAnsi="Times New Roman"/>
                <w:sz w:val="14"/>
                <w:szCs w:val="14"/>
                <w:color w:val="auto"/>
              </w:rPr>
              <w:t>Warrants (8,358,075</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11/7/2023</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4,575</w:t>
            </w:r>
          </w:p>
        </w:tc>
        <w:tc>
          <w:tcPr>
            <w:tcW w:w="80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7,776</w:t>
            </w:r>
          </w:p>
        </w:tc>
        <w:tc>
          <w:tcPr>
            <w:tcW w:w="900" w:type="dxa"/>
            <w:vAlign w:val="bottom"/>
            <w:gridSpan w:val="2"/>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0.3%</w:t>
            </w:r>
          </w:p>
        </w:tc>
        <w:tc>
          <w:tcPr>
            <w:tcW w:w="6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27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14600 NW Greenbrier Pkwy</w:t>
            </w:r>
          </w:p>
        </w:tc>
        <w:tc>
          <w:tcPr>
            <w:tcW w:w="2160" w:type="dxa"/>
            <w:vAlign w:val="bottom"/>
            <w:gridSpan w:val="3"/>
          </w:tcPr>
          <w:p>
            <w:pPr>
              <w:ind w:left="460"/>
              <w:spacing w:after="0" w:line="149" w:lineRule="exact"/>
              <w:rPr>
                <w:sz w:val="20"/>
                <w:szCs w:val="20"/>
                <w:color w:val="auto"/>
              </w:rPr>
            </w:pPr>
            <w:r>
              <w:rPr>
                <w:rFonts w:ascii="Times New Roman" w:cs="Times New Roman" w:eastAsia="Times New Roman" w:hAnsi="Times New Roman"/>
                <w:sz w:val="14"/>
                <w:szCs w:val="14"/>
                <w:color w:val="auto"/>
              </w:rPr>
              <w:t>warrants)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Beaverton, OR 97006</w:t>
            </w:r>
          </w:p>
        </w:tc>
        <w:tc>
          <w:tcPr>
            <w:tcW w:w="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7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15,939</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19,140</w:t>
            </w:r>
          </w:p>
        </w:tc>
        <w:tc>
          <w:tcPr>
            <w:tcW w:w="900" w:type="dxa"/>
            <w:vAlign w:val="bottom"/>
            <w:gridSpan w:val="2"/>
            <w:shd w:val="clear" w:color="auto" w:fill="CCEEFF"/>
          </w:tcPr>
          <w:p>
            <w:pPr>
              <w:jc w:val="right"/>
              <w:ind w:right="118"/>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7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4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Raptor US Buyer II Corp.</w:t>
            </w:r>
            <w:r>
              <w:rPr>
                <w:rFonts w:ascii="Times New Roman" w:cs="Times New Roman" w:eastAsia="Times New Roman" w:hAnsi="Times New Roman"/>
                <w:sz w:val="10"/>
                <w:szCs w:val="10"/>
                <w:color w:val="auto"/>
              </w:rPr>
              <w:t>(8)</w:t>
            </w:r>
          </w:p>
        </w:tc>
        <w:tc>
          <w:tcPr>
            <w:tcW w:w="2160" w:type="dxa"/>
            <w:vAlign w:val="bottom"/>
            <w:gridSpan w:val="3"/>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Ordinary Shares (128,321</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3/24/2023</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12,876</w:t>
            </w:r>
          </w:p>
        </w:tc>
        <w:tc>
          <w:tcPr>
            <w:tcW w:w="80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12,876</w:t>
            </w:r>
          </w:p>
        </w:tc>
        <w:tc>
          <w:tcPr>
            <w:tcW w:w="900" w:type="dxa"/>
            <w:vAlign w:val="bottom"/>
            <w:gridSpan w:val="2"/>
            <w:shd w:val="clear" w:color="auto" w:fill="CCEEFF"/>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0.4%</w:t>
            </w:r>
          </w:p>
        </w:tc>
        <w:tc>
          <w:tcPr>
            <w:tcW w:w="6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9"/>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205 West Wacker Drive, Suite 1800</w:t>
            </w:r>
          </w:p>
        </w:tc>
        <w:tc>
          <w:tcPr>
            <w:tcW w:w="2160" w:type="dxa"/>
            <w:vAlign w:val="bottom"/>
            <w:gridSpan w:val="3"/>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Chicago, IL 60606</w:t>
            </w:r>
          </w:p>
        </w:tc>
        <w:tc>
          <w:tcPr>
            <w:tcW w:w="4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Human Resource Support Services</w:t>
            </w:r>
          </w:p>
        </w:tc>
        <w:tc>
          <w:tcPr>
            <w:tcW w:w="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bswift, LLC</w:t>
            </w:r>
            <w:r>
              <w:rPr>
                <w:rFonts w:ascii="Times New Roman" w:cs="Times New Roman" w:eastAsia="Times New Roman" w:hAnsi="Times New Roman"/>
                <w:sz w:val="10"/>
                <w:szCs w:val="10"/>
                <w:color w:val="auto"/>
              </w:rPr>
              <w:t>(8)</w:t>
            </w:r>
          </w:p>
        </w:tc>
        <w:tc>
          <w:tcPr>
            <w:tcW w:w="2160" w:type="dxa"/>
            <w:vAlign w:val="bottom"/>
            <w:gridSpan w:val="3"/>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Class A-1 Units (7,606,491</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11/7/2022</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7,606</w:t>
            </w:r>
          </w:p>
        </w:tc>
        <w:tc>
          <w:tcPr>
            <w:tcW w:w="80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13,920</w:t>
            </w:r>
          </w:p>
        </w:tc>
        <w:tc>
          <w:tcPr>
            <w:tcW w:w="900" w:type="dxa"/>
            <w:vAlign w:val="bottom"/>
            <w:gridSpan w:val="2"/>
            <w:shd w:val="clear" w:color="auto" w:fill="CCEEFF"/>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0.5%</w:t>
            </w:r>
          </w:p>
        </w:tc>
        <w:tc>
          <w:tcPr>
            <w:tcW w:w="6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W. Monroe</w:t>
            </w:r>
          </w:p>
        </w:tc>
        <w:tc>
          <w:tcPr>
            <w:tcW w:w="2160" w:type="dxa"/>
            <w:vAlign w:val="bottom"/>
            <w:gridSpan w:val="3"/>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units)</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3800</w:t>
            </w: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Chicago, IL 60661</w:t>
            </w: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4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SMA Technologies Holdings, LLC</w:t>
            </w:r>
            <w:r>
              <w:rPr>
                <w:rFonts w:ascii="Times New Roman" w:cs="Times New Roman" w:eastAsia="Times New Roman" w:hAnsi="Times New Roman"/>
                <w:sz w:val="10"/>
                <w:szCs w:val="10"/>
                <w:color w:val="auto"/>
              </w:rPr>
              <w:t>(8)</w:t>
            </w:r>
          </w:p>
        </w:tc>
        <w:tc>
          <w:tcPr>
            <w:tcW w:w="2160" w:type="dxa"/>
            <w:vAlign w:val="bottom"/>
            <w:gridSpan w:val="3"/>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Class A Units (200 units)</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11/21/2022</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200</w:t>
            </w:r>
          </w:p>
        </w:tc>
        <w:tc>
          <w:tcPr>
            <w:tcW w:w="80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245</w:t>
            </w:r>
          </w:p>
        </w:tc>
        <w:tc>
          <w:tcPr>
            <w:tcW w:w="900" w:type="dxa"/>
            <w:vAlign w:val="bottom"/>
            <w:gridSpan w:val="2"/>
            <w:shd w:val="clear" w:color="auto" w:fill="CCEEFF"/>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6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9"/>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14237 East Sam Houston Parkway N.</w:t>
            </w: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200-314</w:t>
            </w: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Houston, TX 77044</w:t>
            </w: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4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160" w:type="dxa"/>
            <w:vAlign w:val="bottom"/>
            <w:gridSpan w:val="3"/>
          </w:tcPr>
          <w:p>
            <w:pPr>
              <w:ind w:left="460"/>
              <w:spacing w:after="0" w:line="126" w:lineRule="exact"/>
              <w:rPr>
                <w:sz w:val="20"/>
                <w:szCs w:val="20"/>
                <w:color w:val="auto"/>
              </w:rPr>
            </w:pPr>
            <w:r>
              <w:rPr>
                <w:rFonts w:ascii="Times New Roman" w:cs="Times New Roman" w:eastAsia="Times New Roman" w:hAnsi="Times New Roman"/>
                <w:sz w:val="14"/>
                <w:szCs w:val="14"/>
                <w:color w:val="auto"/>
              </w:rPr>
              <w:t>Class B Units (142,038</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11/21/2022</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44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6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8"/>
        </w:trPr>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units)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900" w:type="dxa"/>
            <w:vAlign w:val="bottom"/>
            <w:gridSpan w:val="2"/>
            <w:shd w:val="clear" w:color="auto" w:fill="CCEEFF"/>
          </w:tcPr>
          <w:p>
            <w:pPr>
              <w:jc w:val="right"/>
              <w:ind w:right="118"/>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60" w:type="dxa"/>
            <w:vAlign w:val="bottom"/>
            <w:gridSpan w:val="2"/>
            <w:vMerge w:val="restart"/>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Total Equity and Other</w:t>
            </w: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76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90,910</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101,222</w:t>
            </w:r>
          </w:p>
        </w:tc>
        <w:tc>
          <w:tcPr>
            <w:tcW w:w="900" w:type="dxa"/>
            <w:vAlign w:val="bottom"/>
            <w:gridSpan w:val="2"/>
            <w:vMerge w:val="restart"/>
          </w:tcPr>
          <w:p>
            <w:pPr>
              <w:jc w:val="right"/>
              <w:ind w:right="118"/>
              <w:spacing w:after="0"/>
              <w:rPr>
                <w:sz w:val="20"/>
                <w:szCs w:val="20"/>
                <w:color w:val="auto"/>
              </w:rPr>
            </w:pPr>
            <w:r>
              <w:rPr>
                <w:rFonts w:ascii="Times New Roman" w:cs="Times New Roman" w:eastAsia="Times New Roman" w:hAnsi="Times New Roman"/>
                <w:sz w:val="14"/>
                <w:szCs w:val="14"/>
                <w:color w:val="auto"/>
              </w:rPr>
              <w:t>3.3%</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5,774,926</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5,926,828</w:t>
            </w:r>
          </w:p>
        </w:tc>
        <w:tc>
          <w:tcPr>
            <w:tcW w:w="900" w:type="dxa"/>
            <w:vAlign w:val="bottom"/>
            <w:gridSpan w:val="2"/>
            <w:shd w:val="clear" w:color="auto" w:fill="CCEEFF"/>
          </w:tcPr>
          <w:p>
            <w:pPr>
              <w:jc w:val="right"/>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192.1%</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40" w:right="160" w:hanging="424"/>
        <w:spacing w:after="0" w:line="226"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the Company’s portfolio companies are domiciled in the United States. Under the 1940 Act, the Company would “control” a portfolio company if the Company owned more than 25% of its outstanding voting securities and/or had the power to exercise control over the management or policies of such portfolio company. As of September 30, 2024, the Company does not “control” any of the portfolio companies. Also under the 1940 Act, the Company would be deemed to be an “Affiliated Person” of a portfolio company if the Company owns more than 5% of the portfolio company’s outstanding voting securities. As of September 30, 2024, the Company does not identify any of its portfolio companies as affiliates.</w:t>
      </w:r>
    </w:p>
    <w:p>
      <w:pPr>
        <w:ind w:left="540" w:hanging="424"/>
        <w:spacing w:after="0" w:line="221"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amortized cost represents the original cost adjusted for the amortization of discounts and premiums, as applicable, on debt investments using the effective interest method.</w:t>
      </w:r>
    </w:p>
    <w:p>
      <w:pPr>
        <w:ind w:left="540" w:right="400" w:hanging="424"/>
        <w:spacing w:after="0" w:line="233"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contains a variable rate structure, subject to an interest rate floor. Variable rate investments bear interest at a rate that may be determined by reference to either Euro Interbank Offer Rate (“Euribor” or “E”), Term Secured Overnight Financing Rate (“SOFR”), which may also contain a credit spread adjustment depending on the tenor election, Sterling Overnight Interbank Average Rate (“SONIA” or “S”), the Norwegian Interbank Offered Rate (“NIBOR” or “N”), Stockholm Interbank Offered Rate (“STIBOR”), or an</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540" w:right="20"/>
        <w:spacing w:after="0" w:line="229" w:lineRule="auto"/>
        <w:rPr>
          <w:sz w:val="20"/>
          <w:szCs w:val="20"/>
          <w:color w:val="auto"/>
        </w:rPr>
      </w:pPr>
      <w:r>
        <w:rPr>
          <w:rFonts w:ascii="Times New Roman" w:cs="Times New Roman" w:eastAsia="Times New Roman" w:hAnsi="Times New Roman"/>
          <w:sz w:val="14"/>
          <w:szCs w:val="14"/>
          <w:color w:val="auto"/>
        </w:rPr>
        <w:t>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2024.</w:t>
      </w:r>
    </w:p>
    <w:p>
      <w:pPr>
        <w:spacing w:after="0" w:line="1" w:lineRule="exact"/>
        <w:rPr>
          <w:sz w:val="20"/>
          <w:szCs w:val="20"/>
          <w:color w:val="auto"/>
        </w:rPr>
      </w:pPr>
    </w:p>
    <w:p>
      <w:pPr>
        <w:ind w:left="540" w:right="180" w:hanging="424"/>
        <w:spacing w:after="0" w:line="221"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26.8% of total assets as of September 30, 2024.</w:t>
      </w:r>
    </w:p>
    <w:p>
      <w:pPr>
        <w:jc w:val="both"/>
        <w:ind w:left="540" w:right="120" w:hanging="424"/>
        <w:spacing w:after="0" w:line="221"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540" w:hanging="424"/>
        <w:spacing w:after="0" w:line="221"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w:t>
      </w:r>
    </w:p>
    <w:p>
      <w:pPr>
        <w:ind w:left="540" w:right="180" w:hanging="424"/>
        <w:spacing w:after="0" w:line="221"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2024, the estimated cost basis of investments for U.S. federal tax purposes was $5,796,984 resulting in estimated gross unrealized gains and losses of $165,862 and $67,260, respectfully.</w:t>
      </w:r>
    </w:p>
    <w:p>
      <w:pPr>
        <w:ind w:left="540" w:hanging="424"/>
        <w:spacing w:after="0" w:line="221"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non-income producing.</w:t>
      </w:r>
    </w:p>
    <w:p>
      <w:pPr>
        <w:ind w:left="540" w:hanging="424"/>
        <w:spacing w:after="0" w:line="221"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portfolio company investments are subject to contractual restrictions on sales.</w:t>
      </w:r>
    </w:p>
    <w:p>
      <w:pPr>
        <w:ind w:left="540" w:right="200" w:hanging="424"/>
        <w:spacing w:after="0" w:line="221"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 portion of this security was acquired in a transaction exempt from registration under the Securities Act, and may be deemed to be “restricted securities” under the Securities Act. As of September 30, 2024, the aggregate fair value of these securities is $61,708, or 2.0% of the Company’s net assets.</w:t>
      </w:r>
    </w:p>
    <w:p>
      <w:pPr>
        <w:ind w:left="540" w:right="360" w:hanging="424"/>
        <w:spacing w:after="0" w:line="221"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principal amount outstanding and accrued interest owed on this investment, the Company is entitled to a separate Make-Whole Amount (the “Make-Whole”) of $24.1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valued using observable inputs and is considered a Level 2 investment.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7" w:lineRule="exact"/>
        <w:rPr>
          <w:sz w:val="20"/>
          <w:szCs w:val="20"/>
          <w:color w:val="auto"/>
        </w:rPr>
      </w:pPr>
    </w:p>
    <w:p>
      <w:pPr>
        <w:ind w:left="120" w:firstLine="440"/>
        <w:spacing w:after="0" w:line="258" w:lineRule="auto"/>
        <w:rPr>
          <w:rFonts w:ascii="Times New Roman" w:cs="Times New Roman" w:eastAsia="Times New Roman" w:hAnsi="Times New Roman"/>
          <w:sz w:val="18"/>
          <w:szCs w:val="18"/>
          <w:i w:val="1"/>
          <w:iCs w:val="1"/>
          <w:color w:val="0000EE"/>
        </w:rPr>
      </w:pPr>
      <w:hyperlink r:id="rId26">
        <w:r>
          <w:rPr>
            <w:rFonts w:ascii="Times New Roman" w:cs="Times New Roman" w:eastAsia="Times New Roman" w:hAnsi="Times New Roman"/>
            <w:sz w:val="18"/>
            <w:szCs w:val="18"/>
            <w:i w:val="1"/>
            <w:iCs w:val="1"/>
            <w:color w:val="auto"/>
          </w:rPr>
          <w:t xml:space="preserve">The information in “Consolidated Financial Statements and Supplementary Data” in Part II, Item 8 of the Company’s </w:t>
        </w:r>
        <w:r>
          <w:rPr>
            <w:rFonts w:ascii="Times New Roman" w:cs="Times New Roman" w:eastAsia="Times New Roman" w:hAnsi="Times New Roman"/>
            <w:sz w:val="18"/>
            <w:szCs w:val="18"/>
            <w:i w:val="1"/>
            <w:iCs w:val="1"/>
            <w:u w:val="single" w:color="auto"/>
            <w:color w:val="0000EE"/>
          </w:rPr>
          <w:t>Annual Report on Form</w:t>
        </w:r>
      </w:hyperlink>
      <w:r>
        <w:rPr>
          <w:rFonts w:ascii="Times New Roman" w:cs="Times New Roman" w:eastAsia="Times New Roman" w:hAnsi="Times New Roman"/>
          <w:sz w:val="18"/>
          <w:szCs w:val="18"/>
          <w:i w:val="1"/>
          <w:iCs w:val="1"/>
          <w:color w:val="auto"/>
        </w:rPr>
        <w:t xml:space="preserve"> </w:t>
      </w:r>
      <w:hyperlink r:id="rId26">
        <w:r>
          <w:rPr>
            <w:rFonts w:ascii="Times New Roman" w:cs="Times New Roman" w:eastAsia="Times New Roman" w:hAnsi="Times New Roman"/>
            <w:sz w:val="18"/>
            <w:szCs w:val="18"/>
            <w:i w:val="1"/>
            <w:iCs w:val="1"/>
            <w:u w:val="single" w:color="auto"/>
            <w:color w:val="0000EE"/>
          </w:rPr>
          <w:t>10-K for the fiscal year ended December 31, 2023</w:t>
        </w:r>
        <w:r>
          <w:rPr>
            <w:rFonts w:ascii="Times New Roman" w:cs="Times New Roman" w:eastAsia="Times New Roman" w:hAnsi="Times New Roman"/>
            <w:sz w:val="18"/>
            <w:szCs w:val="18"/>
            <w:i w:val="1"/>
            <w:iCs w:val="1"/>
            <w:color w:val="000000"/>
          </w:rPr>
          <w:t xml:space="preserve">, and “Financial Statements” in Part I, Item 1 of the Company’s Quarterly Report on Form 10-Q </w:t>
        </w:r>
      </w:hyperlink>
      <w:r>
        <w:rPr>
          <w:rFonts w:ascii="Times New Roman" w:cs="Times New Roman" w:eastAsia="Times New Roman" w:hAnsi="Times New Roman"/>
          <w:sz w:val="18"/>
          <w:szCs w:val="18"/>
          <w:i w:val="1"/>
          <w:iCs w:val="1"/>
          <w:color w:val="0000EE"/>
        </w:rPr>
        <w:t xml:space="preserve">for </w:t>
      </w:r>
      <w:r>
        <w:rPr>
          <w:rFonts w:ascii="Times New Roman" w:cs="Times New Roman" w:eastAsia="Times New Roman" w:hAnsi="Times New Roman"/>
          <w:sz w:val="18"/>
          <w:szCs w:val="18"/>
          <w:i w:val="1"/>
          <w:iCs w:val="1"/>
          <w:color w:val="000000"/>
        </w:rPr>
        <w:t>the quarter ended September 30, 2024 is incorporated herein by reference. The financial data should be read in conjunction with the Company’s consolidated financial statements and related notes thereto and “Management’s Discussion and Analysis of Financial Condition and Results of Operations” as incorporated by reference herein.</w:t>
      </w:r>
    </w:p>
    <w:p>
      <w:pPr>
        <w:spacing w:after="0" w:line="1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320" w:top="455" w:right="5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7" w:lineRule="exact"/>
        <w:rPr>
          <w:sz w:val="20"/>
          <w:szCs w:val="20"/>
          <w:color w:val="auto"/>
        </w:rPr>
      </w:pPr>
    </w:p>
    <w:p>
      <w:pPr>
        <w:ind w:left="120" w:firstLine="440"/>
        <w:spacing w:after="0" w:line="267"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The information in “Trustees, Executive Officers and Corporate Governance” in Part III, Item 10, “Executive Compensation” in Part III, Item 11 and “Security Ownership of Certain Beneficial Owners and Management and Related Shareholder Matters” in Part III, Item 12 of the Company’s </w:t>
      </w:r>
      <w:hyperlink r:id="rId26">
        <w:r>
          <w:rPr>
            <w:rFonts w:ascii="Times New Roman" w:cs="Times New Roman" w:eastAsia="Times New Roman" w:hAnsi="Times New Roman"/>
            <w:sz w:val="18"/>
            <w:szCs w:val="18"/>
            <w:i w:val="1"/>
            <w:iCs w:val="1"/>
            <w:u w:val="single" w:color="auto"/>
            <w:color w:val="0000EE"/>
          </w:rPr>
          <w:t>Annual Report on Form 10-K for the fiscal year ended December 31, 2023</w:t>
        </w:r>
      </w:hyperlink>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are incorporated herein by reference.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80"/>
          </w:cols>
          <w:pgMar w:left="320" w:top="455"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21" w:lineRule="exact"/>
        <w:rPr>
          <w:sz w:val="20"/>
          <w:szCs w:val="20"/>
          <w:color w:val="auto"/>
        </w:rPr>
      </w:pPr>
    </w:p>
    <w:p>
      <w:pPr>
        <w:ind w:left="120" w:firstLine="4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Adviser manages our day-to-day operations and provides us with investment advisory and management services and certain administrative services. We consider Joshua Easterly to be our portfolio manager who is primarily responsible for the day-to-day management of our portfolio. Please refer to our </w:t>
      </w:r>
      <w:hyperlink r:id="rId26">
        <w:r>
          <w:rPr>
            <w:rFonts w:ascii="Times New Roman" w:cs="Times New Roman" w:eastAsia="Times New Roman" w:hAnsi="Times New Roman"/>
            <w:sz w:val="18"/>
            <w:szCs w:val="18"/>
            <w:u w:val="single" w:color="auto"/>
            <w:color w:val="0000EE"/>
          </w:rPr>
          <w:t>Annual Report on Form 10-K for the fiscal year ended December 31, 2023</w:t>
        </w:r>
      </w:hyperlink>
      <w:r>
        <w:rPr>
          <w:rFonts w:ascii="Times New Roman" w:cs="Times New Roman" w:eastAsia="Times New Roman" w:hAnsi="Times New Roman"/>
          <w:sz w:val="18"/>
          <w:szCs w:val="18"/>
          <w:color w:val="auto"/>
        </w:rPr>
        <w:t>, which is incorporated by reference herein, for the biographical information of the Company’s portfolio manager.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portfolio manager does not receive any direct compensation from us for serving is such capacity.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shows the dollar range of common shares beneficially owned by our portfolio manager as of October 31, 2024:</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8"/>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Portfolio Manager</w:t>
            </w:r>
          </w:p>
        </w:tc>
        <w:tc>
          <w:tcPr>
            <w:tcW w:w="12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Equity Securities in</w:t>
            </w:r>
          </w:p>
        </w:tc>
        <w:tc>
          <w:tcPr>
            <w:tcW w:w="0" w:type="dxa"/>
            <w:vAlign w:val="bottom"/>
          </w:tcPr>
          <w:p>
            <w:pPr>
              <w:spacing w:after="0"/>
              <w:rPr>
                <w:sz w:val="1"/>
                <w:szCs w:val="1"/>
                <w:color w:val="auto"/>
              </w:rPr>
            </w:pPr>
          </w:p>
        </w:tc>
      </w:tr>
      <w:tr>
        <w:trPr>
          <w:trHeight w:val="173"/>
        </w:trPr>
        <w:tc>
          <w:tcPr>
            <w:tcW w:w="6200" w:type="dxa"/>
            <w:vAlign w:val="bottom"/>
            <w:vMerge w:val="continue"/>
          </w:tcPr>
          <w:p>
            <w:pPr>
              <w:spacing w:after="0"/>
              <w:rPr>
                <w:sz w:val="15"/>
                <w:szCs w:val="15"/>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the Fund</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60" w:hanging="424"/>
        <w:spacing w:after="0" w:line="282"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$0, $1 – $10,000, $10,001 – $50,000, $50,001 – $100,000, $100,001 – $500,000, $500,001 – $1,000,000, or over $1,000,000.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Accounts Managed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October 31, 2024, Joshua Easterly managed, or was a member of the management team for, the following client accounts: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34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Assets of</w:t>
            </w: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0" w:type="dxa"/>
            <w:vAlign w:val="bottom"/>
          </w:tcPr>
          <w:p>
            <w:pPr>
              <w:spacing w:after="0"/>
              <w:rPr>
                <w:sz w:val="1"/>
                <w:szCs w:val="1"/>
                <w:color w:val="auto"/>
              </w:rPr>
            </w:pPr>
          </w:p>
        </w:tc>
      </w:tr>
      <w:tr>
        <w:trPr>
          <w:trHeight w:val="148"/>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Account</w:t>
            </w:r>
          </w:p>
        </w:tc>
        <w:tc>
          <w:tcPr>
            <w:tcW w:w="3220" w:type="dxa"/>
            <w:vAlign w:val="bottom"/>
            <w:vMerge w:val="restart"/>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80"/>
        </w:trPr>
        <w:tc>
          <w:tcPr>
            <w:tcW w:w="102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1340" w:type="dxa"/>
            <w:vAlign w:val="bottom"/>
            <w:gridSpan w:val="2"/>
          </w:tcPr>
          <w:p>
            <w:pPr>
              <w:jc w:val="center"/>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20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Accounts (in millions)</w:t>
            </w:r>
          </w:p>
        </w:tc>
        <w:tc>
          <w:tcPr>
            <w:tcW w:w="11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Fee</w:t>
            </w:r>
          </w:p>
        </w:tc>
        <w:tc>
          <w:tcPr>
            <w:tcW w:w="320" w:type="dxa"/>
            <w:vAlign w:val="bottom"/>
          </w:tcPr>
          <w:p>
            <w:pPr>
              <w:spacing w:after="0"/>
              <w:rPr>
                <w:sz w:val="15"/>
                <w:szCs w:val="15"/>
                <w:color w:val="auto"/>
              </w:rPr>
            </w:pPr>
          </w:p>
        </w:tc>
        <w:tc>
          <w:tcPr>
            <w:tcW w:w="10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Fee (in millions)</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Registered Investment Companies</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ind w:left="84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6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Pooled Investment Vehicles Other Than</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Registered Investment Companies</w:t>
            </w:r>
            <w:r>
              <w:rPr>
                <w:rFonts w:ascii="Times New Roman" w:cs="Times New Roman" w:eastAsia="Times New Roman" w:hAnsi="Times New Roman"/>
                <w:sz w:val="26"/>
                <w:szCs w:val="26"/>
                <w:color w:val="auto"/>
                <w:vertAlign w:val="superscript"/>
              </w:rPr>
              <w:t>(1)</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64.7 billion</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61.93 billion</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3.79 billion</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 billion</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left="5540" w:right="720" w:hanging="5424"/>
        <w:spacing w:after="0" w:line="454" w:lineRule="auto"/>
        <w:tabs>
          <w:tab w:leader="none" w:pos="5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investment companies that have elected to be regulated as business development companies under the 1940 Act. 61</w:t>
      </w:r>
    </w:p>
    <w:p>
      <w:pPr>
        <w:sectPr>
          <w:pgSz w:w="11900" w:h="16838" w:orient="portrait"/>
          <w:cols w:equalWidth="0" w:num="1">
            <w:col w:w="10980"/>
          </w:cols>
          <w:pgMar w:left="320" w:top="455" w:right="5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has procedures in place for the review, approval and monitoring of transactions involving the Company and certain persons related to the Company. As a BDC, the Company may be prohibited under the 1940 Act from conducting certain transactions with our affiliates without the prior approval of the independent trustees and, in some cases, the prior approval of the SEC. We, the Adviser and certain of our affiliates have received an exemptive order from the SEC that permits us, among other things, to co-invest with certain other persons, including certain affiliates of the Adviser and certain funds managed and controlled by the Adviser and its affiliates, subject to certain terms and conditions.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we and the Adviser have adopted a code of ethics pursuant to Rule 17j-1 under the 1940 Act and Rule 204A-1 under the Advisers Act, respectively, that establishes procedures for personal investments and restricts certain personal securities transactions. Personnel subject to the code are permitted to invest in securities for their personal investment accounts, including securities that may be purchased or held by us, so long as such investments are made in accordance with the code’s requirements. A copy of the code of ethics is available on the SEC’s website at www.sec.gov. Copies of the code of ethics may be obtained, after paying a duplicating fee, by electronic request at the following email address: publicinfo@sec.gov.</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CONTROL PERSONS AND PRINCIPAL SHAREHOLDERS</w:t>
      </w:r>
    </w:p>
    <w:p>
      <w:pPr>
        <w:spacing w:after="0" w:line="189" w:lineRule="exact"/>
        <w:rPr>
          <w:sz w:val="20"/>
          <w:szCs w:val="20"/>
          <w:color w:val="auto"/>
        </w:rPr>
      </w:pPr>
    </w:p>
    <w:p>
      <w:pPr>
        <w:ind w:left="120" w:right="28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December 9, 2024, information with respect to the beneficial ownership of our common shares by:</w:t>
      </w:r>
    </w:p>
    <w:p>
      <w:pPr>
        <w:spacing w:after="0" w:line="67"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expected to beneficially own more than 5% of the outstanding common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trustees and executive officers as a group.</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To our knowledge, as of December 9, 2024, there were no persons that owned 25% or more of our outstanding voting securities and no person would be deemed to control us, as such term is defined in the Investment Company Act.</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Percentage of beneficial ownership is based on 104,908,823 common shares outstanding as of December 9, 2024. There are no common shares subject to options that are currently exercisable or exercisable within 60 days of the offering.</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Ownership information for those persons, if any, who own, control or hold the power to vote, 5% or more of our shares is based upon Schedule 13D or Schedule 13G filings by such persons with the SEC and other information obtained from such persons, if available. Such ownership information is as of the date of the applicable filing and may no longer be accurate.</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Type of Ownership</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Beneficial Owners of 5% or more</w:t>
            </w:r>
          </w:p>
        </w:tc>
        <w:tc>
          <w:tcPr>
            <w:tcW w:w="1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6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State of Michigan Retirement System</w:t>
            </w:r>
            <w:r>
              <w:rPr>
                <w:rFonts w:ascii="Times New Roman" w:cs="Times New Roman" w:eastAsia="Times New Roman" w:hAnsi="Times New Roman"/>
                <w:sz w:val="25"/>
                <w:szCs w:val="25"/>
                <w:color w:val="auto"/>
                <w:vertAlign w:val="superscript"/>
              </w:rPr>
              <w:t>(1)</w:t>
            </w: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8,342,597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7.95%</w:t>
            </w:r>
          </w:p>
        </w:tc>
      </w:tr>
      <w:tr>
        <w:trPr>
          <w:trHeight w:val="216"/>
        </w:trPr>
        <w:tc>
          <w:tcPr>
            <w:tcW w:w="6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Sixth Street Lending Partners Note Issuer, LLC</w:t>
            </w:r>
            <w:r>
              <w:rPr>
                <w:rFonts w:ascii="Times New Roman" w:cs="Times New Roman" w:eastAsia="Times New Roman" w:hAnsi="Times New Roman"/>
                <w:sz w:val="25"/>
                <w:szCs w:val="25"/>
                <w:color w:val="auto"/>
                <w:vertAlign w:val="superscript"/>
              </w:rPr>
              <w:t>(2)</w:t>
            </w:r>
          </w:p>
        </w:tc>
        <w:tc>
          <w:tcPr>
            <w:tcW w:w="20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7,851,490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6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Flourish Investment Corporation</w:t>
            </w:r>
            <w:r>
              <w:rPr>
                <w:rFonts w:ascii="Times New Roman" w:cs="Times New Roman" w:eastAsia="Times New Roman" w:hAnsi="Times New Roman"/>
                <w:sz w:val="25"/>
                <w:szCs w:val="25"/>
                <w:color w:val="auto"/>
                <w:vertAlign w:val="superscript"/>
              </w:rPr>
              <w:t>(3)</w:t>
            </w: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6,518,500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6.21%</w:t>
            </w:r>
          </w:p>
        </w:tc>
      </w:tr>
      <w:tr>
        <w:trPr>
          <w:trHeight w:val="216"/>
        </w:trPr>
        <w:tc>
          <w:tcPr>
            <w:tcW w:w="6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The Public Institution for Social Security</w:t>
            </w:r>
            <w:r>
              <w:rPr>
                <w:rFonts w:ascii="Times New Roman" w:cs="Times New Roman" w:eastAsia="Times New Roman" w:hAnsi="Times New Roman"/>
                <w:sz w:val="25"/>
                <w:szCs w:val="25"/>
                <w:color w:val="auto"/>
                <w:vertAlign w:val="superscript"/>
              </w:rPr>
              <w:t>(4)</w:t>
            </w:r>
          </w:p>
        </w:tc>
        <w:tc>
          <w:tcPr>
            <w:tcW w:w="20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6,674,076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w:t>
            </w:r>
          </w:p>
        </w:tc>
      </w:tr>
      <w:tr>
        <w:trPr>
          <w:trHeight w:val="238"/>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officers and Trustees as a group (16 persons)</w:t>
            </w:r>
          </w:p>
        </w:tc>
        <w:tc>
          <w:tcPr>
            <w:tcW w:w="1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9,279,519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8.85%</w:t>
            </w:r>
          </w:p>
        </w:tc>
      </w:tr>
    </w:tbl>
    <w:p>
      <w:pPr>
        <w:spacing w:after="0" w:line="81" w:lineRule="exact"/>
        <w:rPr>
          <w:sz w:val="20"/>
          <w:szCs w:val="20"/>
          <w:color w:val="auto"/>
        </w:rPr>
      </w:pPr>
    </w:p>
    <w:p>
      <w:pPr>
        <w:ind w:left="540" w:right="220" w:hanging="424"/>
        <w:spacing w:after="0" w:line="257"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for State of Michigan Retirement System (“Michigan”) is 2501 Coolidge Road Suite 400 East Lansing, Michigan 48823. Information obtained from a Schedule 13G filed on January 22, 2024 by Michigan with the SEC reporting share ownership. Based on that filing and other information obtained from such persons, Michigan maintains the sole power to vote or dispose of 8,158,489 shares.</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for Sixth Street Lending Partners Note Issuer, LLC (“Note Issuer”) is 2100 McKinney Avenue, Suite 1500, Dallas, Texas 75201. Information obtained from a Schedule 13D filed on June 27, 2024 by Note Issuer with the SEC reporting share ownership. Based on that filing and other information obtained from such persons, Note Issuer maintains the sole power to vote or dispose of 7,851,490 shares.</w:t>
      </w:r>
    </w:p>
    <w:p>
      <w:pPr>
        <w:spacing w:after="0" w:line="1"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for Flourish Investment Corporation (“Flourish”) is New Poly Plaza, No.1 Chaoyangmen Beidajie, Dongcheng District, Beijing 100010, People’s Republic of China. Information obtained from a Schedule 13G filed on February 2, 2024 by Flourish with the SEC reporting share ownership. Based on that filing and other information obtained from such persons, Flourish maintains the sole power to vote or dispose of 6,518,500 shares.</w:t>
      </w:r>
    </w:p>
    <w:p>
      <w:pPr>
        <w:spacing w:after="0" w:line="1" w:lineRule="exact"/>
        <w:rPr>
          <w:rFonts w:ascii="Times New Roman" w:cs="Times New Roman" w:eastAsia="Times New Roman" w:hAnsi="Times New Roman"/>
          <w:sz w:val="18"/>
          <w:szCs w:val="18"/>
          <w:color w:val="auto"/>
        </w:rPr>
      </w:pPr>
    </w:p>
    <w:p>
      <w:pPr>
        <w:ind w:left="540" w:right="60" w:hanging="424"/>
        <w:spacing w:after="0" w:line="255"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for The Public Institution for Social Security (“PIFSS”) is AlMurqab, Al-Soor St, Ta’aminat Building, Kuwait City 13104 Kuwait. Information obtained from a Schedule 13D filed on September 26, 2024 by PIFSS with the SEC reporting share ownership. Based on that filing and other information obtained from such persons, PIFSS maintains the sole power to vote or dispose of 6,526,790 shares.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dollar range of our equity securities as of October 31, 2024.</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8"/>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Trustee</w:t>
            </w:r>
          </w:p>
        </w:tc>
        <w:tc>
          <w:tcPr>
            <w:tcW w:w="5280" w:type="dxa"/>
            <w:vAlign w:val="bottom"/>
            <w:vMerge w:val="restart"/>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Equity Securities</w:t>
            </w:r>
          </w:p>
        </w:tc>
        <w:tc>
          <w:tcPr>
            <w:tcW w:w="0" w:type="dxa"/>
            <w:vAlign w:val="bottom"/>
          </w:tcPr>
          <w:p>
            <w:pPr>
              <w:spacing w:after="0"/>
              <w:rPr>
                <w:sz w:val="1"/>
                <w:szCs w:val="1"/>
                <w:color w:val="auto"/>
              </w:rPr>
            </w:pPr>
          </w:p>
        </w:tc>
      </w:tr>
      <w:tr>
        <w:trPr>
          <w:trHeight w:val="180"/>
        </w:trPr>
        <w:tc>
          <w:tcPr>
            <w:tcW w:w="1020" w:type="dxa"/>
            <w:vAlign w:val="bottom"/>
            <w:tcBorders>
              <w:bottom w:val="single" w:sz="8" w:color="auto"/>
            </w:tcBorders>
            <w:vMerge w:val="continue"/>
          </w:tcPr>
          <w:p>
            <w:pPr>
              <w:spacing w:after="0"/>
              <w:rPr>
                <w:sz w:val="15"/>
                <w:szCs w:val="15"/>
                <w:color w:val="auto"/>
              </w:rPr>
            </w:pPr>
          </w:p>
        </w:tc>
        <w:tc>
          <w:tcPr>
            <w:tcW w:w="5280" w:type="dxa"/>
            <w:vAlign w:val="bottom"/>
            <w:vMerge w:val="continue"/>
          </w:tcPr>
          <w:p>
            <w:pPr>
              <w:spacing w:after="0"/>
              <w:rPr>
                <w:sz w:val="15"/>
                <w:szCs w:val="15"/>
                <w:color w:val="auto"/>
              </w:rPr>
            </w:pPr>
          </w:p>
        </w:tc>
        <w:tc>
          <w:tcPr>
            <w:tcW w:w="118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in the Fund</w:t>
            </w:r>
            <w:r>
              <w:rPr>
                <w:rFonts w:ascii="Times New Roman" w:cs="Times New Roman" w:eastAsia="Times New Roman" w:hAnsi="Times New Roman"/>
                <w:sz w:val="10"/>
                <w:szCs w:val="10"/>
                <w:b w:val="1"/>
                <w:bCs w:val="1"/>
                <w:color w:val="auto"/>
              </w:rPr>
              <w:t>(1)(2)</w:t>
            </w:r>
          </w:p>
        </w:tc>
        <w:tc>
          <w:tcPr>
            <w:tcW w:w="0" w:type="dxa"/>
            <w:vAlign w:val="bottom"/>
          </w:tcPr>
          <w:p>
            <w:pPr>
              <w:spacing w:after="0"/>
              <w:rPr>
                <w:sz w:val="1"/>
                <w:szCs w:val="1"/>
                <w:color w:val="auto"/>
              </w:rPr>
            </w:pPr>
          </w:p>
        </w:tc>
      </w:tr>
      <w:tr>
        <w:trPr>
          <w:trHeight w:val="189"/>
        </w:trPr>
        <w:tc>
          <w:tcPr>
            <w:tcW w:w="6300" w:type="dxa"/>
            <w:vAlign w:val="bottom"/>
            <w:tcBorders>
              <w:top w:val="single" w:sz="8" w:color="CCEEFF"/>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5"/>
                <w:szCs w:val="15"/>
                <w:b w:val="1"/>
                <w:bCs w:val="1"/>
                <w:color w:val="auto"/>
              </w:rPr>
              <w:t>Interested Trustees</w:t>
            </w:r>
            <w:r>
              <w:rPr>
                <w:rFonts w:ascii="Times New Roman" w:cs="Times New Roman" w:eastAsia="Times New Roman" w:hAnsi="Times New Roman"/>
                <w:sz w:val="21"/>
                <w:szCs w:val="21"/>
                <w:b w:val="1"/>
                <w:bCs w:val="1"/>
                <w:color w:val="auto"/>
                <w:vertAlign w:val="superscript"/>
              </w:rPr>
              <w:t>(1)</w:t>
            </w:r>
          </w:p>
        </w:tc>
        <w:tc>
          <w:tcPr>
            <w:tcW w:w="1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Gordon</w:t>
            </w:r>
          </w:p>
        </w:tc>
        <w:tc>
          <w:tcPr>
            <w:tcW w:w="1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Stiepleman</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Independent Trustees</w:t>
            </w:r>
            <w:r>
              <w:rPr>
                <w:rFonts w:ascii="Times New Roman" w:cs="Times New Roman" w:eastAsia="Times New Roman" w:hAnsi="Times New Roman"/>
                <w:sz w:val="25"/>
                <w:szCs w:val="25"/>
                <w:b w:val="1"/>
                <w:bCs w:val="1"/>
                <w:color w:val="auto"/>
                <w:vertAlign w:val="superscript"/>
              </w:rPr>
              <w:t>(1)</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1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Judy Slotkin</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1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has been determined in accordance with Rule 16a-1(a)(2) of the Exchange Act.</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range of equity securities beneficially owned are: none, $1 – $10,000, $10,001 – $50,000, $50,001 – $100,000 or over $100,000.</w:t>
      </w:r>
    </w:p>
    <w:p>
      <w:pPr>
        <w:spacing w:after="0" w:line="1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600"/>
          </w:cols>
          <w:pgMar w:left="320" w:top="455" w:right="9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SHARES</w:t>
      </w:r>
    </w:p>
    <w:p>
      <w:pPr>
        <w:spacing w:after="0" w:line="227" w:lineRule="exact"/>
        <w:rPr>
          <w:sz w:val="20"/>
          <w:szCs w:val="20"/>
          <w:color w:val="auto"/>
        </w:rPr>
      </w:pPr>
    </w:p>
    <w:p>
      <w:pPr>
        <w:ind w:left="120" w:right="4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is based on relevant portions of Delaware law and on our Declaration of Trust and bylaws. This summary is not necessarily complete, and we refer you to Delaware law, our Declaration of Trust and our bylaws for a more detailed description of the provisions summarized below.</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terms of the Second Amended and Restated Declaration of Trust (the “Declaration of Trust”) authorize an unlimited number of common shares. There is currently no market for the common shares, and there can be no assurance that a market for the common shares will develop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Securities</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Held</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by Fund</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4760" w:type="dxa"/>
            <w:vAlign w:val="bottom"/>
            <w:vMerge w:val="restart"/>
          </w:tcPr>
          <w:p>
            <w:pPr>
              <w:spacing w:after="0"/>
              <w:rPr>
                <w:sz w:val="12"/>
                <w:szCs w:val="12"/>
                <w:color w:val="auto"/>
              </w:rPr>
            </w:pPr>
          </w:p>
        </w:tc>
        <w:tc>
          <w:tcPr>
            <w:tcW w:w="8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for its</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9,</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760" w:type="dxa"/>
            <w:vAlign w:val="bottom"/>
            <w:vMerge w:val="continue"/>
          </w:tcPr>
          <w:p>
            <w:pPr>
              <w:spacing w:after="0"/>
              <w:rPr>
                <w:sz w:val="15"/>
                <w:szCs w:val="15"/>
                <w:color w:val="auto"/>
              </w:rPr>
            </w:pPr>
          </w:p>
        </w:tc>
        <w:tc>
          <w:tcPr>
            <w:tcW w:w="800" w:type="dxa"/>
            <w:vAlign w:val="bottom"/>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520" w:type="dxa"/>
            <w:vAlign w:val="bottom"/>
          </w:tcPr>
          <w:p>
            <w:pPr>
              <w:spacing w:after="0"/>
              <w:rPr>
                <w:sz w:val="15"/>
                <w:szCs w:val="15"/>
                <w:color w:val="auto"/>
              </w:rPr>
            </w:pPr>
          </w:p>
        </w:tc>
        <w:tc>
          <w:tcPr>
            <w:tcW w:w="134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Account</w:t>
            </w: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shares of beneficial interest, par value $0.001</w:t>
            </w:r>
          </w:p>
        </w:tc>
        <w:tc>
          <w:tcPr>
            <w:tcW w:w="80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8"/>
              </w:rPr>
              <w:t>Unlimited</w:t>
            </w:r>
          </w:p>
        </w:tc>
        <w:tc>
          <w:tcPr>
            <w:tcW w:w="5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104,908,823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terms of the Company’s Declaration of Trust, all common shares, when they are issued in accordance with the terms of the Declaration of Trust, will be duly authorized, validly issued, fully paid and nonassessable. Dividends and distributions may be paid to shareholders if, as and when authorized by our Board of Trustees and declared by us out of funds legally available therefore. Except as may be provided by our Board of Trustees in setting the terms of classified or reclassified shares, our common shares will have no preemptive, exchange, conversion, appraisal or redemption rights. In the event of our liquidation, dissolution or winding up, each of our common shares would be entitled to share pro rata in all of our assets that are legally available for distribution after we pay all debts and other liabilities and subject to any preferential rights of holders of our preferred shares, if any preferred shares are outstanding at such time. Subject to the rights of holders of any other class or series of shares, each whole share of our common shares will be entitled to one vote (and each fractional share of the common shares will be entitled to a proportionate fractional vote) on all matters submitted to a vote of shareholders, including the election of trustees. Except as may be provided by the Board of Trustees in setting the terms of classified or reclassified shares, and subject to the express terms of any class or series of preferred shares, the shareholders have no power to vote on any matter except matters on which a vote of shareholders is required by the 1940 Act, the Declaration of Trust or resolution of the trustees or, after an exchange listing, by any applicable stock exchange. There will be no cumulative voting in the election or removal of trustees. Subject to the special rights of the holders of any class or series of preferred shares to elect trustees, each trustee will be elected by a plurality of the votes cast with respect to such trustee’s election. Pursuant to, and in accordance with, the Company’s Declaration of Trust, our Board of Trustees may amend the Declaration of Trust to alter the vote required to elect trustees.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Declaration of Trust, our Board of Trustees is authorized to issue preferred shares in one or more series without Shareholder approval. Prior to the issuance of shares of each series, our Board of Trustees is required by the Declaration of Trust to set the terms, preferences, conversion or other rights, voting powers, restrictions, limitations as to distributions, qualifications and terms or conditions of redemption for each series. The 1940 Act limits our flexibility as certain rights and preferences of the preferred shares require, among other things: (i) immediately after issuance and before any distribution is made with respect to shares, we must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meet an asset coverage ratio of total assets to total senior securities, which include all of our borrowings and preferred shares, of at least 150%; and</w:t>
      </w:r>
    </w:p>
    <w:p>
      <w:pPr>
        <w:spacing w:after="0" w:line="27" w:lineRule="exact"/>
        <w:rPr>
          <w:sz w:val="20"/>
          <w:szCs w:val="20"/>
          <w:color w:val="auto"/>
        </w:rPr>
      </w:pPr>
    </w:p>
    <w:p>
      <w:pPr>
        <w:ind w:left="120" w:right="40" w:hanging="4"/>
        <w:spacing w:after="0" w:line="260" w:lineRule="auto"/>
        <w:tabs>
          <w:tab w:leader="none" w:pos="3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preferred shares, if any are issued, must be entitled as a class to elect two Trustees at all times and to elect a majority of the Trustees if and for so long as dividends on the preferred shares are unpaid in an amount equal to two full years of dividends on the preferred shares.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Resale Restrictions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law, prior to an Exchange Listing (or such other time pursuant to any agreements between the Company and shareholders), shareholders may not sell, assign, transfer or otherwise dispose of (a “Transfer”) any common shares unless (i) the Adviser, in its sole discretion, gives its consent and, if required by our lending arrangements, our lenders give consent and (ii) the Transfer is made in accordance with applicable securities laws. No Transfer will be effectuated except by registration of the Transfer on our books. Each transferee must agree to be bound by these restrictions and all other obligations as a shareholder.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Redemptions by the Company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common share is subject to redemption (out of the assets of the Company) by the Company at the redemption price equal to the then current NAV per common share of the Company determined in accordance with the Declaration of Trust at any time if the trustees determine in their sole discretion that a shareholder has breached any of its representations or warranties contained in such shareholder’s subscription agreement with the Company, and upon such redemption the holders of the common shares so redeemed shall have no further right with respect thereto other than to receive payment of such redemption price.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Law and Certain Declaration of Trust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Organization and Duration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were formed as a Delaware statutory trust and will remain in existence until dissolved in accordance with our Declaration of Trust or pursuant to Delaware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Under the Declaration of Trust, the purpose of the Company is to conduct, operate and carry on the business of a business development company within the meaning of the 1940 Act. In furtherance of the foregoing, it shall be the purpose of the Company to do everything necessary, suitable, convenient or proper for the conduct, promotion and attainment of any businesses and purposes which at any time may be incidental or may appear conducive or expedient for the accomplishment of the business of a business development company regulated under the 1940 Act and which may be engaged in or carried on by a statutory trust organized under the Delaware Statutory Trust Statute, and in connection therewith the Company shall have the power and authority to engage in the foregoing and may exercise all of the powers conferred by the laws of the State of Delaware upon a Delaware statutory trust.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 to be Bound by the Declaration of Trust; Power of Attorney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By subscribing for the common shares, investors will be deemed to have agreed to be bound by the terms of the Declaration of Trust. Pursuant to the Declaration of Trust, each shareholder and each person who acquires common shares from a shareholder grants to the Trustees and the officers of the Company (and any substitute or successor Trustees or any substitute or successor officer of the Company) (and, if appointed, any liquidator of the Company) a power of attorney to, among other things, execute and file documents required for our qualification, continuance or dissolution. The power of attorney also grants our Board of Trustees the authority to make certain amendments to, and to make consents and waivers under and in accordance with, the Declaration of Trust.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Actions by Shareholders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shareholders will only have voting rights as required by the 1940 Act or as otherwise provided for in the Declaration of Trust. Under the Declaration of Trust, the Company is not required to hold annual meetings and does not intend to do so. Special meetings called by the trustees will be limited to the purposes for any such special meeting set forth in the notice thereof. Special meetings shall be called by any trustee for any proper purpose upon written request of shareholders of the Company holding in the aggregate not less than thirty-three and one-third percent (331/3%) of the outstanding common shares of the Company, such request specifying the purpose or purposes for which such meeting is to be called, provided that in the case of a meeting called by any trustee at the request of shareholders for the purpose of electing trustees or removing the Adviser, written request of shareholders of the Company holding in the aggregate not less than fifty-one percent (51%) of the outstanding common shares of the Company or class or series of common shares having voting rights on the matter shall be required. These provisions will have the effect of significantly reducing the ability of shareholders being able to have proposals considered at a meeting of shareholders.</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With respect to special meetings of shareholders, only the business specified in our notice of the meeting may be brought before the meeting. Nominations of persons for election to the Board of Trustees at a special meeting may be made only (1) pursuant to our notice of the meeting, (2) by the Board of Trustees or (3) provided that the Board of Trustees has determined that trustees will be elected at the meeting, by a shareholder who is entitled to vote at the meeting.</w:t>
      </w:r>
    </w:p>
    <w:p>
      <w:pPr>
        <w:spacing w:after="0" w:line="7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 trustee may be removed for cause only by action taken by a majority of the remaining trustees (or in the case of the removal of a trustee that is not an “interested person” as defined in the 1940 Act, a majority of the remaining trustees that are not “interested persons” as defined in the 1940 Act) and by the holders of at least a majority of the common shares then entitled to vote in an election of such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the Declaration of Trust; No Approval by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trustees may, without shareholder vote, amend or otherwise supplement the Declaration of Trust. Shareholders shall only have the right to</w:t>
      </w:r>
    </w:p>
    <w:p>
      <w:pPr>
        <w:spacing w:after="0" w:line="27"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vote: (i) on any amendment to the amendment provision of the Declaration of Trust, (ii) on any amendment that would adversely affect the powers, preferences or special rights of the common shares as determined by the trustees in good faith and (iii) on any amendment submitted to them by the trustees. In addition, notwithstanding anything to the contrary in the Declaration of Trust, in connection with an exchange listing, the trustees may, without the approval or vote of the shareholders, amend or supplement the Declaration of Trust in any manner, including, without limitation to classify the Board of Trustees, to permit annual meetings of shareholders, to impose advance notice provisions for the bringing of shareholder nominations or proposals, to impose super-majority approval for certain types of transactions, to impose “control share” type provisions and to otherwise add provisions that may be deemed adverse to shareholders. A proposed amendment to the Declaration of Trust requires the affirmative vote of a majority of the Board of Trustees present (a quorum being present) at a meeting for adoption or, without a meeting, written consent to the amendment by the number of trustees required for approval at a meeting of the trustees at which all of the trustees are present and voted.</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Conversion, Sale or Other Disposition of Assets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Board of Trustees may, without the approval of holders of our outstanding common shares, cause us to, among other things, sell, exchange or otherwise dispose of all or substantially all of our assets in a single transaction or a series of related transactions, or approve on our behalf the sale, exchange or other disposition of all or substantially all of our assets. The Board of Trustees also may, without the approval of holders of our outstanding common shares, cause and approve a merger, conversion or other reorganization of the Company. For example, upon consummation of an exchange listing, the Board of Trustees is able to cause the Company to reorganize as a Maryland Corporation. The Board of Trustees may also cause the sale of all or substantially all of our assets under a foreclosure or other realization without shareholder approval. Shareholders are not entitled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dissenters’ rights of appraisal under the Declaration of Trust or applicable Delaware law in the event of a merger, conversion or consolidation, a sale of all or substantially all of our assets or any other similar transaction or event. Notwithstanding the foregoing, shareholders will be given an opportunity to vote on such a transaction if required by the 1940 Act or if such a transaction is otherwise reasonably anticipated to result in a material dilution of the NAV per Share of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Derivative Actions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 person, other than a trustee, who is not a shareholder shall be entitled to bring any derivative action, suit or other proceeding on behalf of the Company. No shareholder may maintain a derivative action on behalf of the Company unless holders of a certain percentage of the outstanding common shares, as disclosed in our Declaration of Trust, join in the bringing of such action.</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requirements set forth in Section 3816 of the Delaware Statutory Trust Statute, a shareholder may bring a derivative action on behalf of the Company only if the following conditions are met: (i) the shareholder or shareholders must make a pre-suit demand upon the Board of Trustees to bring the subject action unless an effort to cause the Board of Trustees to bring such an action is not likely to succeed; and a demand on the Board of Trustees shall only be deemed not likely to succeed and therefore excused if a majority of the Board of Trustees, or a majority of any committee established to consider the merits of such action, is composed of trustees who are not “independent trustees” (as that term is defined in the Delaware Statutory Trust Statute); and (ii) unless a demand is not required under clause (i) above, the Board of Trustees must be afforded a reasonable amount of time to consider such shareholder request and to investigate the basis of such claim; and the Board of Trustees shall be entitled to retain counsel and other advisors in considering the merits of the request and may require an undertaking by the shareholders making such request to reimburse the Company for the expense of any such counsel and advisors in the event that the Board of Trustees determines not to bring such action. The conditions on a shareholder’s ability to bring a derivative action do not apply to claims arising under the federal securities laws. For purposes of this paragraph, the Board of Trustees may designate a committee of one or more trustees to consider a shareholder demand.</w:t>
      </w:r>
    </w:p>
    <w:p>
      <w:pPr>
        <w:spacing w:after="0" w:line="19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 addition to all suits, claims or other actions (collectively, “claims”) that under applicable law must be brought as derivative claims, each shareholder agrees that any claim that affects all shareholders of the Company or any series or class equally, that is, proportionately based on their number of common shares in the Company or in such series of class, must be brought as a derivative claim subject to the derivative actions section of the Declaration of Trust irrespective of whether such claim involves a violation of the shareholder’s rights under the Declaration of Trust or any other alleged violation of contractual or individual rights that might otherwise give rise to a direct claim.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Delaware Jurisdiction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trustee, each officer and, except as otherwise agreed in writing by the Company, the Adviser and/or affiliates of the Adviser, each person legally or beneficially owning a common share or an interest in a common share of the Company (whether through a broker, dealer, bank, trust company or clearing corporation or an agent of any of the foregoing or otherwise), to the fullest extent permitted by law, including Section 3804(e) of the Delaware Statutory Trust Statute, (i) irrevocably agrees that any claims, suits, actions or proceedings asserting a claim governed by the internal affairs (or similar) doctrine or arising out of or relating in any way to the Company, the Delaware Statutory Trust Statute, the Declaration of Trust or the bylaws of the Company (including, without limitation, any claims, suits, actions or proceedings to interpret, apply or enforce (A) the provisions of the Declaration of Trust or the bylaws of the Company, or (B) the duties (including fiduciary duties), obligations or liabilities of the Company to the shareholders or the Board of Trustees, or of officers or the Board of Trustees to the Company, to the shareholders or each other, or (C) the rights or powers of, or restrictions on, the Company, the officers, the Board of Trustees or the shareholders, or (D) any provision of the Delaware Statutory Trust Statute or other laws of the State of Delaware pertaining to trusts made applicable to</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the Company pursuant to Section 3809 of the Delaware Statutory Trust Statute, or (E) any other instrument, document, agreement or certificate contemplated by any provision of the Delaware Statutory Trust Statute, the Declaration of Trust or the bylaws of the Company relating in any way to the Company (regardless, in each case, of whether such claims, suits, actions or proceedings (x) sound in contract, tort, fraud or otherwise, (y) are based on common law, statutory, equitable, legal or other grounds, or (z) are derivative or direct claims)), shall be exclusively brought in the Court of Chancery of the State of Delaware or, if such court does not have subject matter jurisdiction thereof, any other court in the State of Delaware with subject matter jurisdiction, (ii) irrevocably submits to the exclusive jurisdiction of such courts in connection with any such claim, suit, action or proceeding,</w:t>
      </w:r>
    </w:p>
    <w:p>
      <w:pPr>
        <w:spacing w:after="0" w:line="5" w:lineRule="exact"/>
        <w:rPr>
          <w:sz w:val="20"/>
          <w:szCs w:val="20"/>
          <w:color w:val="auto"/>
        </w:rPr>
      </w:pPr>
    </w:p>
    <w:p>
      <w:pPr>
        <w:ind w:left="120" w:right="40" w:hanging="4"/>
        <w:spacing w:after="0" w:line="265" w:lineRule="auto"/>
        <w:tabs>
          <w:tab w:leader="none" w:pos="43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 (iv) consents to process being served in any such claim, suit, action or proceeding by mailing, certified mail, return receipt requested, a copy thereof to such party at the address in effect for notices under the Declaration of Trust, and agrees that such service shall constitute good and sufficient service of process and notice thereof; provided, nothing in clause</w:t>
      </w:r>
    </w:p>
    <w:p>
      <w:pPr>
        <w:ind w:left="120" w:right="120" w:hanging="4"/>
        <w:spacing w:after="0" w:line="255" w:lineRule="auto"/>
        <w:tabs>
          <w:tab w:leader="none" w:pos="42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shall affect or limit any right to serve process in any other manner permitted by law, and (v) irrevocably waives any and all right to trial by jury in any such claim, suit, action or proceeding. However, these exclusive forum provisions do not apply to claims arising under the federal securities laws.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 of the Company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Company has not consummated an exchange listing within the 10-year anniversary of the Effective Date, subject to up to two one-year extensions if requested by the Adviser and approved by a majority of our Board, including a majority of our Independent Trustees, then our Board (subject to any necessary shareholder approvals and applicable requirements of the 1940 Act) will, within a reasonable period of time, wind down and/or liquidate and dissolve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Books and Reports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keep appropriate books of our business at our principal offices. The books will be maintained for both tax and financial reporting purposes on an accrual basis in accordance with GAAP.</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7" w:lineRule="exact"/>
        <w:rPr>
          <w:sz w:val="20"/>
          <w:szCs w:val="20"/>
          <w:color w:val="auto"/>
        </w:rPr>
      </w:pPr>
    </w:p>
    <w:p>
      <w:pPr>
        <w:ind w:left="120" w:firstLine="440"/>
        <w:spacing w:after="0" w:line="284" w:lineRule="auto"/>
        <w:rPr>
          <w:rFonts w:ascii="Times New Roman" w:cs="Times New Roman" w:eastAsia="Times New Roman" w:hAnsi="Times New Roman"/>
          <w:sz w:val="18"/>
          <w:szCs w:val="18"/>
          <w:i w:val="1"/>
          <w:iCs w:val="1"/>
          <w:color w:val="0000EE"/>
        </w:rPr>
      </w:pPr>
      <w:hyperlink r:id="rId110">
        <w:r>
          <w:rPr>
            <w:rFonts w:ascii="Times New Roman" w:cs="Times New Roman" w:eastAsia="Times New Roman" w:hAnsi="Times New Roman"/>
            <w:sz w:val="18"/>
            <w:szCs w:val="18"/>
            <w:i w:val="1"/>
            <w:iCs w:val="1"/>
            <w:color w:val="auto"/>
          </w:rPr>
          <w:t xml:space="preserve">The information under the heading “Dividend Reinvestment Plan” in Part I, Item I of the Company’s </w:t>
        </w:r>
        <w:r>
          <w:rPr>
            <w:rFonts w:ascii="Times New Roman" w:cs="Times New Roman" w:eastAsia="Times New Roman" w:hAnsi="Times New Roman"/>
            <w:sz w:val="18"/>
            <w:szCs w:val="18"/>
            <w:i w:val="1"/>
            <w:iCs w:val="1"/>
            <w:u w:val="single" w:color="auto"/>
            <w:color w:val="0000EE"/>
          </w:rPr>
          <w:t>Annual Report on Form 10-K for the fiscal</w:t>
        </w:r>
      </w:hyperlink>
      <w:r>
        <w:rPr>
          <w:rFonts w:ascii="Times New Roman" w:cs="Times New Roman" w:eastAsia="Times New Roman" w:hAnsi="Times New Roman"/>
          <w:sz w:val="18"/>
          <w:szCs w:val="18"/>
          <w:i w:val="1"/>
          <w:iCs w:val="1"/>
          <w:color w:val="auto"/>
        </w:rPr>
        <w:t xml:space="preserve"> </w:t>
      </w:r>
      <w:hyperlink r:id="rId110">
        <w:r>
          <w:rPr>
            <w:rFonts w:ascii="Times New Roman" w:cs="Times New Roman" w:eastAsia="Times New Roman" w:hAnsi="Times New Roman"/>
            <w:sz w:val="18"/>
            <w:szCs w:val="18"/>
            <w:i w:val="1"/>
            <w:iCs w:val="1"/>
            <w:u w:val="single" w:color="auto"/>
            <w:color w:val="0000EE"/>
          </w:rPr>
          <w:t>year ended December 31, 2023</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EE"/>
          </w:rPr>
          <w:t xml:space="preserve"> </w:t>
        </w:r>
      </w:hyperlink>
      <w:hyperlink r:id="rId111">
        <w:r>
          <w:rPr>
            <w:rFonts w:ascii="Times New Roman" w:cs="Times New Roman" w:eastAsia="Times New Roman" w:hAnsi="Times New Roman"/>
            <w:sz w:val="18"/>
            <w:szCs w:val="18"/>
            <w:i w:val="1"/>
            <w:iCs w:val="1"/>
            <w:u w:val="single" w:color="auto"/>
            <w:color w:val="0000EE"/>
          </w:rPr>
          <w:t xml:space="preserve">and Exhibit 10.4 thereto entitled “Dividend Reinvestment Plan” </w:t>
        </w:r>
      </w:hyperlink>
      <w:hyperlink r:id="rId110">
        <w:r>
          <w:rPr>
            <w:rFonts w:ascii="Times New Roman" w:cs="Times New Roman" w:eastAsia="Times New Roman" w:hAnsi="Times New Roman"/>
            <w:sz w:val="18"/>
            <w:szCs w:val="18"/>
            <w:i w:val="1"/>
            <w:iCs w:val="1"/>
            <w:color w:val="000000"/>
          </w:rPr>
          <w:t>are incorporated herein by reference</w:t>
        </w:r>
        <w:r>
          <w:rPr>
            <w:rFonts w:ascii="Times New Roman" w:cs="Times New Roman" w:eastAsia="Times New Roman" w:hAnsi="Times New Roman"/>
            <w:sz w:val="18"/>
            <w:szCs w:val="18"/>
            <w:color w:val="000000"/>
          </w:rPr>
          <w:t>.</w:t>
        </w:r>
      </w:hyperlink>
    </w:p>
    <w:p>
      <w:pPr>
        <w:spacing w:after="0" w:line="93" w:lineRule="exact"/>
        <w:rPr>
          <w:rFonts w:ascii="Times New Roman" w:cs="Times New Roman" w:eastAsia="Times New Roman" w:hAnsi="Times New Roman"/>
          <w:sz w:val="18"/>
          <w:szCs w:val="18"/>
          <w:i w:val="1"/>
          <w:iCs w:val="1"/>
          <w:color w:val="0000EE"/>
        </w:rPr>
      </w:pPr>
    </w:p>
    <w:p>
      <w:pPr>
        <w:jc w:val="center"/>
        <w:ind w:right="-2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60"/>
          </w:cols>
          <w:pgMar w:left="320" w:top="455" w:right="6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CUSTODIAN, TRANSFER AND DISTRIBUTION PAYING AGENT AND REGISTRAR</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securities and loan documents are held by State Street Bank and Trust Company pursuant to a custodian agreement and State Street Bank and Trust Company serves as our transfer agent, distribution paying agent and registrar. The principal business address of State Street Bank and Trust Company is One Lincoln Street, Boston, Massachusetts 02111.</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60"/>
          </w:cols>
          <w:pgMar w:left="320" w:top="455" w:right="5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Since we will generally acquire and dispose of our investments in privately negotiated transactions, we will infrequently use brokers in the normal course of our business. Subject to policies established by the Board of Trustees, if any, the Adviser will be primarily responsible for the execution of any publicly-traded securities portfolio transactions and the allocation of brokerage commissions. The Adviser does not expect to execute transactions through any particular broker or dealer, but will seek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the Adviser generally will seek reasonably competitive trade execution costs, we will not necessarily pay the lowest spread or commission available. Subject to applicable legal requirements, the Adviser may select a broker based partly upon brokerage or research services provided to it and us and any other clients. In return for such services, we may pay a higher commission than other brokers would charge if the Adviser determines in good faith that such commission is reasonable in relation to the services provided.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Certain legal matters in connection with the common shares have been passed upon for the Company by Morris, Nichols, Arsht &amp; Tunnell LLP, Wilmington, Delaware, as special counsel to the Company. Simpson Thacher &amp; Bartlett LLP, Washington, DC, acts as counsel to the Company.</w:t>
      </w:r>
    </w:p>
    <w:p>
      <w:pPr>
        <w:spacing w:after="0" w:line="7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00"/>
          </w:cols>
          <w:pgMar w:left="320" w:top="455" w:right="6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Sixth Street Lending Partners as of December 31, 2023 and 2022, and for the year ended December 31, 2023, and for the period from April 5, 2022 (inception) to December 31, 2022, incorporated by reference in this registration statement, have been audited by KPMG LLP, an independent registered public accounting firm, located at 345 Park Avenue, New York, NY 10154. Such financial statements are incorporated by reference in reliance upon the report of such firm given their authority as experts in accounting and auditing.</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60"/>
          </w:cols>
          <w:pgMar w:left="320" w:top="455" w:right="5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and other information with the SEC. These filings are available to the public from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https://sixthstreetlendingpartners.com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our Annual Reports on Form 10-K; our Quarterly Reports on Form 10-Q; our Current Reports on Form 8-K; Forms 3, 4 and 5, our trustees and our executive officers; and amendments to those documents. Our website also contains additional information with respect to our industry and businesses. The information contained on, or that may be accessed through, our website is not part of, and is not incorporated into, this prospectus (except for SEC filings expressly incorporated herein).</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40"/>
          </w:cols>
          <w:pgMar w:left="320" w:top="455" w:right="5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incorporate by reference the documents listed below. The information that we incorporate by reference is considered to be part of this prospectus. Specifically, we incorporate by reference:</w:t>
      </w:r>
    </w:p>
    <w:p>
      <w:pPr>
        <w:spacing w:after="0" w:line="67"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w:t>
      </w:r>
      <w:hyperlink r:id="rId26">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February 16, 2024;</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w:t>
      </w:r>
      <w:hyperlink r:id="rId118">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EE"/>
          </w:rPr>
          <w:t>June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20">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auto"/>
        </w:rPr>
        <w:t>, filed with the SEC on May 3, 2024, August 2, 2024 and November 6, 2024, respectively;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41"/>
        </w:numPr>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15,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29,</w:t>
        </w:r>
      </w:hyperlink>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22">
        <w:r>
          <w:rPr>
            <w:rFonts w:ascii="Times New Roman" w:cs="Times New Roman" w:eastAsia="Times New Roman" w:hAnsi="Times New Roman"/>
            <w:sz w:val="18"/>
            <w:szCs w:val="18"/>
            <w:u w:val="single" w:color="auto"/>
            <w:color w:val="0000EE"/>
          </w:rPr>
          <w:t>June 14, 2024</w:t>
        </w:r>
      </w:hyperlink>
      <w:hyperlink r:id="rId12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23">
        <w:r>
          <w:rPr>
            <w:rFonts w:ascii="Times New Roman" w:cs="Times New Roman" w:eastAsia="Times New Roman" w:hAnsi="Times New Roman"/>
            <w:sz w:val="18"/>
            <w:szCs w:val="18"/>
            <w:u w:val="single" w:color="auto"/>
            <w:color w:val="0000EE"/>
          </w:rPr>
          <w:t>June 21, 2024</w:t>
        </w:r>
      </w:hyperlink>
      <w:hyperlink r:id="rId12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24">
        <w:r>
          <w:rPr>
            <w:rFonts w:ascii="Times New Roman" w:cs="Times New Roman" w:eastAsia="Times New Roman" w:hAnsi="Times New Roman"/>
            <w:sz w:val="18"/>
            <w:szCs w:val="18"/>
            <w:u w:val="single" w:color="auto"/>
            <w:color w:val="0000EE"/>
          </w:rPr>
          <w:t>June 27, 2024</w:t>
        </w:r>
      </w:hyperlink>
      <w:hyperlink r:id="rId12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25">
        <w:r>
          <w:rPr>
            <w:rFonts w:ascii="Times New Roman" w:cs="Times New Roman" w:eastAsia="Times New Roman" w:hAnsi="Times New Roman"/>
            <w:sz w:val="18"/>
            <w:szCs w:val="18"/>
            <w:u w:val="single" w:color="auto"/>
            <w:color w:val="0000EE"/>
          </w:rPr>
          <w:t>September 13, 2024</w:t>
        </w:r>
      </w:hyperlink>
      <w:hyperlink r:id="rId12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26">
        <w:r>
          <w:rPr>
            <w:rFonts w:ascii="Times New Roman" w:cs="Times New Roman" w:eastAsia="Times New Roman" w:hAnsi="Times New Roman"/>
            <w:sz w:val="18"/>
            <w:szCs w:val="18"/>
            <w:u w:val="single" w:color="auto"/>
            <w:color w:val="0000EE"/>
          </w:rPr>
          <w:t xml:space="preserve">September 20, 2024 </w:t>
        </w:r>
      </w:hyperlink>
      <w:hyperlink r:id="rId121">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27">
        <w:r>
          <w:rPr>
            <w:rFonts w:ascii="Times New Roman" w:cs="Times New Roman" w:eastAsia="Times New Roman" w:hAnsi="Times New Roman"/>
            <w:sz w:val="18"/>
            <w:szCs w:val="18"/>
            <w:u w:val="single" w:color="auto"/>
            <w:color w:val="0000EE"/>
          </w:rPr>
          <w:t xml:space="preserve">September 27, 2024 </w:t>
        </w:r>
      </w:hyperlink>
      <w:hyperlink r:id="rId121">
        <w:r>
          <w:rPr>
            <w:rFonts w:ascii="Times New Roman" w:cs="Times New Roman" w:eastAsia="Times New Roman" w:hAnsi="Times New Roman"/>
            <w:sz w:val="18"/>
            <w:szCs w:val="18"/>
            <w:color w:val="000000"/>
          </w:rPr>
          <w:t>(other than any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information furnished rather than filed).</w:t>
      </w:r>
    </w:p>
    <w:p>
      <w:pPr>
        <w:spacing w:after="0" w:line="176" w:lineRule="exact"/>
        <w:rPr>
          <w:rFonts w:ascii="Times New Roman" w:cs="Times New Roman" w:eastAsia="Times New Roman" w:hAnsi="Times New Roman"/>
          <w:sz w:val="18"/>
          <w:szCs w:val="18"/>
          <w:color w:val="0000EE"/>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by reference herein, will be deemed to be modified or superseded for purposes of this prospectus to the extent that a statement contained herein or in any subsequently filed document that also is incorporated by reference herein modifies or supersedes such statement. Any such statements so modified or superseded will not be deemed, except as so modified or superseded, to constitute a part of this prospectus.</w:t>
      </w:r>
    </w:p>
    <w:p>
      <w:pPr>
        <w:spacing w:after="0" w:line="178" w:lineRule="exact"/>
        <w:rPr>
          <w:rFonts w:ascii="Times New Roman" w:cs="Times New Roman" w:eastAsia="Times New Roman" w:hAnsi="Times New Roman"/>
          <w:sz w:val="18"/>
          <w:szCs w:val="18"/>
          <w:color w:val="0000EE"/>
        </w:rPr>
      </w:pPr>
    </w:p>
    <w:p>
      <w:pPr>
        <w:ind w:left="120" w:right="6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You may obtain copies of these documents, at no cost to you, from our website at </w:t>
      </w:r>
      <w:r>
        <w:rPr>
          <w:rFonts w:ascii="Times New Roman" w:cs="Times New Roman" w:eastAsia="Times New Roman" w:hAnsi="Times New Roman"/>
          <w:sz w:val="18"/>
          <w:szCs w:val="18"/>
          <w:i w:val="1"/>
          <w:iCs w:val="1"/>
          <w:color w:val="auto"/>
        </w:rPr>
        <w:t>https://sixthstreetlendingpartners. com</w:t>
      </w:r>
      <w:r>
        <w:rPr>
          <w:rFonts w:ascii="Times New Roman" w:cs="Times New Roman" w:eastAsia="Times New Roman" w:hAnsi="Times New Roman"/>
          <w:sz w:val="18"/>
          <w:szCs w:val="18"/>
          <w:color w:val="auto"/>
        </w:rPr>
        <w:t>, or by writing or telephoning us at the following address:</w:t>
      </w:r>
    </w:p>
    <w:p>
      <w:pPr>
        <w:spacing w:after="0" w:line="160"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rFonts w:ascii="Times New Roman" w:cs="Times New Roman" w:eastAsia="Times New Roman" w:hAnsi="Times New Roman"/>
          <w:sz w:val="18"/>
          <w:szCs w:val="18"/>
          <w:color w:val="0000EE"/>
        </w:rPr>
      </w:pPr>
    </w:p>
    <w:p>
      <w:pPr>
        <w:ind w:left="5500" w:hanging="438"/>
        <w:spacing w:after="0"/>
        <w:tabs>
          <w:tab w:leader="none" w:pos="5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621-3001</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w:t>
      </w:r>
    </w:p>
    <w:p>
      <w:pPr>
        <w:sectPr>
          <w:pgSz w:w="11900" w:h="16838" w:orient="portrait"/>
          <w:cols w:equalWidth="0" w:num="1">
            <w:col w:w="11080"/>
          </w:cols>
          <w:pgMar w:left="320" w:top="455"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those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declaration of trust.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liability arising under the Securities Act of 1933 (the “Securities Act”), as amended,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80"/>
          </w:cols>
          <w:pgMar w:left="320" w:top="455"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95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(1)(a)</w:t>
            </w:r>
          </w:p>
        </w:tc>
        <w:tc>
          <w:tcPr>
            <w:tcW w:w="240" w:type="dxa"/>
            <w:vAlign w:val="bottom"/>
          </w:tcPr>
          <w:p>
            <w:pPr>
              <w:spacing w:after="0"/>
              <w:rPr>
                <w:sz w:val="24"/>
                <w:szCs w:val="24"/>
                <w:color w:val="auto"/>
              </w:rPr>
            </w:pPr>
          </w:p>
        </w:tc>
        <w:tc>
          <w:tcPr>
            <w:tcW w:w="9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Second Amended and Restated Declaration of Trust of the Registrant (incorporated by reference to Exhibit 3.1 to the Registrant’s</w:t>
              </w:r>
            </w:hyperlink>
          </w:p>
        </w:tc>
      </w:tr>
      <w:tr>
        <w:trPr>
          <w:trHeight w:val="196"/>
        </w:trPr>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Registration Statement on Form 10, filed on August 22, 2022)</w:t>
              </w:r>
            </w:hyperlink>
          </w:p>
        </w:tc>
        <w:tc>
          <w:tcPr>
            <w:tcW w:w="4840" w:type="dxa"/>
            <w:vAlign w:val="bottom"/>
          </w:tcPr>
          <w:p>
            <w:pPr>
              <w:spacing w:after="0"/>
              <w:rPr>
                <w:sz w:val="17"/>
                <w:szCs w:val="17"/>
                <w:color w:val="auto"/>
              </w:rPr>
            </w:pPr>
          </w:p>
        </w:tc>
      </w:tr>
    </w:tbl>
    <w:p>
      <w:pPr>
        <w:spacing w:after="0" w:line="117" w:lineRule="exact"/>
        <w:rPr>
          <w:sz w:val="20"/>
          <w:szCs w:val="20"/>
          <w:color w:val="auto"/>
        </w:rPr>
      </w:pPr>
    </w:p>
    <w:p>
      <w:pPr>
        <w:ind w:left="1220" w:hanging="1104"/>
        <w:spacing w:after="0"/>
        <w:tabs>
          <w:tab w:leader="none" w:pos="1220" w:val="left"/>
        </w:tabs>
        <w:numPr>
          <w:ilvl w:val="0"/>
          <w:numId w:val="43"/>
        </w:numPr>
        <w:rPr>
          <w:rFonts w:ascii="Times New Roman" w:cs="Times New Roman" w:eastAsia="Times New Roman" w:hAnsi="Times New Roman"/>
          <w:sz w:val="17"/>
          <w:szCs w:val="17"/>
          <w:u w:val="single" w:color="auto"/>
          <w:color w:val="0000EE"/>
        </w:rPr>
      </w:pPr>
      <w:hyperlink r:id="rId131">
        <w:r>
          <w:rPr>
            <w:rFonts w:ascii="Times New Roman" w:cs="Times New Roman" w:eastAsia="Times New Roman" w:hAnsi="Times New Roman"/>
            <w:sz w:val="17"/>
            <w:szCs w:val="17"/>
            <w:u w:val="single" w:color="auto"/>
            <w:color w:val="0000EE"/>
          </w:rPr>
          <w:t>Bylaws of the Registrant (incorporated by reference to Exhibit 3.2 to the Registrant’s Current Report on Form 10, filed on June 28, 2022)</w:t>
        </w:r>
      </w:hyperlink>
    </w:p>
    <w:p>
      <w:pPr>
        <w:spacing w:after="0" w:line="129" w:lineRule="exact"/>
        <w:rPr>
          <w:sz w:val="20"/>
          <w:szCs w:val="20"/>
          <w:color w:val="auto"/>
        </w:rPr>
      </w:pPr>
    </w:p>
    <w:p>
      <w:pPr>
        <w:ind w:left="1220" w:right="860" w:hanging="1104"/>
        <w:spacing w:after="0" w:line="282" w:lineRule="auto"/>
        <w:tabs>
          <w:tab w:leader="none" w:pos="1220" w:val="left"/>
        </w:tabs>
        <w:numPr>
          <w:ilvl w:val="0"/>
          <w:numId w:val="44"/>
        </w:numPr>
        <w:rPr>
          <w:rFonts w:ascii="Times New Roman" w:cs="Times New Roman" w:eastAsia="Times New Roman" w:hAnsi="Times New Roman"/>
          <w:sz w:val="18"/>
          <w:szCs w:val="18"/>
          <w:u w:val="single" w:color="auto"/>
          <w:color w:val="0000EE"/>
        </w:rPr>
      </w:pPr>
      <w:hyperlink r:id="rId132">
        <w:r>
          <w:rPr>
            <w:rFonts w:ascii="Times New Roman" w:cs="Times New Roman" w:eastAsia="Times New Roman" w:hAnsi="Times New Roman"/>
            <w:sz w:val="18"/>
            <w:szCs w:val="18"/>
            <w:u w:val="single" w:color="auto"/>
            <w:color w:val="0000EE"/>
          </w:rPr>
          <w:t>Form of Subscription Agreement (included in the Prospectus as Appendix A) (incorporated by reference to Exhibit 4.1 to the</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Registrant’s Registration Statement on Form 10, filed on June 28, 2022)</w:t>
        </w:r>
      </w:hyperlink>
    </w:p>
    <w:p>
      <w:pPr>
        <w:spacing w:after="0" w:line="40"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(5)(a)</w:t>
            </w:r>
          </w:p>
        </w:tc>
        <w:tc>
          <w:tcPr>
            <w:tcW w:w="97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Indenture, dated as of March 11, 2024, between Sixth Street Lending Partners and U.S. Bank Trust Company, National Association, as</w:t>
              </w:r>
            </w:hyperlink>
          </w:p>
        </w:tc>
        <w:tc>
          <w:tcPr>
            <w:tcW w:w="16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trustee (incorporated by reference to Exhibit 4.1 to the Registrant’s Current Report on Form 8-K, filed on March 15, 2024)</w:t>
              </w:r>
            </w:hyperlink>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(5)(b)</w:t>
            </w:r>
          </w:p>
        </w:tc>
        <w:tc>
          <w:tcPr>
            <w:tcW w:w="9900" w:type="dxa"/>
            <w:vAlign w:val="bottom"/>
            <w:gridSpan w:val="22"/>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First Supplemental Indenture, dated as of March 11, 2024, relating to the 6.500% Notes due 2029, between Sixth Street Lending</w:t>
              </w:r>
            </w:hyperlink>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Partners and U.S. Bank Trust Company, National Association, as trustee (incorporated by reference to Exhibit 4.2 to the Registrant’s</w:t>
              </w:r>
            </w:hyperlink>
          </w:p>
        </w:tc>
      </w:tr>
      <w:tr>
        <w:trPr>
          <w:trHeight w:val="196"/>
        </w:trPr>
        <w:tc>
          <w:tcPr>
            <w:tcW w:w="1100" w:type="dxa"/>
            <w:vAlign w:val="bottom"/>
          </w:tcPr>
          <w:p>
            <w:pPr>
              <w:spacing w:after="0"/>
              <w:rPr>
                <w:sz w:val="17"/>
                <w:szCs w:val="17"/>
                <w:color w:val="auto"/>
              </w:rPr>
            </w:pPr>
          </w:p>
        </w:tc>
        <w:tc>
          <w:tcPr>
            <w:tcW w:w="95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Current Report on Form 8-K, filed on March 15, 2024)</w:t>
              </w:r>
            </w:hyperlink>
          </w:p>
        </w:tc>
        <w:tc>
          <w:tcPr>
            <w:tcW w:w="360" w:type="dxa"/>
            <w:vAlign w:val="bottom"/>
            <w:gridSpan w:val="7"/>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(5)(c)</w:t>
            </w:r>
          </w:p>
        </w:tc>
        <w:tc>
          <w:tcPr>
            <w:tcW w:w="93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Second Supplemental Indenture, dated as of June 17, 2024, relating to the 6.500% Notes due 2029, between Sixth Street Lending</w:t>
              </w:r>
            </w:hyperlink>
          </w:p>
        </w:tc>
        <w:tc>
          <w:tcPr>
            <w:tcW w:w="540" w:type="dxa"/>
            <w:vAlign w:val="bottom"/>
            <w:gridSpan w:val="10"/>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Partners and U.S. Bank Trust Company, National Association, as trustee (incorporated by reference to Exhibit 4.3 to the Registrant’s</w:t>
              </w:r>
            </w:hyperlink>
          </w:p>
        </w:tc>
      </w:tr>
      <w:tr>
        <w:trPr>
          <w:trHeight w:val="196"/>
        </w:trPr>
        <w:tc>
          <w:tcPr>
            <w:tcW w:w="1100" w:type="dxa"/>
            <w:vAlign w:val="bottom"/>
          </w:tcPr>
          <w:p>
            <w:pPr>
              <w:spacing w:after="0"/>
              <w:rPr>
                <w:sz w:val="17"/>
                <w:szCs w:val="17"/>
                <w:color w:val="auto"/>
              </w:rPr>
            </w:pPr>
          </w:p>
        </w:tc>
        <w:tc>
          <w:tcPr>
            <w:tcW w:w="95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Current Report on Form 8-K, filed on June 21, 2024)</w:t>
              </w:r>
            </w:hyperlink>
          </w:p>
        </w:tc>
        <w:tc>
          <w:tcPr>
            <w:tcW w:w="360" w:type="dxa"/>
            <w:vAlign w:val="bottom"/>
            <w:gridSpan w:val="7"/>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(5)(d)</w:t>
            </w:r>
          </w:p>
        </w:tc>
        <w:tc>
          <w:tcPr>
            <w:tcW w:w="9900" w:type="dxa"/>
            <w:vAlign w:val="bottom"/>
            <w:gridSpan w:val="22"/>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Third Supplemental Indenture, dated as of September 16, 2024, relating to the 5.750% Notes due 2030, between Sixth Street Lending</w:t>
              </w:r>
            </w:hyperlink>
          </w:p>
        </w:tc>
      </w:tr>
      <w:tr>
        <w:trPr>
          <w:trHeight w:val="196"/>
        </w:trPr>
        <w:tc>
          <w:tcPr>
            <w:tcW w:w="1100" w:type="dxa"/>
            <w:vAlign w:val="bottom"/>
          </w:tcPr>
          <w:p>
            <w:pPr>
              <w:spacing w:after="0"/>
              <w:rPr>
                <w:sz w:val="17"/>
                <w:szCs w:val="17"/>
                <w:color w:val="auto"/>
              </w:rPr>
            </w:pPr>
          </w:p>
        </w:tc>
        <w:tc>
          <w:tcPr>
            <w:tcW w:w="96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Partners and U.S. Bank Trust Company, National Association, as trustee (incorporated by reference to Exhibit 4.2 to the Registrant’s</w:t>
              </w:r>
            </w:hyperlink>
          </w:p>
        </w:tc>
        <w:tc>
          <w:tcPr>
            <w:tcW w:w="240" w:type="dxa"/>
            <w:vAlign w:val="bottom"/>
            <w:gridSpan w:val="5"/>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5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Current Report on Form 8-K, filed on June 21, 2024)</w:t>
              </w:r>
            </w:hyperlink>
          </w:p>
        </w:tc>
        <w:tc>
          <w:tcPr>
            <w:tcW w:w="360" w:type="dxa"/>
            <w:vAlign w:val="bottom"/>
            <w:gridSpan w:val="7"/>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(5)(e)</w:t>
            </w:r>
          </w:p>
        </w:tc>
        <w:tc>
          <w:tcPr>
            <w:tcW w:w="94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Form of 6.500% Notes due 2029 (incorporated by reference to Exhibit 4.3 to the Registrant’s Current Report on Form 8-K, filed on</w:t>
              </w:r>
            </w:hyperlink>
          </w:p>
        </w:tc>
        <w:tc>
          <w:tcPr>
            <w:tcW w:w="440" w:type="dxa"/>
            <w:vAlign w:val="bottom"/>
            <w:gridSpan w:val="9"/>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March 15, 2024)</w:t>
              </w:r>
            </w:hyperlink>
          </w:p>
        </w:tc>
      </w:tr>
      <w:tr>
        <w:trPr>
          <w:trHeight w:val="20"/>
        </w:trPr>
        <w:tc>
          <w:tcPr>
            <w:tcW w:w="11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(5)(f)</w:t>
            </w:r>
          </w:p>
        </w:tc>
        <w:tc>
          <w:tcPr>
            <w:tcW w:w="94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Form of 5.750% Notes due 2030 (incorporated by reference to Exhibit 4.3 to the Registrant’s Current Report on Form 8-K, filed on</w:t>
              </w:r>
            </w:hyperlink>
          </w:p>
        </w:tc>
        <w:tc>
          <w:tcPr>
            <w:tcW w:w="440" w:type="dxa"/>
            <w:vAlign w:val="bottom"/>
            <w:gridSpan w:val="9"/>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September 20, 2024)</w:t>
              </w:r>
            </w:hyperlink>
          </w:p>
        </w:tc>
      </w:tr>
      <w:tr>
        <w:trPr>
          <w:trHeight w:val="20"/>
        </w:trPr>
        <w:tc>
          <w:tcPr>
            <w:tcW w:w="110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(5)(g)</w:t>
            </w:r>
          </w:p>
        </w:tc>
        <w:tc>
          <w:tcPr>
            <w:tcW w:w="94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Registration Rights Agreement, dated as of March 11, 2024, relating to the Notes, by and among Sixth Street Lending Partners and</w:t>
              </w:r>
            </w:hyperlink>
          </w:p>
        </w:tc>
        <w:tc>
          <w:tcPr>
            <w:tcW w:w="420" w:type="dxa"/>
            <w:vAlign w:val="bottom"/>
            <w:gridSpan w:val="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BofA Securities, Inc., as the representative of the initial purchasers (incorporated by reference to Exhibit 4.4 the Registrant’s Current</w:t>
              </w:r>
            </w:hyperlink>
          </w:p>
        </w:tc>
      </w:tr>
      <w:tr>
        <w:trPr>
          <w:trHeight w:val="196"/>
        </w:trPr>
        <w:tc>
          <w:tcPr>
            <w:tcW w:w="110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Report on Form 8-K, filed on March 15, 2024)</w:t>
              </w:r>
            </w:hyperlink>
          </w:p>
        </w:tc>
        <w:tc>
          <w:tcPr>
            <w:tcW w:w="6180" w:type="dxa"/>
            <w:vAlign w:val="bottom"/>
            <w:tcBorders>
              <w:top w:val="single" w:sz="8" w:color="0000EE"/>
            </w:tcBorders>
            <w:gridSpan w:val="12"/>
          </w:tcPr>
          <w:p>
            <w:pPr>
              <w:spacing w:after="0"/>
              <w:rPr>
                <w:sz w:val="17"/>
                <w:szCs w:val="17"/>
                <w:color w:val="auto"/>
              </w:rPr>
            </w:pPr>
          </w:p>
        </w:tc>
        <w:tc>
          <w:tcPr>
            <w:tcW w:w="340" w:type="dxa"/>
            <w:vAlign w:val="bottom"/>
            <w:gridSpan w:val="6"/>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(5)(h)</w:t>
            </w:r>
          </w:p>
        </w:tc>
        <w:tc>
          <w:tcPr>
            <w:tcW w:w="98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Registration Rights Agreement, dated as of June 17, 2024, relating to the Notes, by and among Sixth Street Lending Partners and BofA</w:t>
              </w:r>
            </w:hyperlink>
          </w:p>
        </w:tc>
        <w:tc>
          <w:tcPr>
            <w:tcW w:w="100" w:type="dxa"/>
            <w:vAlign w:val="bottom"/>
            <w:gridSpan w:val="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Securities, Inc., as the representative of the initial purchasers (incorporated by reference to Exhibit 4.5 the Registrant’s Current Report on</w:t>
              </w:r>
            </w:hyperlink>
          </w:p>
        </w:tc>
      </w:tr>
      <w:tr>
        <w:trPr>
          <w:trHeight w:val="196"/>
        </w:trPr>
        <w:tc>
          <w:tcPr>
            <w:tcW w:w="110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Form 8-K, filed on June 21, 2024)</w:t>
              </w:r>
            </w:hyperlink>
          </w:p>
        </w:tc>
        <w:tc>
          <w:tcPr>
            <w:tcW w:w="7400" w:type="dxa"/>
            <w:vAlign w:val="bottom"/>
            <w:tcBorders>
              <w:top w:val="single" w:sz="8" w:color="0000EE"/>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(5)(i)</w:t>
            </w:r>
          </w:p>
        </w:tc>
        <w:tc>
          <w:tcPr>
            <w:tcW w:w="9900" w:type="dxa"/>
            <w:vAlign w:val="bottom"/>
            <w:gridSpan w:val="22"/>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Registration Rights Agreement, dated as of September 16, 2024, relating to the Notes, by and among Sixth Street Lending Partners and</w:t>
              </w:r>
            </w:hyperlink>
          </w:p>
        </w:tc>
      </w:tr>
      <w:tr>
        <w:trPr>
          <w:trHeight w:val="196"/>
        </w:trPr>
        <w:tc>
          <w:tcPr>
            <w:tcW w:w="1100" w:type="dxa"/>
            <w:vAlign w:val="bottom"/>
          </w:tcPr>
          <w:p>
            <w:pPr>
              <w:spacing w:after="0"/>
              <w:rPr>
                <w:sz w:val="17"/>
                <w:szCs w:val="17"/>
                <w:color w:val="auto"/>
              </w:rPr>
            </w:pPr>
          </w:p>
        </w:tc>
        <w:tc>
          <w:tcPr>
            <w:tcW w:w="97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BofA Securities, Inc., as the representative of the initial purchasers (incorporated by reference to Exhibit 4.4 the Registrant’s Current</w:t>
              </w:r>
            </w:hyperlink>
          </w:p>
        </w:tc>
        <w:tc>
          <w:tcPr>
            <w:tcW w:w="12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Report on Form 8-K, filed on September 20, 2024)</w:t>
              </w:r>
            </w:hyperlink>
          </w:p>
        </w:tc>
        <w:tc>
          <w:tcPr>
            <w:tcW w:w="5880" w:type="dxa"/>
            <w:vAlign w:val="bottom"/>
            <w:tcBorders>
              <w:top w:val="single" w:sz="8" w:color="0000EE"/>
            </w:tcBorders>
            <w:gridSpan w:val="11"/>
          </w:tcPr>
          <w:p>
            <w:pPr>
              <w:spacing w:after="0"/>
              <w:rPr>
                <w:sz w:val="17"/>
                <w:szCs w:val="17"/>
                <w:color w:val="auto"/>
              </w:rPr>
            </w:pPr>
          </w:p>
        </w:tc>
        <w:tc>
          <w:tcPr>
            <w:tcW w:w="340" w:type="dxa"/>
            <w:vAlign w:val="bottom"/>
            <w:gridSpan w:val="6"/>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(6)(a)</w:t>
            </w:r>
          </w:p>
        </w:tc>
        <w:tc>
          <w:tcPr>
            <w:tcW w:w="9900" w:type="dxa"/>
            <w:vAlign w:val="bottom"/>
            <w:gridSpan w:val="22"/>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Investment Advisory and Management Agreement between the Registrant and Adviser, dated June 28, 2022 (incorporated by reference</w:t>
              </w:r>
            </w:hyperlink>
          </w:p>
        </w:tc>
      </w:tr>
      <w:tr>
        <w:trPr>
          <w:trHeight w:val="196"/>
        </w:trPr>
        <w:tc>
          <w:tcPr>
            <w:tcW w:w="1100" w:type="dxa"/>
            <w:vAlign w:val="bottom"/>
          </w:tcPr>
          <w:p>
            <w:pPr>
              <w:spacing w:after="0"/>
              <w:rPr>
                <w:sz w:val="17"/>
                <w:szCs w:val="17"/>
                <w:color w:val="auto"/>
              </w:rPr>
            </w:pPr>
          </w:p>
        </w:tc>
        <w:tc>
          <w:tcPr>
            <w:tcW w:w="67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to Exhibit 10.1 to the Registrant’s Registration Statement on Form 10, filed on June 28, 2022)</w:t>
              </w:r>
            </w:hyperlink>
          </w:p>
        </w:tc>
        <w:tc>
          <w:tcPr>
            <w:tcW w:w="3020" w:type="dxa"/>
            <w:vAlign w:val="bottom"/>
            <w:tcBorders>
              <w:top w:val="single" w:sz="8" w:color="0000EE"/>
            </w:tcBorders>
            <w:gridSpan w:val="10"/>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(6)(b)</w:t>
            </w:r>
          </w:p>
        </w:tc>
        <w:tc>
          <w:tcPr>
            <w:tcW w:w="99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Administration Agreement between the Registrant and the Administrator, dated June 28, 2022 (incorporated by reference to Exhibit 10.2</w:t>
              </w:r>
            </w:hyperlink>
          </w:p>
        </w:tc>
      </w:tr>
      <w:tr>
        <w:trPr>
          <w:trHeight w:val="196"/>
        </w:trPr>
        <w:tc>
          <w:tcPr>
            <w:tcW w:w="1100" w:type="dxa"/>
            <w:vAlign w:val="bottom"/>
          </w:tcPr>
          <w:p>
            <w:pPr>
              <w:spacing w:after="0"/>
              <w:rPr>
                <w:sz w:val="17"/>
                <w:szCs w:val="17"/>
                <w:color w:val="auto"/>
              </w:rPr>
            </w:pPr>
          </w:p>
        </w:tc>
        <w:tc>
          <w:tcPr>
            <w:tcW w:w="9900" w:type="dxa"/>
            <w:vAlign w:val="bottom"/>
            <w:gridSpan w:val="22"/>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to the Registrant’s Registration Statement on Form 10 filed, on June 28, 2022)</w:t>
              </w:r>
            </w:hyperlink>
          </w:p>
        </w:tc>
      </w:tr>
      <w:tr>
        <w:trPr>
          <w:trHeight w:val="385"/>
        </w:trPr>
        <w:tc>
          <w:tcPr>
            <w:tcW w:w="1100" w:type="dxa"/>
            <w:vAlign w:val="bottom"/>
          </w:tcPr>
          <w:p>
            <w:pPr>
              <w:spacing w:after="0"/>
              <w:rPr>
                <w:sz w:val="24"/>
                <w:szCs w:val="24"/>
                <w:color w:val="auto"/>
              </w:rPr>
            </w:pPr>
          </w:p>
        </w:tc>
        <w:tc>
          <w:tcPr>
            <w:tcW w:w="5640" w:type="dxa"/>
            <w:vAlign w:val="bottom"/>
            <w:tcBorders>
              <w:top w:val="single" w:sz="8" w:color="0000EE"/>
            </w:tcBorders>
            <w:gridSpan w:val="8"/>
          </w:tcPr>
          <w:p>
            <w:pPr>
              <w:ind w:left="4320"/>
              <w:spacing w:after="0"/>
              <w:rPr>
                <w:sz w:val="20"/>
                <w:szCs w:val="20"/>
                <w:color w:val="auto"/>
              </w:rPr>
            </w:pPr>
            <w:r>
              <w:rPr>
                <w:rFonts w:ascii="Times New Roman" w:cs="Times New Roman" w:eastAsia="Times New Roman" w:hAnsi="Times New Roman"/>
                <w:sz w:val="18"/>
                <w:szCs w:val="18"/>
                <w:color w:val="auto"/>
              </w:rPr>
              <w:t>78</w:t>
            </w:r>
          </w:p>
        </w:tc>
        <w:tc>
          <w:tcPr>
            <w:tcW w:w="1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(11)(a)</w:t>
            </w:r>
          </w:p>
        </w:tc>
        <w:tc>
          <w:tcPr>
            <w:tcW w:w="37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Opinion of Morris, Nichols, Arsht &amp; Tunnell LLP*</w:t>
            </w: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(11)(b)</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Opinion of Simpson Thacher &amp; Bartlett LLP*</w:t>
            </w:r>
          </w:p>
        </w:tc>
      </w:tr>
      <w:tr>
        <w:trPr>
          <w:trHeight w:val="20"/>
        </w:trPr>
        <w:tc>
          <w:tcPr>
            <w:tcW w:w="1100" w:type="dxa"/>
            <w:vAlign w:val="bottom"/>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20" w:right="440" w:hanging="1104"/>
        <w:spacing w:after="0" w:line="282" w:lineRule="auto"/>
        <w:tabs>
          <w:tab w:leader="none" w:pos="12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Opinion and Consent of Simpson Thacher &amp; Bartlett LLP supporting tax matters and consequences to Noteholders discussed in the prospectus*</w:t>
      </w:r>
    </w:p>
    <w:p>
      <w:pPr>
        <w:spacing w:after="0" w:line="4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(13)(b)</w:t>
            </w:r>
          </w:p>
        </w:tc>
        <w:tc>
          <w:tcPr>
            <w:tcW w:w="90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Expense Support and Conditional Reimbursement Agreement by and among the Registrant and Adviser, dated June 28, 2022</w:t>
              </w:r>
            </w:hyperlink>
          </w:p>
        </w:tc>
        <w:tc>
          <w:tcPr>
            <w:tcW w:w="840" w:type="dxa"/>
            <w:vAlign w:val="bottom"/>
            <w:gridSpan w:val="6"/>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(incorporated by reference to Exhibit 10.5 to the Registrant’s Registration Statement on Form 10, filed on June 28, 2022)</w:t>
              </w:r>
            </w:hyperlink>
          </w:p>
        </w:tc>
        <w:tc>
          <w:tcPr>
            <w:tcW w:w="1180" w:type="dxa"/>
            <w:vAlign w:val="bottom"/>
            <w:gridSpan w:val="8"/>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(13)(d)</w:t>
            </w:r>
          </w:p>
        </w:tc>
        <w:tc>
          <w:tcPr>
            <w:tcW w:w="9900" w:type="dxa"/>
            <w:vAlign w:val="bottom"/>
            <w:gridSpan w:val="16"/>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Dividend Reinvestment Plan, dated June 28, 2022 (incorporated by reference to Exhibit 10.4 to the Registrant’s Registration Statement</w:t>
              </w:r>
            </w:hyperlink>
          </w:p>
        </w:tc>
      </w:tr>
      <w:tr>
        <w:trPr>
          <w:trHeight w:val="196"/>
        </w:trPr>
        <w:tc>
          <w:tcPr>
            <w:tcW w:w="110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on Form 10 filed on June 28, 2022)</w:t>
              </w:r>
            </w:hyperlink>
          </w:p>
        </w:tc>
        <w:tc>
          <w:tcPr>
            <w:tcW w:w="7200" w:type="dxa"/>
            <w:vAlign w:val="bottom"/>
            <w:tcBorders>
              <w:top w:val="single" w:sz="8" w:color="0000EE"/>
            </w:tcBorders>
            <w:gridSpan w:val="12"/>
          </w:tcPr>
          <w:p>
            <w:pPr>
              <w:spacing w:after="0"/>
              <w:rPr>
                <w:sz w:val="17"/>
                <w:szCs w:val="17"/>
                <w:color w:val="auto"/>
              </w:rPr>
            </w:pPr>
          </w:p>
        </w:tc>
        <w:tc>
          <w:tcPr>
            <w:tcW w:w="14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(13)(e)</w:t>
            </w:r>
          </w:p>
        </w:tc>
        <w:tc>
          <w:tcPr>
            <w:tcW w:w="92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Fund of Funds Agreement between Sixth Street Lending Partners and Cliffwater Corporate Lending Fund, dated June 30, 2022</w:t>
              </w:r>
            </w:hyperlink>
          </w:p>
        </w:tc>
        <w:tc>
          <w:tcPr>
            <w:tcW w:w="700" w:type="dxa"/>
            <w:vAlign w:val="bottom"/>
            <w:gridSpan w:val="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16"/>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(incorporated by reference to Exhibit 10.6 to the Registrant’s Registration Statement on Form 10, filed on August 22, 2022)</w:t>
              </w:r>
            </w:hyperlink>
          </w:p>
        </w:tc>
      </w:tr>
      <w:tr>
        <w:trPr>
          <w:trHeight w:val="20"/>
        </w:trPr>
        <w:tc>
          <w:tcPr>
            <w:tcW w:w="110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(13)(f)</w:t>
            </w:r>
          </w:p>
        </w:tc>
        <w:tc>
          <w:tcPr>
            <w:tcW w:w="9900" w:type="dxa"/>
            <w:vAlign w:val="bottom"/>
            <w:gridSpan w:val="16"/>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Revolving Credit Agreement, dated as of September 1, 2022, by and among Sixth Street Lending Partners and Wells Fargo Bank, N.A.</w:t>
              </w:r>
            </w:hyperlink>
          </w:p>
        </w:tc>
      </w:tr>
      <w:tr>
        <w:trPr>
          <w:trHeight w:val="196"/>
        </w:trPr>
        <w:tc>
          <w:tcPr>
            <w:tcW w:w="1100" w:type="dxa"/>
            <w:vAlign w:val="bottom"/>
          </w:tcPr>
          <w:p>
            <w:pPr>
              <w:spacing w:after="0"/>
              <w:rPr>
                <w:sz w:val="17"/>
                <w:szCs w:val="17"/>
                <w:color w:val="auto"/>
              </w:rPr>
            </w:pPr>
          </w:p>
        </w:tc>
        <w:tc>
          <w:tcPr>
            <w:tcW w:w="97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(incorporated by reference to Exhibit 10.1 to the Registrant’s Current Report on Form 8-K, filed on December 22, 2022)</w:t>
              </w:r>
            </w:hyperlink>
          </w:p>
        </w:tc>
        <w:tc>
          <w:tcPr>
            <w:tcW w:w="1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(13)(g)</w:t>
            </w:r>
          </w:p>
        </w:tc>
        <w:tc>
          <w:tcPr>
            <w:tcW w:w="94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Lender Joinder and First Amendment to Revolving Credit Agreement, dated as of December 21, 2022, by and among Sixth Street</w:t>
              </w:r>
            </w:hyperlink>
          </w:p>
        </w:tc>
        <w:tc>
          <w:tcPr>
            <w:tcW w:w="500" w:type="dxa"/>
            <w:vAlign w:val="bottom"/>
            <w:gridSpan w:val="4"/>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Lending Partners and Wells Fargo Bank, N.A. (incorporated by reference to Exhibit 10.1 to the Registrant’s Current Report on Form 8-K,</w:t>
              </w:r>
            </w:hyperlink>
          </w:p>
        </w:tc>
      </w:tr>
      <w:tr>
        <w:trPr>
          <w:trHeight w:val="196"/>
        </w:trPr>
        <w:tc>
          <w:tcPr>
            <w:tcW w:w="1100" w:type="dxa"/>
            <w:vAlign w:val="bottom"/>
          </w:tcPr>
          <w:p>
            <w:pPr>
              <w:spacing w:after="0"/>
              <w:rPr>
                <w:sz w:val="17"/>
                <w:szCs w:val="17"/>
                <w:color w:val="auto"/>
              </w:rPr>
            </w:pPr>
          </w:p>
        </w:tc>
        <w:tc>
          <w:tcPr>
            <w:tcW w:w="20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filed on December 22, 2022)</w:t>
              </w:r>
            </w:hyperlink>
          </w:p>
        </w:tc>
        <w:tc>
          <w:tcPr>
            <w:tcW w:w="7820" w:type="dxa"/>
            <w:vAlign w:val="bottom"/>
            <w:gridSpan w:val="14"/>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(13)(h)</w:t>
            </w:r>
          </w:p>
        </w:tc>
        <w:tc>
          <w:tcPr>
            <w:tcW w:w="95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Senior Secured Revolving Credit Agreement, dated January 19, 2023, by and among Sixth Street Lending Partners, the Lenders and</w:t>
              </w:r>
            </w:hyperlink>
          </w:p>
        </w:tc>
        <w:tc>
          <w:tcPr>
            <w:tcW w:w="340" w:type="dxa"/>
            <w:vAlign w:val="bottom"/>
            <w:gridSpan w:val="2"/>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4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Issuing Banks party thereto and Truist Bank as Administrative Agent (incorporated by reference to Exhibit 10.1 to the Registrant’s</w:t>
              </w:r>
            </w:hyperlink>
          </w:p>
        </w:tc>
        <w:tc>
          <w:tcPr>
            <w:tcW w:w="48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0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Current Report on Form 8-K, filed on January 24, 2022)</w:t>
              </w:r>
            </w:hyperlink>
          </w:p>
        </w:tc>
        <w:tc>
          <w:tcPr>
            <w:tcW w:w="5840" w:type="dxa"/>
            <w:vAlign w:val="bottom"/>
            <w:gridSpan w:val="12"/>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(13)(i)</w:t>
            </w:r>
          </w:p>
        </w:tc>
        <w:tc>
          <w:tcPr>
            <w:tcW w:w="9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First Amendment to Senior Secured Revolving Credit Agreement, dated as of February 8, 2024, among Sixth Street Lending Partners, as</w:t>
              </w:r>
            </w:hyperlink>
          </w:p>
        </w:tc>
      </w:tr>
      <w:tr>
        <w:trPr>
          <w:trHeight w:val="196"/>
        </w:trPr>
        <w:tc>
          <w:tcPr>
            <w:tcW w:w="1100" w:type="dxa"/>
            <w:vAlign w:val="bottom"/>
          </w:tcPr>
          <w:p>
            <w:pPr>
              <w:spacing w:after="0"/>
              <w:rPr>
                <w:sz w:val="17"/>
                <w:szCs w:val="17"/>
                <w:color w:val="auto"/>
              </w:rPr>
            </w:pPr>
          </w:p>
        </w:tc>
        <w:tc>
          <w:tcPr>
            <w:tcW w:w="94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Borrower, the Lenders and Issuing Banks party thereto and Truist Bank, as Administrative Agent (incorporated by reference to the</w:t>
              </w:r>
            </w:hyperlink>
          </w:p>
        </w:tc>
        <w:tc>
          <w:tcPr>
            <w:tcW w:w="50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00" w:type="dxa"/>
            <w:vAlign w:val="bottom"/>
            <w:gridSpan w:val="16"/>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Registrant’s Current Report on Form 8-K, filed on February 9, 2024)</w:t>
              </w:r>
            </w:hyperlink>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(14)(a)</w:t>
            </w:r>
          </w:p>
        </w:tc>
        <w:tc>
          <w:tcPr>
            <w:tcW w:w="49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Consent of KPMG LLP*</w:t>
            </w:r>
          </w:p>
        </w:tc>
        <w:tc>
          <w:tcPr>
            <w:tcW w:w="4940" w:type="dxa"/>
            <w:vAlign w:val="bottom"/>
            <w:gridSpan w:val="10"/>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(14)(b)</w:t>
            </w:r>
          </w:p>
        </w:tc>
        <w:tc>
          <w:tcPr>
            <w:tcW w:w="4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Report of KPMG LLP regarding the senior securities table*</w:t>
            </w:r>
          </w:p>
        </w:tc>
        <w:tc>
          <w:tcPr>
            <w:tcW w:w="5580" w:type="dxa"/>
            <w:vAlign w:val="bottom"/>
            <w:gridSpan w:val="11"/>
          </w:tcPr>
          <w:p>
            <w:pPr>
              <w:spacing w:after="0"/>
              <w:rPr>
                <w:sz w:val="24"/>
                <w:szCs w:val="24"/>
                <w:color w:val="auto"/>
              </w:rPr>
            </w:pPr>
          </w:p>
        </w:tc>
      </w:tr>
    </w:tbl>
    <w:p>
      <w:pPr>
        <w:spacing w:after="0" w:line="117" w:lineRule="exact"/>
        <w:rPr>
          <w:sz w:val="20"/>
          <w:szCs w:val="20"/>
          <w:color w:val="auto"/>
        </w:rPr>
      </w:pPr>
    </w:p>
    <w:p>
      <w:pPr>
        <w:ind w:left="1220" w:right="740" w:hanging="1104"/>
        <w:spacing w:after="0" w:line="282" w:lineRule="auto"/>
        <w:tabs>
          <w:tab w:leader="none" w:pos="1220" w:val="left"/>
        </w:tabs>
        <w:numPr>
          <w:ilvl w:val="0"/>
          <w:numId w:val="46"/>
        </w:numPr>
        <w:rPr>
          <w:rFonts w:ascii="Times New Roman" w:cs="Times New Roman" w:eastAsia="Times New Roman" w:hAnsi="Times New Roman"/>
          <w:sz w:val="18"/>
          <w:szCs w:val="18"/>
          <w:u w:val="single" w:color="auto"/>
          <w:color w:val="0000EE"/>
        </w:rPr>
      </w:pPr>
      <w:hyperlink r:id="rId150">
        <w:r>
          <w:rPr>
            <w:rFonts w:ascii="Times New Roman" w:cs="Times New Roman" w:eastAsia="Times New Roman" w:hAnsi="Times New Roman"/>
            <w:sz w:val="18"/>
            <w:szCs w:val="18"/>
            <w:u w:val="single" w:color="auto"/>
            <w:color w:val="0000EE"/>
          </w:rPr>
          <w:t>Power of Attorney (incorporated by reference to Exhibit (16) to the Registrant’s Registration Statement on Form N-14, filed on</w:t>
        </w:r>
      </w:hyperlink>
      <w:r>
        <w:rPr>
          <w:rFonts w:ascii="Times New Roman" w:cs="Times New Roman" w:eastAsia="Times New Roman" w:hAnsi="Times New Roman"/>
          <w:sz w:val="18"/>
          <w:szCs w:val="18"/>
          <w:u w:val="single" w:color="auto"/>
          <w:color w:val="0000EE"/>
        </w:rPr>
        <w:t xml:space="preserve"> </w:t>
      </w:r>
      <w:hyperlink r:id="rId150">
        <w:r>
          <w:rPr>
            <w:rFonts w:ascii="Times New Roman" w:cs="Times New Roman" w:eastAsia="Times New Roman" w:hAnsi="Times New Roman"/>
            <w:sz w:val="18"/>
            <w:szCs w:val="18"/>
            <w:u w:val="single" w:color="auto"/>
            <w:color w:val="0000EE"/>
          </w:rPr>
          <w:t>November 4, 2024)</w:t>
        </w:r>
      </w:hyperlink>
    </w:p>
    <w:p>
      <w:pPr>
        <w:spacing w:after="0" w:line="40"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(17)(a)</w:t>
            </w:r>
          </w:p>
        </w:tc>
        <w:tc>
          <w:tcPr>
            <w:tcW w:w="98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Statement of Eligibility on Form T-1 of U.S. Bank Trust Company, National Association, as trustee (incorporated by reference to Exhibit</w:t>
              </w:r>
            </w:hyperlink>
          </w:p>
        </w:tc>
      </w:tr>
      <w:tr>
        <w:trPr>
          <w:trHeight w:val="196"/>
        </w:trPr>
        <w:tc>
          <w:tcPr>
            <w:tcW w:w="1100" w:type="dxa"/>
            <w:vAlign w:val="bottom"/>
          </w:tcPr>
          <w:p>
            <w:pPr>
              <w:spacing w:after="0"/>
              <w:rPr>
                <w:sz w:val="17"/>
                <w:szCs w:val="17"/>
                <w:color w:val="auto"/>
              </w:rPr>
            </w:pPr>
          </w:p>
        </w:tc>
        <w:tc>
          <w:tcPr>
            <w:tcW w:w="6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(17)</w:t>
              </w:r>
              <w:r>
                <w:rPr>
                  <w:rFonts w:ascii="Times New Roman" w:cs="Times New Roman" w:eastAsia="Times New Roman" w:hAnsi="Times New Roman"/>
                  <w:sz w:val="18"/>
                  <w:szCs w:val="18"/>
                  <w:u w:val="single" w:color="auto"/>
                  <w:color w:val="0000EE"/>
                  <w:w w:val="99"/>
                </w:rPr>
                <w:t>(a)</w:t>
              </w:r>
              <w:r>
                <w:rPr>
                  <w:rFonts w:ascii="Times New Roman" w:cs="Times New Roman" w:eastAsia="Times New Roman" w:hAnsi="Times New Roman"/>
                  <w:sz w:val="18"/>
                  <w:szCs w:val="18"/>
                  <w:color w:val="0000EE"/>
                  <w:w w:val="99"/>
                </w:rPr>
                <w:t xml:space="preserve"> to the Registrant’s Registration Statement on Form N-14, filed on November 4, 2024)</w:t>
              </w:r>
            </w:hyperlink>
          </w:p>
        </w:tc>
        <w:tc>
          <w:tcPr>
            <w:tcW w:w="3140" w:type="dxa"/>
            <w:vAlign w:val="bottom"/>
            <w:gridSpan w:val="2"/>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(17)(b)</w:t>
            </w:r>
          </w:p>
        </w:tc>
        <w:tc>
          <w:tcPr>
            <w:tcW w:w="95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Form of Letter of Transmittal (incorporated by reference to Exhibit (17)(b) to the Registrant’s Registration Statement on Form N-14,</w:t>
              </w:r>
            </w:hyperlink>
          </w:p>
        </w:tc>
        <w:tc>
          <w:tcPr>
            <w:tcW w:w="3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860" w:type="dxa"/>
            <w:vAlign w:val="bottom"/>
            <w:gridSpan w:val="4"/>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filed on November 4, 2024)</w:t>
              </w:r>
            </w:hyperlink>
          </w:p>
        </w:tc>
      </w:tr>
      <w:tr>
        <w:trPr>
          <w:trHeight w:val="20"/>
        </w:trPr>
        <w:tc>
          <w:tcPr>
            <w:tcW w:w="110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20" w:right="100" w:hanging="1104"/>
        <w:spacing w:after="0" w:line="282" w:lineRule="auto"/>
        <w:tabs>
          <w:tab w:leader="none" w:pos="1220" w:val="left"/>
        </w:tabs>
        <w:numPr>
          <w:ilvl w:val="0"/>
          <w:numId w:val="47"/>
        </w:numPr>
        <w:rPr>
          <w:rFonts w:ascii="Times New Roman" w:cs="Times New Roman" w:eastAsia="Times New Roman" w:hAnsi="Times New Roman"/>
          <w:sz w:val="18"/>
          <w:szCs w:val="18"/>
          <w:u w:val="single" w:color="auto"/>
          <w:color w:val="0000EE"/>
        </w:rPr>
      </w:pPr>
      <w:hyperlink r:id="rId153">
        <w:r>
          <w:rPr>
            <w:rFonts w:ascii="Times New Roman" w:cs="Times New Roman" w:eastAsia="Times New Roman" w:hAnsi="Times New Roman"/>
            <w:sz w:val="18"/>
            <w:szCs w:val="18"/>
            <w:u w:val="single" w:color="auto"/>
            <w:color w:val="0000EE"/>
          </w:rPr>
          <w:t>Filing Fee Table (incorporated by reference to Exhibit (18) to the Registrant’s Registration Statement on Form N-14, filed on November</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4, 2024)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5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56" w:lineRule="exact"/>
        <w:rPr>
          <w:sz w:val="20"/>
          <w:szCs w:val="20"/>
          <w:color w:val="auto"/>
        </w:rPr>
      </w:pPr>
    </w:p>
    <w:p>
      <w:pPr>
        <w:ind w:left="540" w:hanging="424"/>
        <w:spacing w:after="0" w:line="261"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agrees that prior to any public reoffering of the securities registered through the use of a prospectus which is a part of this registration statement by any person or party who is deemed to be an underwriter within the meaning of Rule 145(c) of the 1933 Act, the reoffering prospectus will contain the information called for by the applicable registration form for the reofferings by persons who may be deemed underwriters, in addition to the information called for by the other items of the applicable form.</w:t>
      </w:r>
    </w:p>
    <w:p>
      <w:pPr>
        <w:spacing w:after="0" w:line="85" w:lineRule="exact"/>
        <w:rPr>
          <w:rFonts w:ascii="Times New Roman" w:cs="Times New Roman" w:eastAsia="Times New Roman" w:hAnsi="Times New Roman"/>
          <w:sz w:val="18"/>
          <w:szCs w:val="18"/>
          <w:color w:val="auto"/>
        </w:rPr>
      </w:pPr>
    </w:p>
    <w:p>
      <w:pPr>
        <w:ind w:left="540" w:right="160" w:hanging="424"/>
        <w:spacing w:after="0" w:line="261"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agrees that every prospectus that is filed under paragraph (1) above will be filed as a part of an amendment to the registration statement and will not be used until the amendment is effective, and that, in determining any liability under the 1933 Act, each post-effective amendment will be deemed to be a new registration statement for the securities offered therein, and the offering of the securities at that time will be deemed to be the initial bona fide offering of them.</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on behalf of the Registrant, in New York, New York on the 10th day of December, 2024.</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required by the Securities Act of 1933, this registration statement has been signed below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2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572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412"/>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Easterly</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Trustee and Chairman of the Board of Trustees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10, 2024</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Joshua Easterly</w:t>
            </w:r>
          </w:p>
        </w:tc>
        <w:tc>
          <w:tcPr>
            <w:tcW w:w="2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60" w:type="dxa"/>
            <w:vAlign w:val="bottom"/>
          </w:tcPr>
          <w:p>
            <w:pPr>
              <w:spacing w:after="0"/>
              <w:rPr>
                <w:sz w:val="20"/>
                <w:szCs w:val="20"/>
                <w:color w:val="auto"/>
              </w:rPr>
            </w:pPr>
          </w:p>
        </w:tc>
      </w:tr>
      <w:tr>
        <w:trPr>
          <w:trHeight w:val="423"/>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10, 2024</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Ian Simmonds</w:t>
            </w:r>
          </w:p>
        </w:tc>
        <w:tc>
          <w:tcPr>
            <w:tcW w:w="2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Graf</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Deputy Chief Financial Officer (Principal Accounting Officer)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10, 2024</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Michael Graf</w:t>
            </w:r>
          </w:p>
        </w:tc>
        <w:tc>
          <w:tcPr>
            <w:tcW w:w="2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Judy Slotkin*</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 and Chairman of the Audit Committee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10, 2024</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Judy Slotkin</w:t>
            </w:r>
          </w:p>
        </w:tc>
        <w:tc>
          <w:tcPr>
            <w:tcW w:w="2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Gordon*</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10, 2024</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Jennifer Gordon</w:t>
            </w:r>
          </w:p>
        </w:tc>
        <w:tc>
          <w:tcPr>
            <w:tcW w:w="2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A. Higginbotham*</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10, 2024</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Richard A. Higginbotham</w:t>
            </w:r>
          </w:p>
        </w:tc>
        <w:tc>
          <w:tcPr>
            <w:tcW w:w="2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Hurley Doddy*</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10, 2024</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Hurley Doddy</w:t>
            </w:r>
          </w:p>
        </w:tc>
        <w:tc>
          <w:tcPr>
            <w:tcW w:w="2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Stiepleman*</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10, 2024</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Stiepleman</w:t>
            </w:r>
          </w:p>
        </w:tc>
        <w:tc>
          <w:tcPr>
            <w:tcW w:w="2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Ronald K. Tanemura*</w:t>
            </w:r>
          </w:p>
        </w:tc>
        <w:tc>
          <w:tcPr>
            <w:tcW w:w="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10, 2024</w:t>
            </w:r>
          </w:p>
        </w:tc>
      </w:tr>
      <w:tr>
        <w:trPr>
          <w:trHeight w:val="23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Ronald K. Tanemura</w:t>
            </w:r>
          </w:p>
        </w:tc>
        <w:tc>
          <w:tcPr>
            <w:tcW w:w="2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25203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original powers of attorney authorizing Joshua Easterly, Ian Simmonds, David Stiepleman, Jennifer Gordon and Anton Brett to execute the Registration Statement, and any amendments thereto, for the trustees of the Registrant on whose behalf this Registration Statement is filed have been executed and filed as exhibits hereto.</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55" w:right="4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ORRIS</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4"/>
          <w:szCs w:val="14"/>
          <w:b w:val="1"/>
          <w:bCs w:val="1"/>
          <w:color w:val="auto"/>
        </w:rPr>
        <w:t>ICHOLS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RSHT</w:t>
      </w:r>
      <w:r>
        <w:rPr>
          <w:rFonts w:ascii="Times New Roman" w:cs="Times New Roman" w:eastAsia="Times New Roman" w:hAnsi="Times New Roman"/>
          <w:sz w:val="18"/>
          <w:szCs w:val="18"/>
          <w:b w:val="1"/>
          <w:bCs w:val="1"/>
          <w:color w:val="auto"/>
        </w:rPr>
        <w:t xml:space="preserve"> &amp; T</w:t>
      </w:r>
      <w:r>
        <w:rPr>
          <w:rFonts w:ascii="Times New Roman" w:cs="Times New Roman" w:eastAsia="Times New Roman" w:hAnsi="Times New Roman"/>
          <w:sz w:val="14"/>
          <w:szCs w:val="14"/>
          <w:b w:val="1"/>
          <w:bCs w:val="1"/>
          <w:color w:val="auto"/>
        </w:rPr>
        <w:t>UNNELL LLP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1201 N</w:t>
      </w:r>
      <w:r>
        <w:rPr>
          <w:rFonts w:ascii="Times New Roman" w:cs="Times New Roman" w:eastAsia="Times New Roman" w:hAnsi="Times New Roman"/>
          <w:sz w:val="14"/>
          <w:szCs w:val="14"/>
          <w:color w:val="auto"/>
        </w:rPr>
        <w:t>ORTH</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ARKET</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TREET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 B</w:t>
      </w:r>
      <w:r>
        <w:rPr>
          <w:rFonts w:ascii="Times New Roman" w:cs="Times New Roman" w:eastAsia="Times New Roman" w:hAnsi="Times New Roman"/>
          <w:sz w:val="14"/>
          <w:szCs w:val="14"/>
          <w:color w:val="auto"/>
        </w:rPr>
        <w:t>OX</w:t>
      </w:r>
      <w:r>
        <w:rPr>
          <w:rFonts w:ascii="Times New Roman" w:cs="Times New Roman" w:eastAsia="Times New Roman" w:hAnsi="Times New Roman"/>
          <w:sz w:val="18"/>
          <w:szCs w:val="18"/>
          <w:color w:val="auto"/>
        </w:rPr>
        <w:t xml:space="preserve"> 1347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ILMINGTON</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ELAWARE</w:t>
      </w:r>
      <w:r>
        <w:rPr>
          <w:rFonts w:ascii="Times New Roman" w:cs="Times New Roman" w:eastAsia="Times New Roman" w:hAnsi="Times New Roman"/>
          <w:sz w:val="18"/>
          <w:szCs w:val="18"/>
          <w:color w:val="auto"/>
        </w:rPr>
        <w:t xml:space="preserve"> 19899-1347</w:t>
      </w:r>
    </w:p>
    <w:p>
      <w:pPr>
        <w:spacing w:after="0" w:line="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-11430</wp:posOffset>
            </wp:positionV>
            <wp:extent cx="4572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64" w:lineRule="exact"/>
        <w:rPr>
          <w:sz w:val="20"/>
          <w:szCs w:val="20"/>
          <w:color w:val="auto"/>
        </w:rPr>
      </w:pPr>
    </w:p>
    <w:p>
      <w:pPr>
        <w:ind w:left="5500" w:hanging="438"/>
        <w:spacing w:after="0"/>
        <w:tabs>
          <w:tab w:leader="none" w:pos="55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658-9200</w:t>
      </w:r>
    </w:p>
    <w:p>
      <w:pPr>
        <w:spacing w:after="0" w:line="27" w:lineRule="exact"/>
        <w:rPr>
          <w:rFonts w:ascii="Times New Roman" w:cs="Times New Roman" w:eastAsia="Times New Roman" w:hAnsi="Times New Roman"/>
          <w:sz w:val="18"/>
          <w:szCs w:val="18"/>
          <w:color w:val="auto"/>
        </w:rPr>
      </w:pPr>
    </w:p>
    <w:p>
      <w:pPr>
        <w:ind w:left="5300" w:hanging="434"/>
        <w:spacing w:after="0"/>
        <w:tabs>
          <w:tab w:leader="none" w:pos="5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658-3989 FAX</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10, 2024</w:t>
      </w:r>
    </w:p>
    <w:p>
      <w:pPr>
        <w:spacing w:after="0" w:line="2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7"/>
          <w:szCs w:val="17"/>
          <w:color w:val="auto"/>
        </w:rPr>
        <w:t>Sixth Street Lending Partners</w:t>
      </w:r>
    </w:p>
    <w:p>
      <w:pPr>
        <w:spacing w:after="0" w:line="131" w:lineRule="exact"/>
        <w:rPr>
          <w:sz w:val="20"/>
          <w:szCs w:val="20"/>
          <w:color w:val="auto"/>
        </w:rPr>
      </w:pPr>
    </w:p>
    <w:p>
      <w:pPr>
        <w:ind w:left="1000"/>
        <w:spacing w:after="0"/>
        <w:tabs>
          <w:tab w:leader="none" w:pos="14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Sixth Street Lending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20" w:firstLine="1011"/>
        <w:spacing w:after="0" w:line="282" w:lineRule="auto"/>
        <w:rPr>
          <w:sz w:val="20"/>
          <w:szCs w:val="20"/>
          <w:color w:val="auto"/>
        </w:rPr>
      </w:pPr>
      <w:r>
        <w:rPr>
          <w:rFonts w:ascii="Times New Roman" w:cs="Times New Roman" w:eastAsia="Times New Roman" w:hAnsi="Times New Roman"/>
          <w:sz w:val="18"/>
          <w:szCs w:val="18"/>
          <w:color w:val="auto"/>
        </w:rPr>
        <w:t>We have acted as special Delaware counsel to Sixth Street Lending Partners, a Delaware statutory trust (the “Trust”), in connection with certain matters of Delaware law set forth below.</w:t>
      </w:r>
    </w:p>
    <w:p>
      <w:pPr>
        <w:spacing w:after="0" w:line="162" w:lineRule="exact"/>
        <w:rPr>
          <w:sz w:val="20"/>
          <w:szCs w:val="20"/>
          <w:color w:val="auto"/>
        </w:rPr>
      </w:pPr>
    </w:p>
    <w:p>
      <w:pPr>
        <w:ind w:right="40" w:firstLine="1011"/>
        <w:spacing w:after="0" w:line="258" w:lineRule="auto"/>
        <w:rPr>
          <w:sz w:val="20"/>
          <w:szCs w:val="20"/>
          <w:color w:val="auto"/>
        </w:rPr>
      </w:pPr>
      <w:r>
        <w:rPr>
          <w:rFonts w:ascii="Times New Roman" w:cs="Times New Roman" w:eastAsia="Times New Roman" w:hAnsi="Times New Roman"/>
          <w:sz w:val="18"/>
          <w:szCs w:val="18"/>
          <w:color w:val="auto"/>
        </w:rPr>
        <w:t>In rendering this opinion, we have examined and relied upon copies or drafts of the documents identified on Annex A hereto in the forms provided to us. In such examinations, we have assumed the genuineness of all signatures, the authenticity of all documents submitted to us as originals, the conformity to original documents of all documents submitted to us as copies or drafts of documents to be executed and the legal capacity of natural persons to complete the execution of documents. Capitalized terms used but not defined herein shall have the meanings given to such terms in Annex A attached hereto.</w:t>
      </w:r>
    </w:p>
    <w:p>
      <w:pPr>
        <w:spacing w:after="0" w:line="183" w:lineRule="exact"/>
        <w:rPr>
          <w:sz w:val="20"/>
          <w:szCs w:val="20"/>
          <w:color w:val="auto"/>
        </w:rPr>
      </w:pPr>
    </w:p>
    <w:p>
      <w:pPr>
        <w:ind w:right="40" w:firstLine="1011"/>
        <w:spacing w:after="0" w:line="270" w:lineRule="auto"/>
        <w:rPr>
          <w:sz w:val="20"/>
          <w:szCs w:val="20"/>
          <w:color w:val="auto"/>
        </w:rPr>
      </w:pPr>
      <w:r>
        <w:rPr>
          <w:rFonts w:ascii="Times New Roman" w:cs="Times New Roman" w:eastAsia="Times New Roman" w:hAnsi="Times New Roman"/>
          <w:sz w:val="17"/>
          <w:szCs w:val="17"/>
          <w:color w:val="auto"/>
        </w:rPr>
        <w:t>We have further assumed for purposes of this opinion: (i) except to the extent addressed by our opinion set forth in paragraph 1 below, the due incorporation, formation or organization, valid existence and good standing of each entity that is a signatory to any of the documents reviewed by us under the laws of the jurisdiction of its respective incorporation, formation or organization; (ii) except to the extent addressed by our opinion set forth in paragraph 3 below, the due authorization, adoption, execution, filing and delivery of each of the above-referenced documents by each of the parties thereto;</w:t>
      </w:r>
    </w:p>
    <w:p>
      <w:pPr>
        <w:spacing w:after="0" w:line="3" w:lineRule="exact"/>
        <w:rPr>
          <w:sz w:val="20"/>
          <w:szCs w:val="20"/>
          <w:color w:val="auto"/>
        </w:rPr>
      </w:pPr>
    </w:p>
    <w:p>
      <w:pPr>
        <w:ind w:firstLine="8"/>
        <w:spacing w:after="0" w:line="252" w:lineRule="auto"/>
        <w:tabs>
          <w:tab w:leader="none" w:pos="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the Indenture and the Exchange Notes constitutes a legal, valid and binding obligation of each of the parties thereto, and is enforceable against each of the parties thereto in accordance with its terms; (iv) that the Exchange Notes will be issued in accordance with the Trust Documents and as contemplated by the Registration Statement; (v) the satisfaction of, or compliance with, all of the terms, conditions and restrictions set forth in the Original Trust Agreement, the A&amp;R Trust Agreement and the Trust Agreement, as applicable, in connection with the admission of beneficial owners to the Trust and the issuance of beneficial interests in the Trust; (vi) that the activities of the Trust have been and will be conducted in accordance with the terms of the Trust Agreement and the Delaware Statutory Trust Act, 12 Del. C. §§ 3801 et seq. (the “DSTA”); (vii) that the Trust has entered into the Indenture for a proper purpose in accordance with Section 1.2 of the Trust Agreement; (viii) that</w:t>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Lending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no event or circumstance has occurred on or prior to the date hereof that would cause a dissolution or termination of the Trust under the Original Trust Agreement, the A&amp;R Trust Agreement or the Trust Agreement, as applicable; (ix) that an authorized signatory of the Trust has voluntarily and unconditionally transferred possession of an executed counterpart of each of the Original Indenture, the First Supplemental Indenture, the Second Supplemental Indenture and the Third Supplemental Indenture to the other parties thereto with the intent of bringing each of the Original Indenture, the First Supplemental Indenture, the Second Supplemental Indenture and the Third Supplemental Indenture into effect; (x) that the 1940 Act (as defined in the Trust Agreement) does not prohibit Trustees (as defined in the Trust Agreement) who are Interested Persons (as defined in the Trust Agreement) from being counted for quorum purposes or voting with respect to the matters addressed in the Consents; and (xi) that the documents examined by us are in full force and effect, express the entire understanding of the parties thereto with respect to the subject matter thereof and have not been amended, supplemented or otherwise modified. We have not reviewed any documents other than those identified above in connection with this opinion, and we have assumed that there are no other documents, facts or circumstances that are contrary to or inconsistent with the opinions expressed herein. In addition, we have not participated in the preparation of any offering material and assume no responsibility for the contents of such material. No opinion is expressed herein with respect to the requirements of, or compliance with, federal or state securities or blue sky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to any facts material to our opinion, other than those assumed, we have relied, without independent investigation, on the above-referenced documents, and the accuracy, as of the date hereof, of the matters therein contained.</w:t>
      </w:r>
    </w:p>
    <w:p>
      <w:pPr>
        <w:spacing w:after="0" w:line="197" w:lineRule="exact"/>
        <w:rPr>
          <w:sz w:val="20"/>
          <w:szCs w:val="20"/>
          <w:color w:val="auto"/>
        </w:rPr>
      </w:pPr>
    </w:p>
    <w:p>
      <w:pPr>
        <w:ind w:right="200" w:firstLine="1011"/>
        <w:spacing w:after="0" w:line="261" w:lineRule="auto"/>
        <w:rPr>
          <w:sz w:val="20"/>
          <w:szCs w:val="20"/>
          <w:color w:val="auto"/>
        </w:rPr>
      </w:pPr>
      <w:r>
        <w:rPr>
          <w:rFonts w:ascii="Times New Roman" w:cs="Times New Roman" w:eastAsia="Times New Roman" w:hAnsi="Times New Roman"/>
          <w:sz w:val="18"/>
          <w:szCs w:val="18"/>
          <w:color w:val="auto"/>
        </w:rPr>
        <w:t>In addition, we note that the Indenture is governed by and construed in accordance with laws other than those of the State of Delaware and, for purposes of our opinions, we have assumed that the Indenture will be interpreted in accordance with the plain meaning of the written terms thereof as such terms would be interpreted as a matter of Delaware law and we express no opinion with respect to any legal standards or concepts under any laws other than those of the State of Delaware.</w:t>
      </w:r>
    </w:p>
    <w:p>
      <w:pPr>
        <w:spacing w:after="0" w:line="180" w:lineRule="exact"/>
        <w:rPr>
          <w:sz w:val="20"/>
          <w:szCs w:val="20"/>
          <w:color w:val="auto"/>
        </w:rPr>
      </w:pPr>
    </w:p>
    <w:p>
      <w:pPr>
        <w:ind w:right="120" w:firstLine="1011"/>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and to the further qualifications set forth below, and limited in all respects to matters of Delaware law, it is our opinion that:</w:t>
      </w:r>
    </w:p>
    <w:p>
      <w:pPr>
        <w:spacing w:after="0" w:line="54" w:lineRule="exact"/>
        <w:rPr>
          <w:sz w:val="20"/>
          <w:szCs w:val="20"/>
          <w:color w:val="auto"/>
        </w:rPr>
      </w:pPr>
    </w:p>
    <w:p>
      <w:pPr>
        <w:ind w:left="1200" w:hanging="181"/>
        <w:spacing w:after="0"/>
        <w:tabs>
          <w:tab w:leader="none" w:pos="1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is a duly formed and validly existing statutory trust in good standing under the laws of the State of Delaware.</w:t>
      </w:r>
    </w:p>
    <w:p>
      <w:pPr>
        <w:spacing w:after="0" w:line="117" w:lineRule="exact"/>
        <w:rPr>
          <w:rFonts w:ascii="Times New Roman" w:cs="Times New Roman" w:eastAsia="Times New Roman" w:hAnsi="Times New Roman"/>
          <w:sz w:val="18"/>
          <w:szCs w:val="18"/>
          <w:color w:val="auto"/>
        </w:rPr>
      </w:pPr>
    </w:p>
    <w:p>
      <w:pPr>
        <w:ind w:right="300" w:firstLine="1019"/>
        <w:spacing w:after="0" w:line="282" w:lineRule="auto"/>
        <w:tabs>
          <w:tab w:leader="none" w:pos="119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has the requisite statutory trust power and authority to execute, deliver and perform its obligations under the Indenture and to issue the Exchange Notes.</w:t>
      </w:r>
    </w:p>
    <w:p>
      <w:pPr>
        <w:spacing w:after="0" w:line="53" w:lineRule="exact"/>
        <w:rPr>
          <w:rFonts w:ascii="Times New Roman" w:cs="Times New Roman" w:eastAsia="Times New Roman" w:hAnsi="Times New Roman"/>
          <w:sz w:val="18"/>
          <w:szCs w:val="18"/>
          <w:color w:val="auto"/>
        </w:rPr>
      </w:pPr>
    </w:p>
    <w:p>
      <w:pPr>
        <w:ind w:right="180" w:firstLine="1019"/>
        <w:spacing w:after="0" w:line="282" w:lineRule="auto"/>
        <w:tabs>
          <w:tab w:leader="none" w:pos="119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Trust of the Indenture and the issuance of the Exchange Notes, and the performance by the Trust of its obligations under the Indenture, have been duly authorized by all necessary statutory trust action on the part of the Trust.</w:t>
      </w:r>
    </w:p>
    <w:p>
      <w:pPr>
        <w:spacing w:after="0" w:line="53" w:lineRule="exact"/>
        <w:rPr>
          <w:rFonts w:ascii="Times New Roman" w:cs="Times New Roman" w:eastAsia="Times New Roman" w:hAnsi="Times New Roman"/>
          <w:sz w:val="18"/>
          <w:szCs w:val="18"/>
          <w:color w:val="auto"/>
        </w:rPr>
      </w:pPr>
    </w:p>
    <w:p>
      <w:pPr>
        <w:ind w:right="240" w:firstLine="1019"/>
        <w:spacing w:after="0" w:line="282" w:lineRule="auto"/>
        <w:tabs>
          <w:tab w:leader="none" w:pos="119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has duly executed and delivered the Original Indenture, the First Supplemental Indenture, the Second Supplemental Indenture and the Third Supplemental Indenture.</w:t>
      </w:r>
    </w:p>
    <w:p>
      <w:pPr>
        <w:sectPr>
          <w:pgSz w:w="11900" w:h="16838" w:orient="portrait"/>
          <w:cols w:equalWidth="0" w:num="1">
            <w:col w:w="11240"/>
          </w:cols>
          <w:pgMar w:left="320" w:top="27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Lending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firstLine="1011"/>
        <w:spacing w:after="0" w:line="255"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use of our name under the heading “Legal Matters” in the Prospectus. In giving this consent, we do not thereby admit that we come within the category of persons whose consent is required under Section 7 of the Securities Act of 1933, as amended, or the rules and regulations of the Securities and Exchange Commission thereunder. This opinion speaks only as of the date hereof and is based on our understandings and assumptions as to present facts, and on our review of the above-referenced documents and the application of Delaware law as the same exist on the date hereof, and we undertake no obligation to update or supplement this opinion after the date hereof for the benefit of any person or entity with respect to any facts or circumstances that may hereafter come to our attention or any changes in facts or law that may hereafter occur or take effect.</w:t>
      </w:r>
    </w:p>
    <w:p>
      <w:pPr>
        <w:spacing w:after="0" w:line="2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MORRIS, NICHOLS, ARSHT &amp; TUNNELL LLP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Sara A. Gelsinger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Sara A. Gelsinger</w:t>
      </w:r>
    </w:p>
    <w:p>
      <w:pPr>
        <w:sectPr>
          <w:pgSz w:w="11900" w:h="16838" w:orient="portrait"/>
          <w:cols w:equalWidth="0" w:num="1">
            <w:col w:w="11240"/>
          </w:cols>
          <w:pgMar w:left="320" w:top="270" w:right="339" w:bottom="1440" w:gutter="0" w:footer="0" w:header="0"/>
        </w:sectPr>
      </w:pPr>
    </w:p>
    <w:bookmarkStart w:id="88" w:name="page89"/>
    <w:bookmarkEnd w:id="88"/>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Documents Reviewed in connection with</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Morris, Nichols, Arsht &amp; Tunnell LLP Opinion</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Dated December 10, 2024 relating to</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34" w:lineRule="exact"/>
        <w:rPr>
          <w:sz w:val="20"/>
          <w:szCs w:val="20"/>
          <w:color w:val="auto"/>
        </w:rPr>
      </w:pPr>
    </w:p>
    <w:p>
      <w:pPr>
        <w:ind w:left="452" w:right="80" w:hanging="452"/>
        <w:spacing w:after="0" w:line="270" w:lineRule="auto"/>
        <w:tabs>
          <w:tab w:leader="none" w:pos="452"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(the “Registration Statement”) on Form N-14, under the Securities Act of 1933, as amended, including a preliminary prospectus (and the statement of additional information incorporated by reference therein) dated December 10, 2024 (the “Prospectus”), with respect to the proposed issuance and offer to exchange new 6.500% Notes due 2029 (the “6.500% Exchange Notes”) and 5.750% Notes due 2030 (the “5.750% Exchange Notes” and together with the 6.500% Exchange Notes, the “Exchange Notes”), for any of the Trust’s unregistered outstanding</w:t>
      </w:r>
    </w:p>
    <w:p>
      <w:pPr>
        <w:spacing w:after="0" w:line="2" w:lineRule="exact"/>
        <w:rPr>
          <w:rFonts w:ascii="Times New Roman" w:cs="Times New Roman" w:eastAsia="Times New Roman" w:hAnsi="Times New Roman"/>
          <w:sz w:val="17"/>
          <w:szCs w:val="17"/>
          <w:color w:val="auto"/>
        </w:rPr>
      </w:pPr>
    </w:p>
    <w:p>
      <w:pPr>
        <w:ind w:left="452" w:right="1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6.500% Notes due 2029 (the “6.500% Unregistered Notes”) and 5.750% Notes due 2030 (the “5.750% Unregistered Notes”), filed by the Trust with the Securities and Exchange Commission;</w:t>
      </w:r>
    </w:p>
    <w:p>
      <w:pPr>
        <w:spacing w:after="0" w:line="86" w:lineRule="exact"/>
        <w:rPr>
          <w:rFonts w:ascii="Times New Roman" w:cs="Times New Roman" w:eastAsia="Times New Roman" w:hAnsi="Times New Roman"/>
          <w:sz w:val="17"/>
          <w:szCs w:val="17"/>
          <w:color w:val="auto"/>
        </w:rPr>
      </w:pPr>
    </w:p>
    <w:p>
      <w:pPr>
        <w:ind w:left="452" w:hanging="452"/>
        <w:spacing w:after="0" w:line="255" w:lineRule="auto"/>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dated March 11, 2024 (the “Original Indenture”), between the Trust and U.S. Bank Trust Company, National Association, as trustee, as supplemented by the First Supplemental Indenture dated as of March 11, 2024 (the “First Supplemental Indenture”), between the Trust and U.S. Bank Trust Company, National Association, as trustee, as further supplemented by the Second Supplemental Indenture dated as of June 17, 2024 (the “Second Supplemental Indenture”), between the Trust and U.S. Bank Trust Company, National Association, as trustee, and as further supplemented by the Third Supplemental Indenture dated as of September 16, 2024 (the “Third Supplemental Indenture” and the Original Indenture as supplemented by the First Supplemental Indenture, the Second Supplemental Indenture and the Third Supplemental Indenture, the “Indenture”), between the Trust and U.S. Bank Trust Company, National Association, as trustee;</w:t>
      </w:r>
    </w:p>
    <w:p>
      <w:pPr>
        <w:spacing w:after="0" w:line="94"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Indenture;</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Supplemental Indenture;</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Supplemental Indenture;</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Supplemental Indenture;</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6.500% Unregistered Note;</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5.750% Unregistered Note;</w:t>
      </w:r>
    </w:p>
    <w:p>
      <w:pPr>
        <w:spacing w:after="0" w:line="130" w:lineRule="exact"/>
        <w:rPr>
          <w:rFonts w:ascii="Times New Roman" w:cs="Times New Roman" w:eastAsia="Times New Roman" w:hAnsi="Times New Roman"/>
          <w:sz w:val="18"/>
          <w:szCs w:val="18"/>
          <w:color w:val="auto"/>
        </w:rPr>
      </w:pPr>
    </w:p>
    <w:p>
      <w:pPr>
        <w:ind w:left="452" w:right="100" w:hanging="452"/>
        <w:spacing w:after="0" w:line="282" w:lineRule="auto"/>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Trust of the Trust as filed in the Office of the Secretary of State of the State of Delaware (the “State Office”) on April 7, 2022 (the “Certificate”);</w:t>
      </w:r>
    </w:p>
    <w:p>
      <w:pPr>
        <w:spacing w:after="0" w:line="67"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of Trust of the Trust dated as of April 5, 2022 (the “Original Trust Agreement”);</w:t>
      </w:r>
    </w:p>
    <w:p>
      <w:pPr>
        <w:sectPr>
          <w:pgSz w:w="11900" w:h="16838" w:orient="portrait"/>
          <w:cols w:equalWidth="0" w:num="1">
            <w:col w:w="11232"/>
          </w:cols>
          <w:pgMar w:left="328" w:top="266" w:right="339" w:bottom="1440" w:gutter="0" w:footer="0" w:header="0"/>
        </w:sectPr>
      </w:pPr>
    </w:p>
    <w:bookmarkStart w:id="89" w:name="page90"/>
    <w:bookmarkEnd w:id="89"/>
    <w:p>
      <w:pPr>
        <w:ind w:left="452" w:hanging="452"/>
        <w:spacing w:after="0"/>
        <w:tabs>
          <w:tab w:leader="none" w:pos="4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Amended and Restated Agreement and Declaration of Trust dated as of June 27, 2022 (the “A&amp;R Trust Agreement”);</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and Restated Agreement and Declaration of Trust dated as of August 22, 2022 (the “Trust Agreement”);</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Unanimous Written Consent of the Board of Trustees of the Trust dated March 4, 2024 (the “March Consent”);</w:t>
      </w:r>
    </w:p>
    <w:p>
      <w:pPr>
        <w:spacing w:after="0" w:line="1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Unanimous Written Consent of the Board of Trustees of the Trust dated June 10, 2024 (the “June Consent”);</w:t>
      </w:r>
    </w:p>
    <w:p>
      <w:pPr>
        <w:spacing w:after="0" w:line="130" w:lineRule="exact"/>
        <w:rPr>
          <w:rFonts w:ascii="Times New Roman" w:cs="Times New Roman" w:eastAsia="Times New Roman" w:hAnsi="Times New Roman"/>
          <w:sz w:val="18"/>
          <w:szCs w:val="18"/>
          <w:color w:val="auto"/>
        </w:rPr>
      </w:pPr>
    </w:p>
    <w:p>
      <w:pPr>
        <w:ind w:left="452" w:hanging="452"/>
        <w:spacing w:after="0" w:line="266" w:lineRule="auto"/>
        <w:tabs>
          <w:tab w:leader="none" w:pos="4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Unanimous Written Consent of the Board of Trustees of the Trust dated September 9, 2024 (the “September Consent” and together with the March Consent and June Consent, the “Consents” and each, individually, a “Consent” and together with the Trust Agreement and the Certificate, the “Trust Documents”); and</w:t>
      </w:r>
    </w:p>
    <w:p>
      <w:pPr>
        <w:spacing w:after="0" w:line="81"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certification of good standing of the Trust obtained as of a recent date from the State Office.</w:t>
      </w:r>
    </w:p>
    <w:p>
      <w:pPr>
        <w:spacing w:after="0" w:line="158"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52"/>
          </w:cols>
          <w:pgMar w:left="328" w:top="270" w:right="419" w:bottom="1440" w:gutter="0" w:footer="0" w:header="0"/>
        </w:sectPr>
      </w:pPr>
    </w:p>
    <w:bookmarkStart w:id="90" w:name="page91"/>
    <w:bookmarkEnd w:id="90"/>
    <w:p>
      <w:pPr>
        <w:ind w:left="10140"/>
        <w:spacing w:after="0"/>
        <w:rPr>
          <w:sz w:val="20"/>
          <w:szCs w:val="20"/>
          <w:color w:val="auto"/>
        </w:rPr>
      </w:pPr>
      <w:r>
        <w:rPr>
          <w:rFonts w:ascii="Times New Roman" w:cs="Times New Roman" w:eastAsia="Times New Roman" w:hAnsi="Times New Roman"/>
          <w:sz w:val="17"/>
          <w:szCs w:val="17"/>
          <w:b w:val="1"/>
          <w:bCs w:val="1"/>
          <w:i w:val="1"/>
          <w:iCs w:val="1"/>
          <w:color w:val="auto"/>
        </w:rPr>
        <w:t>Exhibit (11)(b)</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19"/>
                <w:szCs w:val="19"/>
                <w:color w:val="auto"/>
              </w:rPr>
            </w:pPr>
          </w:p>
        </w:tc>
        <w:tc>
          <w:tcPr>
            <w:tcW w:w="7760" w:type="dxa"/>
            <w:vAlign w:val="bottom"/>
            <w:gridSpan w:val="3"/>
          </w:tcPr>
          <w:p>
            <w:pPr>
              <w:jc w:val="center"/>
              <w:ind w:right="3370"/>
              <w:spacing w:after="0"/>
              <w:rPr>
                <w:sz w:val="20"/>
                <w:szCs w:val="20"/>
                <w:color w:val="auto"/>
              </w:rPr>
            </w:pPr>
            <w:r>
              <w:rPr>
                <w:rFonts w:ascii="Times New Roman" w:cs="Times New Roman" w:eastAsia="Times New Roman" w:hAnsi="Times New Roman"/>
                <w:sz w:val="18"/>
                <w:szCs w:val="18"/>
                <w:b w:val="1"/>
                <w:bCs w:val="1"/>
                <w:color w:val="auto"/>
                <w:w w:val="99"/>
              </w:rPr>
              <w:t>Simpson Thacher &amp; Bartlett LLP</w:t>
            </w:r>
          </w:p>
        </w:tc>
      </w:tr>
      <w:tr>
        <w:trPr>
          <w:trHeight w:val="216"/>
        </w:trPr>
        <w:tc>
          <w:tcPr>
            <w:tcW w:w="3480" w:type="dxa"/>
            <w:vAlign w:val="bottom"/>
          </w:tcPr>
          <w:p>
            <w:pPr>
              <w:spacing w:after="0"/>
              <w:rPr>
                <w:sz w:val="18"/>
                <w:szCs w:val="18"/>
                <w:color w:val="auto"/>
              </w:rPr>
            </w:pPr>
          </w:p>
        </w:tc>
        <w:tc>
          <w:tcPr>
            <w:tcW w:w="7760" w:type="dxa"/>
            <w:vAlign w:val="bottom"/>
            <w:gridSpan w:val="3"/>
          </w:tcPr>
          <w:p>
            <w:pPr>
              <w:jc w:val="center"/>
              <w:ind w:right="3370"/>
              <w:spacing w:after="0"/>
              <w:rPr>
                <w:sz w:val="20"/>
                <w:szCs w:val="20"/>
                <w:color w:val="auto"/>
              </w:rPr>
            </w:pPr>
            <w:r>
              <w:rPr>
                <w:rFonts w:ascii="Times New Roman" w:cs="Times New Roman" w:eastAsia="Times New Roman" w:hAnsi="Times New Roman"/>
                <w:sz w:val="18"/>
                <w:szCs w:val="18"/>
                <w:color w:val="auto"/>
              </w:rPr>
              <w:t>900 G S</w:t>
            </w:r>
            <w:r>
              <w:rPr>
                <w:rFonts w:ascii="Times New Roman" w:cs="Times New Roman" w:eastAsia="Times New Roman" w:hAnsi="Times New Roman"/>
                <w:sz w:val="14"/>
                <w:szCs w:val="14"/>
                <w:color w:val="auto"/>
              </w:rPr>
              <w:t>TREET</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W</w:t>
            </w:r>
          </w:p>
        </w:tc>
      </w:tr>
      <w:tr>
        <w:trPr>
          <w:trHeight w:val="212"/>
        </w:trPr>
        <w:tc>
          <w:tcPr>
            <w:tcW w:w="3480" w:type="dxa"/>
            <w:vAlign w:val="bottom"/>
          </w:tcPr>
          <w:p>
            <w:pPr>
              <w:spacing w:after="0"/>
              <w:rPr>
                <w:sz w:val="18"/>
                <w:szCs w:val="18"/>
                <w:color w:val="auto"/>
              </w:rPr>
            </w:pPr>
          </w:p>
        </w:tc>
        <w:tc>
          <w:tcPr>
            <w:tcW w:w="7760" w:type="dxa"/>
            <w:vAlign w:val="bottom"/>
            <w:gridSpan w:val="3"/>
          </w:tcPr>
          <w:p>
            <w:pPr>
              <w:jc w:val="center"/>
              <w:ind w:right="3390"/>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ASHINGTON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D</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C</w:t>
            </w:r>
            <w:r>
              <w:rPr>
                <w:rFonts w:ascii="Times New Roman" w:cs="Times New Roman" w:eastAsia="Times New Roman" w:hAnsi="Times New Roman"/>
                <w:sz w:val="18"/>
                <w:szCs w:val="18"/>
                <w:color w:val="auto"/>
              </w:rPr>
              <w:t>. 20001</w:t>
            </w:r>
          </w:p>
        </w:tc>
      </w:tr>
      <w:tr>
        <w:trPr>
          <w:trHeight w:val="158"/>
        </w:trPr>
        <w:tc>
          <w:tcPr>
            <w:tcW w:w="34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720" w:type="dxa"/>
            <w:vAlign w:val="bottom"/>
            <w:tcBorders>
              <w:bottom w:val="single" w:sz="8" w:color="auto"/>
            </w:tcBorders>
          </w:tcPr>
          <w:p>
            <w:pPr>
              <w:spacing w:after="0" w:line="158" w:lineRule="exact"/>
              <w:rPr>
                <w:sz w:val="20"/>
                <w:szCs w:val="20"/>
                <w:color w:val="auto"/>
              </w:rPr>
            </w:pPr>
            <w:r>
              <w:rPr>
                <w:rFonts w:ascii="Times New Roman" w:cs="Times New Roman" w:eastAsia="Times New Roman" w:hAnsi="Times New Roman"/>
                <w:sz w:val="14"/>
                <w:szCs w:val="14"/>
                <w:color w:val="auto"/>
              </w:rPr>
              <w:t xml:space="preserve">             </w:t>
            </w:r>
          </w:p>
        </w:tc>
        <w:tc>
          <w:tcPr>
            <w:tcW w:w="5260" w:type="dxa"/>
            <w:vAlign w:val="bottom"/>
          </w:tcPr>
          <w:p>
            <w:pPr>
              <w:spacing w:after="0"/>
              <w:rPr>
                <w:sz w:val="13"/>
                <w:szCs w:val="13"/>
                <w:color w:val="auto"/>
              </w:rPr>
            </w:pPr>
          </w:p>
        </w:tc>
      </w:tr>
      <w:tr>
        <w:trPr>
          <w:trHeight w:val="299"/>
        </w:trPr>
        <w:tc>
          <w:tcPr>
            <w:tcW w:w="3480" w:type="dxa"/>
            <w:vAlign w:val="bottom"/>
          </w:tcPr>
          <w:p>
            <w:pPr>
              <w:spacing w:after="0"/>
              <w:rPr>
                <w:sz w:val="24"/>
                <w:szCs w:val="24"/>
                <w:color w:val="auto"/>
              </w:rPr>
            </w:pPr>
          </w:p>
        </w:tc>
        <w:tc>
          <w:tcPr>
            <w:tcW w:w="7760" w:type="dxa"/>
            <w:vAlign w:val="bottom"/>
            <w:gridSpan w:val="3"/>
          </w:tcPr>
          <w:p>
            <w:pPr>
              <w:jc w:val="center"/>
              <w:ind w:right="3390"/>
              <w:spacing w:after="0"/>
              <w:rPr>
                <w:sz w:val="20"/>
                <w:szCs w:val="20"/>
                <w:color w:val="auto"/>
              </w:rPr>
            </w:pPr>
            <w:r>
              <w:rPr>
                <w:rFonts w:ascii="Times New Roman" w:cs="Times New Roman" w:eastAsia="Times New Roman" w:hAnsi="Times New Roman"/>
                <w:sz w:val="15"/>
                <w:szCs w:val="15"/>
                <w:color w:val="auto"/>
              </w:rPr>
              <w:t>TELEPHONE</w:t>
            </w:r>
            <w:r>
              <w:rPr>
                <w:rFonts w:ascii="Times New Roman" w:cs="Times New Roman" w:eastAsia="Times New Roman" w:hAnsi="Times New Roman"/>
                <w:sz w:val="17"/>
                <w:szCs w:val="17"/>
                <w:color w:val="auto"/>
              </w:rPr>
              <w:t>: +1-202-636-5500</w:t>
            </w:r>
          </w:p>
        </w:tc>
      </w:tr>
      <w:tr>
        <w:trPr>
          <w:trHeight w:val="234"/>
        </w:trPr>
        <w:tc>
          <w:tcPr>
            <w:tcW w:w="3480" w:type="dxa"/>
            <w:vAlign w:val="bottom"/>
          </w:tcPr>
          <w:p>
            <w:pPr>
              <w:spacing w:after="0"/>
              <w:rPr>
                <w:sz w:val="20"/>
                <w:szCs w:val="20"/>
                <w:color w:val="auto"/>
              </w:rPr>
            </w:pPr>
          </w:p>
        </w:tc>
        <w:tc>
          <w:tcPr>
            <w:tcW w:w="7760" w:type="dxa"/>
            <w:vAlign w:val="bottom"/>
            <w:gridSpan w:val="3"/>
          </w:tcPr>
          <w:p>
            <w:pPr>
              <w:jc w:val="center"/>
              <w:ind w:right="3370"/>
              <w:spacing w:after="0"/>
              <w:rPr>
                <w:sz w:val="20"/>
                <w:szCs w:val="20"/>
                <w:color w:val="auto"/>
              </w:rPr>
            </w:pPr>
            <w:r>
              <w:rPr>
                <w:rFonts w:ascii="Times New Roman" w:cs="Times New Roman" w:eastAsia="Times New Roman" w:hAnsi="Times New Roman"/>
                <w:sz w:val="15"/>
                <w:szCs w:val="15"/>
                <w:color w:val="auto"/>
              </w:rPr>
              <w:t>FACSIMILE</w:t>
            </w:r>
            <w:r>
              <w:rPr>
                <w:rFonts w:ascii="Times New Roman" w:cs="Times New Roman" w:eastAsia="Times New Roman" w:hAnsi="Times New Roman"/>
                <w:sz w:val="17"/>
                <w:szCs w:val="17"/>
                <w:color w:val="auto"/>
              </w:rPr>
              <w:t>: +1-202-636-5502</w:t>
            </w:r>
          </w:p>
        </w:tc>
      </w:tr>
      <w:tr>
        <w:trPr>
          <w:trHeight w:val="45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Direct Dial Number</w:t>
            </w:r>
          </w:p>
        </w:tc>
        <w:tc>
          <w:tcPr>
            <w:tcW w:w="1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E-mail Address</w:t>
            </w:r>
          </w:p>
        </w:tc>
      </w:tr>
      <w:tr>
        <w:trPr>
          <w:trHeight w:val="33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+1-202-636-5543</w:t>
            </w:r>
          </w:p>
        </w:tc>
        <w:tc>
          <w:tcPr>
            <w:tcW w:w="1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rajib.chanda@stblaw.com</w:t>
            </w:r>
          </w:p>
        </w:tc>
      </w:tr>
      <w:tr>
        <w:trPr>
          <w:trHeight w:val="445"/>
        </w:trPr>
        <w:tc>
          <w:tcPr>
            <w:tcW w:w="3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10, 2024</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Sixth Street Lending Partners</w:t>
            </w:r>
          </w:p>
        </w:tc>
        <w:tc>
          <w:tcPr>
            <w:tcW w:w="1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2100 McKinney Avenue, Suite 1500</w:t>
            </w: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Dallas, TX 75201</w:t>
            </w:r>
          </w:p>
        </w:tc>
        <w:tc>
          <w:tcPr>
            <w:tcW w:w="1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6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auto"/>
        </w:rPr>
        <w:t>We have acted as counsel to Sixth Street Lending Partners, a Delaware statutory trust (the “Company”), in connection with the Registration Statement on Form N-14 (the “Registration Statement”) filed by the Company with the Securities and Exchange Commission (the “Commission”) under the Securities Act of 1933, as amended (the “Securities Act”), relating to the issuance by the Company of (a) up to $750,000,000 aggregate principal amount of 6.500% Notes due 2029 (the “6.500% Exchange Notes”) and (b) up to $600,000,000 aggregate principal amount of 5.750% Notes due 2030 (the “5.750% Exchange Notes” and, together with the 6.500% Exchange Notes, the “Exchange Notes”).</w:t>
      </w:r>
    </w:p>
    <w:p>
      <w:pPr>
        <w:spacing w:after="0" w:line="18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The 6.500% Exchange Notes will be issued pursuant to an indenture, dated as of March 11, 2024 (the “Base Indenture”), the first supplemental indenture, dated as of March 11, 2024, to the Base Indenture (the “First Supplemental Indenture”) and the second supplemental indenture, dated as of June 17, 2024, to the Base Indenture (the “Second Supplemental Indenture”) between the Company and U.S. Bank Trust Company, National Association, as Trustee (the “Trustee”). The 5.750% Exchange Notes will be issued pursuant to the Base Indenture and the third supplemental indenture, dated as of September 16, 2024, to the Base Indenture (the “Third Supplemental Indenture” and, collectively with the Base Indenture, the First Supplemental Indenture and the Second Supplemental Indenture, the “Indenture”) between the Company and the Trustee. The 6.500% Exchange Notes will be offered by the Company in exchange for $750,000,000 aggregate principal amount of the Company’s outstanding 6.500% Notes due 2029, which have not been registered under the Securities Act. The 5.750% Exchange Notes will be offered by the Company in exchange for $600,000,000 aggregate principal amount of the Company’s outstanding 5.750% Notes due 2030, which have not been registered under the Securities Act.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BEIJING   BOSTON   HONG KONG   HOUSTON   LONDON   LOS ANGELES   PALO ALTO   SÃO PAULO   TOKYO   WASHINGTON, D.C.</w:t>
      </w:r>
    </w:p>
    <w:p>
      <w:pPr>
        <w:sectPr>
          <w:pgSz w:w="11900" w:h="16838" w:orient="portrait"/>
          <w:cols w:equalWidth="0" w:num="1">
            <w:col w:w="11240"/>
          </w:cols>
          <w:pgMar w:left="320" w:top="117" w:right="339" w:bottom="1440" w:gutter="0" w:footer="0" w:header="0"/>
        </w:sectPr>
      </w:pPr>
    </w:p>
    <w:bookmarkStart w:id="91" w:name="page92"/>
    <w:bookmarkEnd w:id="91"/>
    <w:p>
      <w:pPr>
        <w:spacing w:after="0"/>
        <w:tabs>
          <w:tab w:leader="none" w:pos="8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Lending Partners</w:t>
      </w:r>
      <w:r>
        <w:rPr>
          <w:sz w:val="20"/>
          <w:szCs w:val="20"/>
          <w:color w:val="auto"/>
        </w:rPr>
        <w:tab/>
      </w:r>
      <w:r>
        <w:rPr>
          <w:rFonts w:ascii="Times New Roman" w:cs="Times New Roman" w:eastAsia="Times New Roman" w:hAnsi="Times New Roman"/>
          <w:sz w:val="17"/>
          <w:szCs w:val="17"/>
          <w:color w:val="auto"/>
        </w:rPr>
        <w:t>Simpson Thacher &amp; Bartlett LLP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158"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We have examined the Registration Statement and the Indenture, which is an exhibit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spacing w:after="0" w:line="180"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the Indenture is the valid and legally binding obligation of the Trustee.</w:t>
      </w:r>
    </w:p>
    <w:p>
      <w:pPr>
        <w:sectPr>
          <w:pgSz w:w="11900" w:h="16838" w:orient="portrait"/>
          <w:cols w:equalWidth="0" w:num="1">
            <w:col w:w="11240"/>
          </w:cols>
          <w:pgMar w:left="320" w:top="270" w:right="339" w:bottom="1440" w:gutter="0" w:footer="0" w:header="0"/>
        </w:sectPr>
      </w:pPr>
    </w:p>
    <w:bookmarkStart w:id="92" w:name="page93"/>
    <w:bookmarkEnd w:id="92"/>
    <w:p>
      <w:pPr>
        <w:spacing w:after="0"/>
        <w:tabs>
          <w:tab w:leader="none" w:pos="8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Lending Partners</w:t>
      </w:r>
      <w:r>
        <w:rPr>
          <w:sz w:val="20"/>
          <w:szCs w:val="20"/>
          <w:color w:val="auto"/>
        </w:rPr>
        <w:tab/>
      </w:r>
      <w:r>
        <w:rPr>
          <w:rFonts w:ascii="Times New Roman" w:cs="Times New Roman" w:eastAsia="Times New Roman" w:hAnsi="Times New Roman"/>
          <w:sz w:val="17"/>
          <w:szCs w:val="17"/>
          <w:color w:val="auto"/>
        </w:rPr>
        <w:t>Simpson Thacher &amp; Bartlett LLP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158"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In rendering the opinion set forth below, we have assumed further that (1) the Company is validly existing and in good standing under the law of the jurisdiction in which it is organized and has duly authorized, executed, issued and delivered the Indenture and the Exchange Notes, as applicable, in accordance with its organizational documents and the law of the jurisdiction in which it is organized, (2) the execution, issuance, delivery and performance by the Company of the Indenture and the Exchange Notes, as applicable, do not constitute a breach or violation of its organizational documents or violate the law of the jurisdiction in which it is organized or any other jurisdiction (except that no such assumption is made with respect to the law of the State of New York) and (3) the execution, issuance, delivery and performance by the Company of the Indenture and the Exchange Notes, as applicable, do not constitute a breach or default under any agreement or instrument which is binding upon the Company.</w:t>
      </w:r>
    </w:p>
    <w:p>
      <w:pPr>
        <w:spacing w:after="0" w:line="18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assumptions and limitations stated herein, we are of the opinion that when the Exchange Notes have been duly executed, authenticated, issued and delivered in accordance with the provisions of the Indenture pursuant to the exchange offers described in the Registration Statement, the Exchange Notes will constitute valid and legally binding obligations of the Company enforceable against the Company in accordance with their terms.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Our opinion set forth above is subject to (i) the effects of bankruptcy, insolvency, fraudulent conveyance, reorganization, moratorium and other</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similar laws relating to or affecting creditors’ rights generally, (ii) general equitable principles (whether considered in a proceeding in equity or at law), and</w:t>
      </w:r>
    </w:p>
    <w:p>
      <w:pPr>
        <w:spacing w:after="0" w:line="21" w:lineRule="exact"/>
        <w:rPr>
          <w:sz w:val="20"/>
          <w:szCs w:val="20"/>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implied covenant of good faith and fair dealing. In addition, we express no opinion as to the validity, legally binding effect or enforceability of</w:t>
      </w:r>
    </w:p>
    <w:p>
      <w:pPr>
        <w:spacing w:after="0" w:line="9" w:lineRule="exact"/>
        <w:rPr>
          <w:rFonts w:ascii="Times New Roman" w:cs="Times New Roman" w:eastAsia="Times New Roman" w:hAnsi="Times New Roman"/>
          <w:sz w:val="18"/>
          <w:szCs w:val="18"/>
          <w:color w:val="auto"/>
        </w:rPr>
      </w:pPr>
    </w:p>
    <w:p>
      <w:pPr>
        <w:ind w:right="460" w:firstLine="8"/>
        <w:spacing w:after="0" w:line="260" w:lineRule="auto"/>
        <w:tabs>
          <w:tab w:leader="none" w:pos="2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waiver of rights and defenses contained in Section 5.14 of the Base Indenture or (ii) Section 1.09 of the Indenture relating to the separability of provisions of the Base Indenture.</w:t>
      </w:r>
    </w:p>
    <w:p>
      <w:pPr>
        <w:sectPr>
          <w:pgSz w:w="11900" w:h="16838" w:orient="portrait"/>
          <w:cols w:equalWidth="0" w:num="1">
            <w:col w:w="11240"/>
          </w:cols>
          <w:pgMar w:left="320" w:top="27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Lending Partners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do not express any opinion herein concerning any law other than the law of the State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Simpson Thacher &amp; Bartlett LLP</w:t>
      </w:r>
    </w:p>
    <w:p>
      <w:pPr>
        <w:sectPr>
          <w:pgSz w:w="11900" w:h="16838" w:orient="portrait"/>
          <w:cols w:equalWidth="0" w:num="2">
            <w:col w:w="8120" w:space="720"/>
            <w:col w:w="2400"/>
          </w:cols>
          <w:pgMar w:left="320" w:top="270" w:right="339" w:bottom="1440" w:gutter="0" w:footer="0" w:header="0"/>
        </w:sectPr>
      </w:pPr>
    </w:p>
    <w:bookmarkStart w:id="94" w:name="page95"/>
    <w:bookmarkEnd w:id="94"/>
    <w:p>
      <w:pPr>
        <w:spacing w:after="0"/>
        <w:tabs>
          <w:tab w:leader="none" w:pos="8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Lending Partners</w:t>
      </w:r>
      <w:r>
        <w:rPr>
          <w:sz w:val="20"/>
          <w:szCs w:val="20"/>
          <w:color w:val="auto"/>
        </w:rPr>
        <w:tab/>
      </w:r>
      <w:r>
        <w:rPr>
          <w:rFonts w:ascii="Times New Roman" w:cs="Times New Roman" w:eastAsia="Times New Roman" w:hAnsi="Times New Roman"/>
          <w:sz w:val="17"/>
          <w:szCs w:val="17"/>
          <w:color w:val="auto"/>
        </w:rPr>
        <w:t>Simpson Thacher &amp; Bartlett LLP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158"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11(b) to the Registration Statement and to the use of our name under the caption “Legal Matters” in the prospectus included in the Registration Statement.</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SIMPSON THACHER &amp; BARTLETT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SIMPSON THACHER &amp; BARTLETT LLP</w:t>
      </w:r>
    </w:p>
    <w:p>
      <w:pPr>
        <w:sectPr>
          <w:pgSz w:w="11900" w:h="16838" w:orient="portrait"/>
          <w:cols w:equalWidth="0" w:num="1">
            <w:col w:w="11240"/>
          </w:cols>
          <w:pgMar w:left="320" w:top="270"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4"/>
          <w:szCs w:val="14"/>
          <w:color w:val="auto"/>
        </w:rPr>
        <w:t>LEXINGTON AVENUE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NEW YORK</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NY </w:t>
      </w:r>
      <w:r>
        <w:rPr>
          <w:rFonts w:ascii="Times New Roman" w:cs="Times New Roman" w:eastAsia="Times New Roman" w:hAnsi="Times New Roman"/>
          <w:sz w:val="17"/>
          <w:szCs w:val="17"/>
          <w:color w:val="auto"/>
        </w:rPr>
        <w:t>10017-3954</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308673534417000</w:t>
      </w:r>
    </w:p>
    <w:p>
      <w:pPr>
        <w:spacing w:after="0" w:line="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-11430</wp:posOffset>
            </wp:positionV>
            <wp:extent cx="274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6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TELEPHONE</w:t>
      </w:r>
      <w:r>
        <w:rPr>
          <w:rFonts w:ascii="Times New Roman" w:cs="Times New Roman" w:eastAsia="Times New Roman" w:hAnsi="Times New Roman"/>
          <w:sz w:val="17"/>
          <w:szCs w:val="17"/>
          <w:color w:val="auto"/>
        </w:rPr>
        <w:t>: +1-212-455-2000</w:t>
      </w:r>
    </w:p>
    <w:p>
      <w:pPr>
        <w:spacing w:after="0" w:line="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5"/>
          <w:szCs w:val="15"/>
          <w:color w:val="auto"/>
        </w:rPr>
        <w:t>FACSIMILE</w:t>
      </w:r>
      <w:r>
        <w:rPr>
          <w:rFonts w:ascii="Times New Roman" w:cs="Times New Roman" w:eastAsia="Times New Roman" w:hAnsi="Times New Roman"/>
          <w:sz w:val="17"/>
          <w:szCs w:val="17"/>
          <w:color w:val="auto"/>
        </w:rPr>
        <w:t>: +1-212-455-2502</w:t>
      </w:r>
    </w:p>
    <w:p>
      <w:pPr>
        <w:spacing w:after="0" w:line="218"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December 10,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We have acted as U.S. counsel to Sixth Street Lending Partners (the “Company”), in connection with the registration statement on Form N-14 (the “Registration Statement”) filed by the Company with the U.S. Securities and Exchange Commission (the “Commission”) under the U.S. Securities Act of 1933, as amended (the “Act”), relating to the Company’s offer to exchange all of its outstanding 6.500% Notes due 2029 and 5.750% Notes due 2030, which were issued in transactions not requiring registration under the Act, for an equal aggregate principal amount of its new 6.500% Notes due 2029 and 5.750% Notes due 2030, respectively, that have been registered with the Commission under the Act.</w:t>
      </w:r>
    </w:p>
    <w:p>
      <w:pPr>
        <w:spacing w:after="0" w:line="183"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We have examined the Registration Statement (including the form of prospectus contained therein (the “Prospectus”)).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 hereinafter set forth. In such examination, we have assumed the accuracy of the factual matters described in the Registration Statement.</w:t>
      </w:r>
    </w:p>
    <w:p>
      <w:pPr>
        <w:spacing w:after="0" w:line="183"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76"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assumptions and limitations stated herein, we are of the opinion that the statements made in the Prospectus under the caption “Certain Material U.S. Federal Income Tax Considerations,” insofar as they purport to constitute summaries of certain provisions of U.S. federal income tax law and regulations or legal conclusions with respect thereto, constitute accurate summaries of such matters in all material respects.</w:t>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do not express any opinion herein concerning any law other than U.S. federal income tax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w:t>
      </w:r>
    </w:p>
    <w:p>
      <w:pPr>
        <w:spacing w:after="0" w:line="25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7"/>
          <w:szCs w:val="17"/>
          <w:color w:val="auto"/>
        </w:rPr>
        <w:t>/s/ SIMPSON THACHER &amp; BARTLETT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24765</wp:posOffset>
            </wp:positionV>
            <wp:extent cx="28460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700"/>
          </w:cols>
          <w:pgMar w:left="780" w:top="270" w:right="141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7"/>
          <w:szCs w:val="17"/>
          <w:color w:val="auto"/>
        </w:rPr>
        <w:t>We consent to the use of our report dated February 16, 2024, with respect to the consolidated financial statements of Sixth Street Lending Partners, incorporated herein by reference, to the use of our report dated December 10, 2024 on the senior securities table of Sixth Street Lending Partners, included herein, and to the references to our firm under the headings “Financial Highlights”, “Senior Securities”, and “Experts” in the Form N-14.</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10, 2024</w:t>
      </w:r>
    </w:p>
    <w:p>
      <w:pPr>
        <w:sectPr>
          <w:pgSz w:w="11900" w:h="16838" w:orient="portrait"/>
          <w:cols w:equalWidth="0" w:num="1">
            <w:col w:w="11020"/>
          </w:cols>
          <w:pgMar w:left="440" w:top="117" w:right="4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(14)(b)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Trustees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in accordance with the standards of the Public Company Accounting Oversight Board (United States) (the PCAOB), the consolidated financial statements of Sixth Street Lending Partners and subsidiaries (the Company) as of December 31, 2023 and 2022, and for the year ended December 31, 2023 and the period from April 5, 2022 (Inception) to December 31, 2022, and our report dated February 16, 2024 expressed an unqualified opinion on those consolidated financial statements. We have not performed any procedures with respect to the audited consolidated financial statements subsequent to February 16, 2024.</w:t>
      </w:r>
    </w:p>
    <w:p>
      <w:pPr>
        <w:spacing w:after="0" w:line="183"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The senior securities information included in the Form N-14 of the Company under the caption “Senior Securities” (the Senior Securities Table), has been subjected to audit procedures performed in conjunction with the audit of the Company’s respective consolidated financial statements. The Senior Securities Table is the responsibility of the Company’s management. Our audit procedures included determining whether the Senior Securities Table reconciles to the respective consolidated financial statements or the underlying accounting and other records, as applicable, and performing procedures to test the completeness and accuracy of the information presented in the Senior Securities Table. In forming our opinion on the Senior Securities Table, we evaluated whether the Senior Securities Table, including its form and content, is presented in conformity with the instructions to Form N-2. In our opinion, the Senior Securities Table is fairly stated, in all material respects, in relation to the respective consolidated financial statements as a whole.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10, 2024</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469"/>
    </w:lvl>
  </w:abstractNum>
  <w:abstractNum w:abstractNumId="1">
    <w:nsid w:val="3A95F874"/>
    <w:multiLevelType w:val="hybridMultilevel"/>
    <w:lvl w:ilvl="0">
      <w:lvlJc w:val="left"/>
      <w:lvlText w:val="(%1)"/>
      <w:numFmt w:val="decimal"/>
      <w:start w:val="5"/>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1)"/>
      <w:numFmt w:val="decimal"/>
      <w:start w:val="3"/>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decimal"/>
      <w:start w:val="2"/>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lowerRoman"/>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6"/>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4"/>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lowerRoman"/>
      <w:start w:val="2"/>
    </w:lvl>
  </w:abstractNum>
  <w:abstractNum w:abstractNumId="39">
    <w:nsid w:val="32FFF902"/>
    <w:multiLevelType w:val="hybridMultilevel"/>
    <w:lvl w:ilvl="0">
      <w:lvlJc w:val="left"/>
      <w:lvlText w:val="(%1)"/>
      <w:numFmt w:val="lowerRoman"/>
      <w:start w:val="3"/>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1)"/>
      <w:numFmt w:val="decimal"/>
      <w:start w:val="469"/>
    </w:lvl>
  </w:abstractNum>
  <w:abstractNum w:abstractNumId="42">
    <w:nsid w:val="749ABB43"/>
    <w:multiLevelType w:val="hybridMultilevel"/>
    <w:lvl w:ilvl="0">
      <w:lvlJc w:val="left"/>
      <w:lvlText w:val="(%1)"/>
      <w:numFmt w:val="decimal"/>
      <w:start w:val="2"/>
    </w:lvl>
  </w:abstractNum>
  <w:abstractNum w:abstractNumId="43">
    <w:nsid w:val="3DC240FB"/>
    <w:multiLevelType w:val="hybridMultilevel"/>
    <w:lvl w:ilvl="0">
      <w:lvlJc w:val="left"/>
      <w:lvlText w:val="(%1)"/>
      <w:numFmt w:val="decimal"/>
      <w:start w:val="4"/>
    </w:lvl>
  </w:abstractNum>
  <w:abstractNum w:abstractNumId="44">
    <w:nsid w:val="1BA026FA"/>
    <w:multiLevelType w:val="hybridMultilevel"/>
    <w:lvl w:ilvl="0">
      <w:lvlJc w:val="left"/>
      <w:lvlText w:val="(%1)"/>
      <w:numFmt w:val="decimal"/>
      <w:start w:val="12"/>
    </w:lvl>
  </w:abstractNum>
  <w:abstractNum w:abstractNumId="45">
    <w:nsid w:val="79A1DEAA"/>
    <w:multiLevelType w:val="hybridMultilevel"/>
    <w:lvl w:ilvl="0">
      <w:lvlJc w:val="left"/>
      <w:lvlText w:val="(%1)"/>
      <w:numFmt w:val="decimal"/>
      <w:start w:val="16"/>
    </w:lvl>
  </w:abstractNum>
  <w:abstractNum w:abstractNumId="46">
    <w:nsid w:val="75C6C33A"/>
    <w:multiLevelType w:val="hybridMultilevel"/>
    <w:lvl w:ilvl="0">
      <w:lvlJc w:val="left"/>
      <w:lvlText w:val="(%1)"/>
      <w:numFmt w:val="decimal"/>
      <w:start w:val="18"/>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decimal"/>
      <w:start w:val="1"/>
    </w:lvl>
    <w:lvl w:ilvl="1">
      <w:lvlJc w:val="left"/>
      <w:lvlText w:val="(%2)"/>
      <w:numFmt w:val="decimal"/>
      <w:start w:val="302"/>
    </w:lvl>
  </w:abstractNum>
  <w:abstractNum w:abstractNumId="50">
    <w:nsid w:val="374A3FE6"/>
    <w:multiLevelType w:val="hybridMultilevel"/>
    <w:lvl w:ilvl="0">
      <w:lvlJc w:val="left"/>
      <w:lvlText w:val="(%1)"/>
      <w:numFmt w:val="decimal"/>
      <w:start w:val="302"/>
    </w:lvl>
    <w:lvl w:ilvl="1">
      <w:lvlJc w:val="left"/>
      <w:lvlText w:val="%2"/>
      <w:numFmt w:val="decimal"/>
      <w:start w:val="1"/>
    </w:lvl>
  </w:abstractNum>
  <w:abstractNum w:abstractNumId="51">
    <w:nsid w:val="4F4EF005"/>
    <w:multiLevelType w:val="hybridMultilevel"/>
    <w:lvl w:ilvl="0">
      <w:lvlJc w:val="left"/>
      <w:lvlText w:val="(%1)"/>
      <w:numFmt w:val="lowerRoman"/>
      <w:start w:val="3"/>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decimal"/>
      <w:start w:val="11"/>
    </w:lvl>
  </w:abstractNum>
  <w:abstractNum w:abstractNumId="55">
    <w:nsid w:val="39386575"/>
    <w:multiLevelType w:val="hybridMultilevel"/>
    <w:lvl w:ilvl="0">
      <w:lvlJc w:val="left"/>
      <w:lvlText w:val="(%1)"/>
      <w:numFmt w:val="lowerRoman"/>
      <w:start w:val="3"/>
    </w:lvl>
  </w:abstractNum>
  <w:abstractNum w:abstractNumId="56">
    <w:nsid w:val="1CF10FD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4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26" Type="http://schemas.openxmlformats.org/officeDocument/2006/relationships/hyperlink" Target="http://www.sec.gov/ix?doc=/Archives/edgar/data/0001925309/000095017024016336/ck0001925309-20231231.htm" TargetMode="External"/><Relationship Id="rId110" Type="http://schemas.openxmlformats.org/officeDocument/2006/relationships/hyperlink" Target="http://www.sec.gov/ix?doc=/Archives/edgar/data/1925309/000095017024016336/ck0001925309-20231231.htm" TargetMode="External"/><Relationship Id="rId111" Type="http://schemas.openxmlformats.org/officeDocument/2006/relationships/hyperlink" Target="http://www.sec.gov/Archives/edgar/data/1925309/000119312522183512/d260658dex104.htm" TargetMode="External"/><Relationship Id="rId118" Type="http://schemas.openxmlformats.org/officeDocument/2006/relationships/hyperlink" Target="http://www.sec.gov/ix?doc=/Archives/edgar/data/1925309/000095017024052859/ck0001925309-20240331.htm" TargetMode="External"/><Relationship Id="rId119" Type="http://schemas.openxmlformats.org/officeDocument/2006/relationships/hyperlink" Target="http://www.sec.gov/ix?doc=/Archives/edgar/data/0001925309/000095017024089930/ck0001925309-20240630.htm" TargetMode="External"/><Relationship Id="rId120" Type="http://schemas.openxmlformats.org/officeDocument/2006/relationships/hyperlink" Target="http://www.sec.gov/ix?doc=/Archives/edgar/data/1925309/000095017024122238/ck0001925309-20240930.htm" TargetMode="External"/><Relationship Id="rId121" Type="http://schemas.openxmlformats.org/officeDocument/2006/relationships/hyperlink" Target="http://www.sec.gov/ix?doc=/Archives/edgar/data/0001925309/000119312524082069/d804794d8k.htm" TargetMode="External"/><Relationship Id="rId122" Type="http://schemas.openxmlformats.org/officeDocument/2006/relationships/hyperlink" Target="http://www.sec.gov/ix?doc=/Archives/edgar/data/0001925309/000119312524161615/d835430d8k.htm" TargetMode="External"/><Relationship Id="rId123" Type="http://schemas.openxmlformats.org/officeDocument/2006/relationships/hyperlink" Target="http://www.sec.gov/ix?doc=/Archives/edgar/data/0001925309/000119312524165652/d859581d8k.htm" TargetMode="External"/><Relationship Id="rId124" Type="http://schemas.openxmlformats.org/officeDocument/2006/relationships/hyperlink" Target="http://www.sec.gov/ix?doc=/Archives/edgar/data/0001925309/000119312524170514/d856505d8k.htm" TargetMode="External"/><Relationship Id="rId125" Type="http://schemas.openxmlformats.org/officeDocument/2006/relationships/hyperlink" Target="http://www.sec.gov/ix?doc=/Archives/edgar/data/0001925309/000119312524218844/d896815d8k.htm" TargetMode="External"/><Relationship Id="rId126" Type="http://schemas.openxmlformats.org/officeDocument/2006/relationships/hyperlink" Target="http://www.sec.gov/ix?doc=/Archives/edgar/data/0001925309/000119312524222899/d887743d8k.htm" TargetMode="External"/><Relationship Id="rId127" Type="http://schemas.openxmlformats.org/officeDocument/2006/relationships/hyperlink" Target="http://www.sec.gov/ix?doc=/Archives/edgar/data/1925309/000119312524227951/d872329d8k.htm" TargetMode="External"/><Relationship Id="rId130" Type="http://schemas.openxmlformats.org/officeDocument/2006/relationships/hyperlink" Target="http://www.sec.gov/Archives/edgar/data/1925309/000119312522226504/d260658dex31.htm" TargetMode="External"/><Relationship Id="rId131" Type="http://schemas.openxmlformats.org/officeDocument/2006/relationships/hyperlink" Target="http://www.sec.gov/Archives/edgar/data/1925309/000119312522183512/d260658dex32.htm" TargetMode="External"/><Relationship Id="rId132" Type="http://schemas.openxmlformats.org/officeDocument/2006/relationships/hyperlink" Target="http://www.sec.gov/Archives/edgar/data/1925309/000119312522183512/d260658dex41.htm" TargetMode="External"/><Relationship Id="rId133" Type="http://schemas.openxmlformats.org/officeDocument/2006/relationships/hyperlink" Target="http://www.sec.gov/Archives/edgar/data/1925309/000119312524069137/d813134dex41.htm" TargetMode="External"/><Relationship Id="rId134" Type="http://schemas.openxmlformats.org/officeDocument/2006/relationships/hyperlink" Target="http://www.sec.gov/Archives/edgar/data/1837532/000119312524074150/d735221dex42.htm" TargetMode="External"/><Relationship Id="rId135" Type="http://schemas.openxmlformats.org/officeDocument/2006/relationships/hyperlink" Target="http://www.sec.gov/Archives/edgar/data/1925309/000119312524165652/d859581dex43.htm" TargetMode="External"/><Relationship Id="rId136" Type="http://schemas.openxmlformats.org/officeDocument/2006/relationships/hyperlink" Target="http://www.sec.gov/Archives/edgar/data/0001925309/000119312524222899/d887743dex42.htm" TargetMode="External"/><Relationship Id="rId137" Type="http://schemas.openxmlformats.org/officeDocument/2006/relationships/hyperlink" Target="http://www.sec.gov/Archives/edgar/data/0001925309/000119312524069137/d813134dex42.htm" TargetMode="External"/><Relationship Id="rId138" Type="http://schemas.openxmlformats.org/officeDocument/2006/relationships/hyperlink" Target="http://www.sec.gov/Archives/edgar/data/0001925309/000119312524069137/d813134dex44.htm" TargetMode="External"/><Relationship Id="rId139" Type="http://schemas.openxmlformats.org/officeDocument/2006/relationships/hyperlink" Target="http://www.sec.gov/Archives/edgar/data/0001925309/000119312524165652/d859581dex45.htm" TargetMode="External"/><Relationship Id="rId140" Type="http://schemas.openxmlformats.org/officeDocument/2006/relationships/hyperlink" Target="http://www.sec.gov/Archives/edgar/data/1925309/000119312524222899/d887743dex44.htm" TargetMode="External"/><Relationship Id="rId141" Type="http://schemas.openxmlformats.org/officeDocument/2006/relationships/hyperlink" Target="http://www.sec.gov/Archives/edgar/data/1925309/000119312522183512/d260658dex101.htm" TargetMode="External"/><Relationship Id="rId142" Type="http://schemas.openxmlformats.org/officeDocument/2006/relationships/hyperlink" Target="http://www.sec.gov/Archives/edgar/data/1925309/000119312522183512/d260658dex102.htm" TargetMode="External"/><Relationship Id="rId144" Type="http://schemas.openxmlformats.org/officeDocument/2006/relationships/hyperlink" Target="http://www.sec.gov/Archives/edgar/data/1925309/000119312522183512/d260658dex105.htm" TargetMode="External"/><Relationship Id="rId145" Type="http://schemas.openxmlformats.org/officeDocument/2006/relationships/hyperlink" Target="http://www.sec.gov/Archives/edgar/data/1925309/000119312522226504/d260658dex106.htm" TargetMode="External"/><Relationship Id="rId146" Type="http://schemas.openxmlformats.org/officeDocument/2006/relationships/hyperlink" Target="http://www.sec.gov/Archives/edgar/data/1925309/000119312522239007/d304088dex101.htm" TargetMode="External"/><Relationship Id="rId147" Type="http://schemas.openxmlformats.org/officeDocument/2006/relationships/hyperlink" Target="http://www.sec.gov/Archives/edgar/data/1925309/000119312522311034/d413255dex101.htm" TargetMode="External"/><Relationship Id="rId148" Type="http://schemas.openxmlformats.org/officeDocument/2006/relationships/hyperlink" Target="http://www.sec.gov/Archives/edgar/data/1925309/000119312523014261/d426575dex101.htm" TargetMode="External"/><Relationship Id="rId149" Type="http://schemas.openxmlformats.org/officeDocument/2006/relationships/hyperlink" Target="http://www.sec.gov/Archives/edgar/data/1925309/000119312524030209/d734650dex101.htm" TargetMode="External"/><Relationship Id="rId150" Type="http://schemas.openxmlformats.org/officeDocument/2006/relationships/hyperlink" Target="http://www.sec.gov/Archives/edgar/data/0001925309/000119312524250213/d899492dex9916.htm" TargetMode="External"/><Relationship Id="rId151" Type="http://schemas.openxmlformats.org/officeDocument/2006/relationships/hyperlink" Target="http://www.sec.gov/Archives/edgar/data/0001925309/000119312524250213/d899492dex9917a.htm" TargetMode="External"/><Relationship Id="rId152" Type="http://schemas.openxmlformats.org/officeDocument/2006/relationships/hyperlink" Target="http://www.sec.gov/Archives/edgar/data/0001925309/000119312524250213/d899492dex9917b.htm" TargetMode="External"/><Relationship Id="rId153" Type="http://schemas.openxmlformats.org/officeDocument/2006/relationships/hyperlink" Target="http://www.sec.gov/Archives/edgar/data/0001925309/000119312524250213/d899492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2024-12-10T16:21:17Z</dcterms:created>
  <dcterms:modified xsi:type="dcterms:W3CDTF">2024-12-10T16:21:17Z</dcterms:modified>
</cp:coreProperties>
</file>