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237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2374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073"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Waxman Alan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400"/>
        <w:spacing w:after="0" w:line="365" w:lineRule="auto"/>
        <w:rPr>
          <w:sz w:val="20"/>
          <w:szCs w:val="20"/>
          <w:color w:val="auto"/>
        </w:rPr>
      </w:pPr>
      <w:r>
        <w:rPr>
          <w:rFonts w:ascii="Times New Roman" w:cs="Times New Roman" w:eastAsia="Times New Roman" w:hAnsi="Times New Roman"/>
          <w:sz w:val="17"/>
          <w:szCs w:val="17"/>
          <w:color w:val="0000FF"/>
        </w:rPr>
        <w:t>C/O SIXTH STREET LENDING PARTNERS 2100 MCKINNEY AVENUE, SUITE 1500</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DALLAS</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75201</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Sixth Street Lending Partners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NONE</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21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3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2160" w:type="dxa"/>
            <w:vAlign w:val="bottom"/>
            <w:gridSpan w:val="2"/>
            <w:vMerge w:val="continue"/>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380" w:type="dxa"/>
            <w:vAlign w:val="bottom"/>
            <w:tcBorders>
              <w:bottom w:val="single" w:sz="8" w:color="0000EE"/>
            </w:tcBorders>
          </w:tcPr>
          <w:p>
            <w:pPr>
              <w:spacing w:after="0"/>
              <w:rPr>
                <w:sz w:val="3"/>
                <w:szCs w:val="3"/>
                <w:color w:val="auto"/>
              </w:rPr>
            </w:pPr>
          </w:p>
        </w:tc>
        <w:tc>
          <w:tcPr>
            <w:tcW w:w="1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9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140" w:type="dxa"/>
            <w:vAlign w:val="bottom"/>
            <w:vMerge w:val="restart"/>
          </w:tcPr>
          <w:p>
            <w:pPr>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96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8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380" w:type="dxa"/>
            <w:vAlign w:val="bottom"/>
            <w:tcBorders>
              <w:bottom w:val="single" w:sz="8" w:color="2C2C2C"/>
            </w:tcBorders>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200" w:type="dxa"/>
            <w:vAlign w:val="bottom"/>
          </w:tcPr>
          <w:p>
            <w:pPr>
              <w:spacing w:after="0"/>
              <w:rPr>
                <w:sz w:val="2"/>
                <w:szCs w:val="2"/>
                <w:color w:val="auto"/>
              </w:rPr>
            </w:pPr>
          </w:p>
        </w:tc>
        <w:tc>
          <w:tcPr>
            <w:tcW w:w="196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2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0"/>
                <w:szCs w:val="10"/>
                <w:color w:val="auto"/>
              </w:rPr>
            </w:pPr>
          </w:p>
        </w:tc>
        <w:tc>
          <w:tcPr>
            <w:tcW w:w="196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960" w:type="dxa"/>
            <w:vAlign w:val="bottom"/>
            <w:vMerge w:val="restart"/>
          </w:tcPr>
          <w:p>
            <w:pPr>
              <w:ind w:left="960"/>
              <w:spacing w:after="0"/>
              <w:rPr>
                <w:sz w:val="20"/>
                <w:szCs w:val="20"/>
                <w:color w:val="auto"/>
              </w:rPr>
            </w:pPr>
            <w:r>
              <w:rPr>
                <w:rFonts w:ascii="Times New Roman" w:cs="Times New Roman" w:eastAsia="Times New Roman" w:hAnsi="Times New Roman"/>
                <w:sz w:val="17"/>
                <w:szCs w:val="17"/>
                <w:color w:val="0000FF"/>
                <w:w w:val="98"/>
              </w:rPr>
              <w:t>Vice President</w:t>
            </w: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6"/>
        </w:trPr>
        <w:tc>
          <w:tcPr>
            <w:tcW w:w="25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12/17/2024</w:t>
            </w: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60" w:type="dxa"/>
            <w:vAlign w:val="bottom"/>
            <w:vMerge w:val="continue"/>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38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80"/>
            <w:col w:w="7240"/>
          </w:cols>
          <w:pgMar w:left="460" w:top="219" w:right="359" w:bottom="1073"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7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40" w:type="dxa"/>
            <w:vAlign w:val="bottom"/>
            <w:gridSpan w:val="2"/>
          </w:tcPr>
          <w:p>
            <w:pPr>
              <w:ind w:left="3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60" w:type="dxa"/>
            <w:vAlign w:val="bottom"/>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44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00" w:type="dxa"/>
            <w:vAlign w:val="bottom"/>
            <w:tcBorders>
              <w:bottom w:val="single" w:sz="8" w:color="2C2C2C"/>
            </w:tcBorders>
            <w:gridSpan w:val="3"/>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7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shares of beneficial interest,</w:t>
            </w:r>
          </w:p>
        </w:tc>
        <w:tc>
          <w:tcPr>
            <w:tcW w:w="14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0000FF"/>
              </w:rPr>
              <w:t>12/17/2024</w:t>
            </w: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P</w:t>
            </w:r>
          </w:p>
        </w:tc>
        <w:tc>
          <w:tcPr>
            <w:tcW w:w="800" w:type="dxa"/>
            <w:vAlign w:val="bottom"/>
            <w:vMerge w:val="restart"/>
          </w:tcPr>
          <w:p>
            <w:pPr>
              <w:jc w:val="right"/>
              <w:ind w:right="13"/>
              <w:spacing w:after="0"/>
              <w:rPr>
                <w:sz w:val="20"/>
                <w:szCs w:val="20"/>
                <w:color w:val="auto"/>
              </w:rPr>
            </w:pPr>
            <w:r>
              <w:rPr>
                <w:rFonts w:ascii="Times New Roman" w:cs="Times New Roman" w:eastAsia="Times New Roman" w:hAnsi="Times New Roman"/>
                <w:sz w:val="17"/>
                <w:szCs w:val="17"/>
                <w:color w:val="0000FF"/>
              </w:rPr>
              <w:t>2,620,037</w:t>
            </w:r>
          </w:p>
        </w:tc>
        <w:tc>
          <w:tcPr>
            <w:tcW w:w="42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720" w:type="dxa"/>
            <w:vAlign w:val="bottom"/>
            <w:gridSpan w:val="3"/>
            <w:vMerge w:val="restart"/>
          </w:tcPr>
          <w:p>
            <w:pPr>
              <w:ind w:left="1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29.37</w:t>
            </w:r>
          </w:p>
        </w:tc>
        <w:tc>
          <w:tcPr>
            <w:tcW w:w="12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7"/>
                <w:szCs w:val="17"/>
                <w:color w:val="0000FF"/>
              </w:rPr>
              <w:t>10,471,527</w:t>
            </w:r>
          </w:p>
        </w:tc>
        <w:tc>
          <w:tcPr>
            <w:tcW w:w="320" w:type="dxa"/>
            <w:vAlign w:val="bottom"/>
          </w:tcPr>
          <w:p>
            <w:pPr>
              <w:spacing w:after="0"/>
              <w:rPr>
                <w:sz w:val="21"/>
                <w:szCs w:val="21"/>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par value $0.001</w:t>
            </w:r>
          </w:p>
        </w:tc>
        <w:tc>
          <w:tcPr>
            <w:tcW w:w="1180" w:type="dxa"/>
            <w:vAlign w:val="bottom"/>
          </w:tcPr>
          <w:p>
            <w:pPr>
              <w:spacing w:after="0"/>
              <w:rPr>
                <w:sz w:val="10"/>
                <w:szCs w:val="10"/>
                <w:color w:val="auto"/>
              </w:rPr>
            </w:pPr>
          </w:p>
        </w:tc>
        <w:tc>
          <w:tcPr>
            <w:tcW w:w="1440" w:type="dxa"/>
            <w:vAlign w:val="bottom"/>
            <w:gridSpan w:val="2"/>
            <w:vMerge w:val="continue"/>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720" w:type="dxa"/>
            <w:vAlign w:val="bottom"/>
            <w:gridSpan w:val="3"/>
            <w:vMerge w:val="continue"/>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520" w:type="dxa"/>
            <w:vAlign w:val="bottom"/>
            <w:tcBorders>
              <w:bottom w:val="single" w:sz="8" w:color="2C2C2C"/>
            </w:tcBorders>
            <w:gridSpan w:val="2"/>
            <w:vMerge w:val="continue"/>
          </w:tcPr>
          <w:p>
            <w:pPr>
              <w:spacing w:after="0"/>
              <w:rPr>
                <w:sz w:val="14"/>
                <w:szCs w:val="14"/>
                <w:color w:val="auto"/>
              </w:rPr>
            </w:pPr>
          </w:p>
        </w:tc>
        <w:tc>
          <w:tcPr>
            <w:tcW w:w="1180" w:type="dxa"/>
            <w:vAlign w:val="bottom"/>
            <w:tcBorders>
              <w:bottom w:val="single" w:sz="8" w:color="2C2C2C"/>
            </w:tcBorders>
          </w:tcPr>
          <w:p>
            <w:pPr>
              <w:spacing w:after="0"/>
              <w:rPr>
                <w:sz w:val="14"/>
                <w:szCs w:val="14"/>
                <w:color w:val="auto"/>
              </w:rPr>
            </w:pPr>
          </w:p>
        </w:tc>
        <w:tc>
          <w:tcPr>
            <w:tcW w:w="106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7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shares of beneficial interest,</w:t>
            </w:r>
          </w:p>
        </w:tc>
        <w:tc>
          <w:tcPr>
            <w:tcW w:w="14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0000FF"/>
              </w:rPr>
              <w:t>12/17/2024</w:t>
            </w: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P</w:t>
            </w:r>
          </w:p>
        </w:tc>
        <w:tc>
          <w:tcPr>
            <w:tcW w:w="800" w:type="dxa"/>
            <w:vAlign w:val="bottom"/>
            <w:vMerge w:val="restart"/>
          </w:tcPr>
          <w:p>
            <w:pPr>
              <w:jc w:val="right"/>
              <w:ind w:right="73"/>
              <w:spacing w:after="0"/>
              <w:rPr>
                <w:sz w:val="20"/>
                <w:szCs w:val="20"/>
                <w:color w:val="auto"/>
              </w:rPr>
            </w:pPr>
            <w:r>
              <w:rPr>
                <w:rFonts w:ascii="Times New Roman" w:cs="Times New Roman" w:eastAsia="Times New Roman" w:hAnsi="Times New Roman"/>
                <w:sz w:val="17"/>
                <w:szCs w:val="17"/>
                <w:color w:val="0000FF"/>
              </w:rPr>
              <w:t>477,048</w:t>
            </w:r>
          </w:p>
        </w:tc>
        <w:tc>
          <w:tcPr>
            <w:tcW w:w="42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720" w:type="dxa"/>
            <w:vAlign w:val="bottom"/>
            <w:gridSpan w:val="3"/>
            <w:vMerge w:val="restart"/>
          </w:tcPr>
          <w:p>
            <w:pPr>
              <w:ind w:left="1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29.37</w:t>
            </w:r>
          </w:p>
        </w:tc>
        <w:tc>
          <w:tcPr>
            <w:tcW w:w="12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7"/>
                <w:szCs w:val="17"/>
                <w:color w:val="0000FF"/>
              </w:rPr>
              <w:t>1,875,196</w:t>
            </w:r>
          </w:p>
        </w:tc>
        <w:tc>
          <w:tcPr>
            <w:tcW w:w="320" w:type="dxa"/>
            <w:vAlign w:val="bottom"/>
          </w:tcPr>
          <w:p>
            <w:pPr>
              <w:spacing w:after="0"/>
              <w:rPr>
                <w:sz w:val="21"/>
                <w:szCs w:val="21"/>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par value $0.001</w:t>
            </w:r>
          </w:p>
        </w:tc>
        <w:tc>
          <w:tcPr>
            <w:tcW w:w="1180" w:type="dxa"/>
            <w:vAlign w:val="bottom"/>
          </w:tcPr>
          <w:p>
            <w:pPr>
              <w:spacing w:after="0"/>
              <w:rPr>
                <w:sz w:val="10"/>
                <w:szCs w:val="10"/>
                <w:color w:val="auto"/>
              </w:rPr>
            </w:pPr>
          </w:p>
        </w:tc>
        <w:tc>
          <w:tcPr>
            <w:tcW w:w="1440" w:type="dxa"/>
            <w:vAlign w:val="bottom"/>
            <w:gridSpan w:val="2"/>
            <w:vMerge w:val="continue"/>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720" w:type="dxa"/>
            <w:vAlign w:val="bottom"/>
            <w:gridSpan w:val="3"/>
            <w:vMerge w:val="continue"/>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04"/>
        </w:trPr>
        <w:tc>
          <w:tcPr>
            <w:tcW w:w="20" w:type="dxa"/>
            <w:vAlign w:val="bottom"/>
            <w:tcBorders>
              <w:bottom w:val="single" w:sz="8" w:color="2C2C2C"/>
            </w:tcBorders>
          </w:tcPr>
          <w:p>
            <w:pPr>
              <w:spacing w:after="0"/>
              <w:rPr>
                <w:sz w:val="17"/>
                <w:szCs w:val="17"/>
                <w:color w:val="auto"/>
              </w:rPr>
            </w:pPr>
          </w:p>
        </w:tc>
        <w:tc>
          <w:tcPr>
            <w:tcW w:w="1520" w:type="dxa"/>
            <w:vAlign w:val="bottom"/>
            <w:tcBorders>
              <w:bottom w:val="single" w:sz="8" w:color="2C2C2C"/>
            </w:tcBorders>
            <w:gridSpan w:val="2"/>
            <w:vMerge w:val="continue"/>
          </w:tcPr>
          <w:p>
            <w:pPr>
              <w:spacing w:after="0"/>
              <w:rPr>
                <w:sz w:val="17"/>
                <w:szCs w:val="17"/>
                <w:color w:val="auto"/>
              </w:rPr>
            </w:pPr>
          </w:p>
        </w:tc>
        <w:tc>
          <w:tcPr>
            <w:tcW w:w="118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380" w:type="dxa"/>
            <w:vAlign w:val="bottom"/>
            <w:tcBorders>
              <w:bottom w:val="single" w:sz="8" w:color="2C2C2C"/>
            </w:tcBorders>
          </w:tcPr>
          <w:p>
            <w:pPr>
              <w:spacing w:after="0"/>
              <w:rPr>
                <w:sz w:val="17"/>
                <w:szCs w:val="17"/>
                <w:color w:val="auto"/>
              </w:rPr>
            </w:pPr>
          </w:p>
        </w:tc>
        <w:tc>
          <w:tcPr>
            <w:tcW w:w="44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42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32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100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8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220" w:type="dxa"/>
            <w:vAlign w:val="bottom"/>
            <w:gridSpan w:val="10"/>
          </w:tcPr>
          <w:p>
            <w:pPr>
              <w:ind w:left="4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60" w:type="dxa"/>
            <w:vAlign w:val="bottom"/>
          </w:tcPr>
          <w:p>
            <w:pPr>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60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derivative</w:t>
            </w:r>
          </w:p>
        </w:tc>
        <w:tc>
          <w:tcPr>
            <w:tcW w:w="32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Securities</w:t>
            </w:r>
          </w:p>
        </w:tc>
        <w:tc>
          <w:tcPr>
            <w:tcW w:w="320" w:type="dxa"/>
            <w:vAlign w:val="bottom"/>
          </w:tcPr>
          <w:p>
            <w:pPr>
              <w:spacing w:after="0"/>
              <w:rPr>
                <w:sz w:val="11"/>
                <w:szCs w:val="11"/>
                <w:color w:val="auto"/>
              </w:rPr>
            </w:pPr>
          </w:p>
        </w:tc>
        <w:tc>
          <w:tcPr>
            <w:tcW w:w="5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Following</w:t>
            </w:r>
          </w:p>
        </w:tc>
        <w:tc>
          <w:tcPr>
            <w:tcW w:w="32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80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4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directly by Sixth Street Lending Partners Note Issuer, LLC ("Note Issuer"). Note Issuer is controlled by its members, which are indirectly controlled by TAO Sutton Holdings, LLC. TAO Insurance Holdings, LLC is the managing member of TAO Sutton Holdings, LLC. A. Michael Muscolino is the managing member of TAO Insurance Holdings, LLC. Pursuant to the limited liability company agreement of TAO Insurance Holdings, LLC, Alan Waxman, as designated member of TAO Insurance Holdings, LLC has the authority to appoint the managing member of TAO Insurance Holdings, LLC.</w:t>
      </w:r>
    </w:p>
    <w:p>
      <w:pPr>
        <w:spacing w:after="0" w:line="24" w:lineRule="exact"/>
        <w:rPr>
          <w:rFonts w:ascii="Times New Roman" w:cs="Times New Roman" w:eastAsia="Times New Roman" w:hAnsi="Times New Roman"/>
          <w:sz w:val="13"/>
          <w:szCs w:val="13"/>
          <w:color w:val="008000"/>
        </w:rPr>
      </w:pPr>
    </w:p>
    <w:p>
      <w:pPr>
        <w:ind w:left="40" w:right="2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directly by Sixth Street Lending Partners Advisers, LLC ("Adviser"). Adviser is managed by TSSP HoldCo Management, LLC ("Holdco Management"). Holdco Management is managed by a board of directors, which is currently comprised of Mr. Waxman. Mr. Waxman is the CEO and Managing Partner of Holdco Management.</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jc w:val="both"/>
        <w:ind w:left="40" w:right="240"/>
        <w:spacing w:after="0" w:line="253" w:lineRule="auto"/>
        <w:rPr>
          <w:sz w:val="20"/>
          <w:szCs w:val="20"/>
          <w:color w:val="auto"/>
        </w:rPr>
      </w:pPr>
      <w:r>
        <w:rPr>
          <w:rFonts w:ascii="Times New Roman" w:cs="Times New Roman" w:eastAsia="Times New Roman" w:hAnsi="Times New Roman"/>
          <w:sz w:val="13"/>
          <w:szCs w:val="13"/>
          <w:color w:val="008000"/>
        </w:rPr>
        <w:t>Mr. Waxman disclaims beneficial ownership of the securities reported herein, except to the extent of his pecuniary interest therein, and, pursuant to Rule 16a-1(a)(4) under the Securities Exchange Act of 1934, Mr. Waxman states that the inclusion of these securities in this report shall not be deemed an admission of beneficial ownership of all of the reported securities for purposes of Section 16 or for any other purpose.</w:t>
      </w:r>
    </w:p>
    <w:p>
      <w:pPr>
        <w:spacing w:after="0" w:line="4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Joshua Peck, Name: Joshua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47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747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Peck, Title: Joshua Peck, on</w:t>
        <w:tab/>
        <w:t>12/19/2024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behalf of Alan Waxman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0509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05092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07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515132" TargetMode="External"/><Relationship Id="rId14" Type="http://schemas.openxmlformats.org/officeDocument/2006/relationships/hyperlink" Target="http://www.sec.gov/cgi-bin/browse-edgar?action=getcompany&amp;CIK=000192530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2024-12-19T15:41:19Z</dcterms:created>
  <dcterms:modified xsi:type="dcterms:W3CDTF">2024-12-19T15:41:19Z</dcterms:modified>
</cp:coreProperties>
</file>