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960" w:right="180" w:hanging="855"/>
        <w:spacing w:after="0" w:line="256" w:lineRule="auto"/>
        <w:tabs>
          <w:tab w:leader="none" w:pos="9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960" w:right="140" w:hanging="855"/>
        <w:spacing w:after="0" w:line="256" w:lineRule="auto"/>
        <w:tabs>
          <w:tab w:leader="none" w:pos="9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Sixth Street Lending Partners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9"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61"/>
              <w:spacing w:after="0"/>
              <w:rPr>
                <w:sz w:val="20"/>
                <w:szCs w:val="20"/>
                <w:color w:val="auto"/>
              </w:rPr>
            </w:pPr>
            <w:r>
              <w:rPr>
                <w:rFonts w:ascii="Arial" w:cs="Arial" w:eastAsia="Arial" w:hAnsi="Arial"/>
                <w:sz w:val="18"/>
                <w:szCs w:val="18"/>
                <w:b w:val="1"/>
                <w:bCs w:val="1"/>
                <w:color w:val="auto"/>
              </w:rPr>
              <w:t>88-1710161</w:t>
            </w:r>
          </w:p>
        </w:tc>
      </w:tr>
      <w:tr>
        <w:trPr>
          <w:trHeight w:val="153"/>
        </w:trPr>
        <w:tc>
          <w:tcPr>
            <w:tcW w:w="4580" w:type="dxa"/>
            <w:vAlign w:val="bottom"/>
          </w:tcPr>
          <w:p>
            <w:pPr>
              <w:jc w:val="center"/>
              <w:ind w:right="173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739"/>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6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58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80" w:type="dxa"/>
            <w:vAlign w:val="bottom"/>
          </w:tcPr>
          <w:p>
            <w:pPr>
              <w:spacing w:after="0"/>
              <w:rPr>
                <w:sz w:val="24"/>
                <w:szCs w:val="24"/>
                <w:color w:val="auto"/>
              </w:rPr>
            </w:pPr>
          </w:p>
        </w:tc>
      </w:tr>
      <w:tr>
        <w:trPr>
          <w:trHeight w:val="234"/>
        </w:trPr>
        <w:tc>
          <w:tcPr>
            <w:tcW w:w="4580" w:type="dxa"/>
            <w:vAlign w:val="bottom"/>
          </w:tcPr>
          <w:p>
            <w:pPr>
              <w:jc w:val="center"/>
              <w:ind w:right="1759"/>
              <w:spacing w:after="0"/>
              <w:rPr>
                <w:sz w:val="20"/>
                <w:szCs w:val="20"/>
                <w:color w:val="auto"/>
              </w:rPr>
            </w:pPr>
            <w:r>
              <w:rPr>
                <w:rFonts w:ascii="Arial" w:cs="Arial" w:eastAsia="Arial" w:hAnsi="Arial"/>
                <w:sz w:val="18"/>
                <w:szCs w:val="18"/>
                <w:b w:val="1"/>
                <w:bCs w:val="1"/>
                <w:color w:val="auto"/>
                <w:w w:val="95"/>
              </w:rPr>
              <w:t>Dallas, TX</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90"/>
        </w:trPr>
        <w:tc>
          <w:tcPr>
            <w:tcW w:w="458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6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2900" w:type="dxa"/>
            <w:vAlign w:val="bottom"/>
            <w:tcBorders>
              <w:bottom w:val="single" w:sz="8" w:color="auto"/>
            </w:tcBorders>
          </w:tcPr>
          <w:p>
            <w:pPr>
              <w:jc w:val="center"/>
              <w:ind w:left="739"/>
              <w:spacing w:after="0"/>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Trading Symbol</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439"/>
        </w:trPr>
        <w:tc>
          <w:tcPr>
            <w:tcW w:w="2900" w:type="dxa"/>
            <w:vAlign w:val="bottom"/>
          </w:tcPr>
          <w:p>
            <w:pPr>
              <w:jc w:val="center"/>
              <w:ind w:left="739"/>
              <w:spacing w:after="0"/>
              <w:rPr>
                <w:sz w:val="20"/>
                <w:szCs w:val="20"/>
                <w:color w:val="auto"/>
              </w:rPr>
            </w:pPr>
            <w:r>
              <w:rPr>
                <w:rFonts w:ascii="Arial" w:cs="Arial" w:eastAsia="Arial" w:hAnsi="Arial"/>
                <w:sz w:val="18"/>
                <w:szCs w:val="18"/>
                <w:b w:val="1"/>
                <w:bCs w:val="1"/>
                <w:color w:val="auto"/>
                <w:w w:val="88"/>
              </w:rPr>
              <w:t>None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None</w:t>
            </w:r>
          </w:p>
        </w:tc>
        <w:tc>
          <w:tcPr>
            <w:tcW w:w="3260" w:type="dxa"/>
            <w:vAlign w:val="bottom"/>
          </w:tcPr>
          <w:p>
            <w:pPr>
              <w:ind w:left="1200"/>
              <w:spacing w:after="0"/>
              <w:rPr>
                <w:sz w:val="20"/>
                <w:szCs w:val="20"/>
                <w:color w:val="auto"/>
              </w:rPr>
            </w:pPr>
            <w:r>
              <w:rPr>
                <w:rFonts w:ascii="Arial" w:cs="Arial" w:eastAsia="Arial" w:hAnsi="Arial"/>
                <w:sz w:val="18"/>
                <w:szCs w:val="18"/>
                <w:b w:val="1"/>
                <w:bCs w:val="1"/>
                <w:color w:val="auto"/>
              </w:rPr>
              <w:t>None</w:t>
            </w:r>
          </w:p>
        </w:tc>
      </w:tr>
      <w:tr>
        <w:trPr>
          <w:trHeight w:val="445"/>
        </w:trPr>
        <w:tc>
          <w:tcPr>
            <w:tcW w:w="2900" w:type="dxa"/>
            <w:vAlign w:val="bottom"/>
          </w:tcPr>
          <w:p>
            <w:pPr>
              <w:spacing w:after="0"/>
              <w:rPr>
                <w:sz w:val="24"/>
                <w:szCs w:val="24"/>
                <w:color w:val="auto"/>
              </w:rPr>
            </w:pPr>
          </w:p>
        </w:tc>
        <w:tc>
          <w:tcPr>
            <w:tcW w:w="504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2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Common shares of beneficial interest, par value $0.001 per share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right="20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4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674" w:right="359" w:bottom="1440" w:gutter="0" w:footer="0" w:header="0"/>
        </w:sectPr>
      </w:pPr>
    </w:p>
    <w:p>
      <w:pPr>
        <w:spacing w:after="0" w:line="98" w:lineRule="exact"/>
        <w:rPr>
          <w:sz w:val="24"/>
          <w:szCs w:val="24"/>
          <w:color w:val="auto"/>
        </w:rPr>
      </w:pPr>
    </w:p>
    <w:p>
      <w:pPr>
        <w:ind w:left="20"/>
        <w:spacing w:after="0" w:line="161" w:lineRule="exact"/>
        <w:tabs>
          <w:tab w:leader="none" w:pos="288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81" w:lineRule="exact"/>
        <w:rPr>
          <w:sz w:val="24"/>
          <w:szCs w:val="24"/>
          <w:color w:val="auto"/>
        </w:rPr>
      </w:pPr>
    </w:p>
    <w:p>
      <w:pPr>
        <w:ind w:left="20"/>
        <w:spacing w:after="0" w:line="161" w:lineRule="exact"/>
        <w:tabs>
          <w:tab w:leader="none" w:pos="288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5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82"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060"/>
        <w:spacing w:after="0" w:line="22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$.001 par value per share, outstanding at August 4, 2023 was 34,695,429.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48" w:lineRule="exact"/>
        <w:rPr>
          <w:sz w:val="24"/>
          <w:szCs w:val="24"/>
          <w:color w:val="auto"/>
        </w:rPr>
      </w:pPr>
    </w:p>
    <w:p>
      <w:pPr>
        <w:sectPr>
          <w:pgSz w:w="11900" w:h="16838" w:orient="portrait"/>
          <w:cols w:equalWidth="0" w:num="2">
            <w:col w:w="10680" w:space="100"/>
            <w:col w:w="440"/>
          </w:cols>
          <w:pgMar w:left="320" w:top="674" w:right="359" w:bottom="1440" w:gutter="0" w:footer="0" w:header="0"/>
          <w:type w:val="continuous"/>
        </w:sect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4" w:right="3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20" w:type="dxa"/>
            <w:vAlign w:val="bottom"/>
            <w:gridSpan w:val="7"/>
            <w:vMerge w:val="restart"/>
          </w:tcPr>
          <w:p>
            <w:pPr>
              <w:jc w:val="center"/>
              <w:ind w:right="4080"/>
              <w:spacing w:after="0"/>
              <w:rPr>
                <w:sz w:val="20"/>
                <w:szCs w:val="20"/>
                <w:color w:val="auto"/>
              </w:rPr>
            </w:pPr>
            <w:r>
              <w:rPr>
                <w:rFonts w:ascii="Arial" w:cs="Arial" w:eastAsia="Arial" w:hAnsi="Arial"/>
                <w:sz w:val="14"/>
                <w:szCs w:val="14"/>
                <w:b w:val="1"/>
                <w:bCs w:val="1"/>
                <w:color w:val="auto"/>
              </w:rPr>
              <w:t>INDEX</w:t>
            </w:r>
          </w:p>
        </w:tc>
        <w:tc>
          <w:tcPr>
            <w:tcW w:w="1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0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PART I.</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FINANCIAL INFORMATION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Financial Statements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Consolidated Balance Sheet as of June 30, 2023 (Unaudited) and December 31, 2022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Consolidated Statements of Operations for the three and six months ended June 30, 2023 (Unaudited)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Consolidated Schedule of Investments as of June 30, 2023 (Unaudited) and December 31, 2022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w w:val="99"/>
              </w:rPr>
              <w:t>Consolidated Statements of Changes in Net Assets for the three and six months ended June 30, 2023 (Unaudited)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Consolidated Statement of Cash Flows for the three and six months ended June 30, 2023 (Unaudited)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760" w:type="dxa"/>
            <w:vAlign w:val="bottom"/>
            <w:tcBorders>
              <w:left w:val="single" w:sz="8" w:color="0000FF"/>
            </w:tcBorders>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PART II.</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78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Mine Safety Disclosures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00" w:type="dxa"/>
            <w:vAlign w:val="bottom"/>
            <w:gridSpan w:val="1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906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100" w:type="dxa"/>
            <w:vAlign w:val="bottom"/>
            <w:gridSpan w:val="11"/>
          </w:tcPr>
          <w:p>
            <w:pPr>
              <w:jc w:val="right"/>
              <w:ind w:right="15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20" w:right="120" w:hanging="257"/>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which could impair our portfolio companies’ abilities to continue to operate and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200" w:hanging="257"/>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17" w:lineRule="exact"/>
        <w:rPr>
          <w:rFonts w:ascii="Arial" w:cs="Arial" w:eastAsia="Arial" w:hAnsi="Arial"/>
          <w:sz w:val="18"/>
          <w:szCs w:val="18"/>
          <w:color w:val="auto"/>
        </w:rPr>
      </w:pPr>
    </w:p>
    <w:p>
      <w:pPr>
        <w:ind w:left="520" w:right="180" w:hanging="257"/>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62" w:lineRule="exact"/>
        <w:rPr>
          <w:rFonts w:ascii="Arial" w:cs="Arial" w:eastAsia="Arial" w:hAnsi="Arial"/>
          <w:sz w:val="18"/>
          <w:szCs w:val="18"/>
          <w:color w:val="auto"/>
        </w:rPr>
      </w:pPr>
    </w:p>
    <w:p>
      <w:pPr>
        <w:ind w:left="520" w:right="80" w:hanging="257"/>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2022, filed with the SEC on February 17, 2023, and elsewhere in our filings with the SEC.</w:t>
      </w:r>
    </w:p>
    <w:p>
      <w:pPr>
        <w:spacing w:after="0" w:line="170"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“TSLX” and “TAO” marks are marks of Sixth Street.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51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r>
      <w:tr>
        <w:trPr>
          <w:trHeight w:val="185"/>
        </w:trPr>
        <w:tc>
          <w:tcPr>
            <w:tcW w:w="7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Non-controlled, non-affiliated investments (amortized cost of $1,744,507 and $809,029,</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1,758,911</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140" w:type="dxa"/>
            <w:vAlign w:val="bottom"/>
            <w:shd w:val="clear" w:color="auto" w:fill="CFF0FC"/>
          </w:tcPr>
          <w:p>
            <w:pPr>
              <w:spacing w:after="0"/>
              <w:rPr>
                <w:sz w:val="21"/>
                <w:szCs w:val="21"/>
                <w:color w:val="auto"/>
              </w:rPr>
            </w:pP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288,203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274,612</w:t>
            </w:r>
          </w:p>
        </w:tc>
        <w:tc>
          <w:tcPr>
            <w:tcW w:w="140" w:type="dxa"/>
            <w:vAlign w:val="bottom"/>
          </w:tcPr>
          <w:p>
            <w:pPr>
              <w:spacing w:after="0"/>
              <w:rPr>
                <w:sz w:val="20"/>
                <w:szCs w:val="20"/>
                <w:color w:val="auto"/>
              </w:rPr>
            </w:pPr>
          </w:p>
        </w:tc>
      </w:tr>
      <w:tr>
        <w:trPr>
          <w:trHeight w:val="249"/>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40" w:type="dxa"/>
            <w:vAlign w:val="bottom"/>
            <w:shd w:val="clear" w:color="auto" w:fill="CFF0FC"/>
          </w:tcPr>
          <w:p>
            <w:pPr>
              <w:spacing w:after="0"/>
              <w:rPr>
                <w:sz w:val="21"/>
                <w:szCs w:val="21"/>
                <w:color w:val="auto"/>
              </w:rPr>
            </w:pP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21"/>
                <w:szCs w:val="21"/>
                <w:color w:val="auto"/>
              </w:rPr>
            </w:pPr>
          </w:p>
        </w:tc>
      </w:tr>
      <w:tr>
        <w:trPr>
          <w:trHeight w:val="277"/>
        </w:trPr>
        <w:tc>
          <w:tcPr>
            <w:tcW w:w="7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2,063,418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1,091,712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(net of deferred financing costs of $10,222 and $3,911, 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1,110,299</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534,080</w:t>
            </w:r>
          </w:p>
        </w:tc>
        <w:tc>
          <w:tcPr>
            <w:tcW w:w="140" w:type="dxa"/>
            <w:vAlign w:val="bottom"/>
            <w:shd w:val="clear" w:color="auto" w:fill="CFF0FC"/>
          </w:tcPr>
          <w:p>
            <w:pPr>
              <w:spacing w:after="0"/>
              <w:rPr>
                <w:sz w:val="21"/>
                <w:szCs w:val="21"/>
                <w:color w:val="auto"/>
              </w:rPr>
            </w:pP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20"/>
                <w:szCs w:val="20"/>
                <w:color w:val="auto"/>
              </w:rPr>
            </w:pPr>
          </w:p>
        </w:tc>
      </w:tr>
      <w:tr>
        <w:trPr>
          <w:trHeight w:val="249"/>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Incentive fees on net investment income payable to affiliate</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CFF0FC"/>
          </w:tcPr>
          <w:p>
            <w:pPr>
              <w:spacing w:after="0"/>
              <w:rPr>
                <w:sz w:val="21"/>
                <w:szCs w:val="21"/>
                <w:color w:val="auto"/>
              </w:rPr>
            </w:pP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Incentive fees on net capital gains accrued to affiliate</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payables to affiliate</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FF0FC"/>
          </w:tcPr>
          <w:p>
            <w:pPr>
              <w:spacing w:after="0"/>
              <w:rPr>
                <w:sz w:val="21"/>
                <w:szCs w:val="21"/>
                <w:color w:val="auto"/>
              </w:rPr>
            </w:pP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23,246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22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1,156,951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545,001</w:t>
            </w:r>
          </w:p>
        </w:tc>
        <w:tc>
          <w:tcPr>
            <w:tcW w:w="140" w:type="dxa"/>
            <w:vAlign w:val="bottom"/>
          </w:tcPr>
          <w:p>
            <w:pPr>
              <w:spacing w:after="0"/>
              <w:rPr>
                <w:sz w:val="20"/>
                <w:szCs w:val="20"/>
                <w:color w:val="auto"/>
              </w:rPr>
            </w:pPr>
          </w:p>
        </w:tc>
      </w:tr>
      <w:tr>
        <w:trPr>
          <w:trHeight w:val="236"/>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9"/>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9"/>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shares, $0.001 par value; unlimited shares authorized, 34,695,429 and</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21,882,028 shares issued and outstanding, respectively</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21"/>
                <w:szCs w:val="21"/>
                <w:color w:val="auto"/>
              </w:rPr>
            </w:pP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877,146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542,596</w:t>
            </w:r>
          </w:p>
        </w:tc>
        <w:tc>
          <w:tcPr>
            <w:tcW w:w="140" w:type="dxa"/>
            <w:vAlign w:val="bottom"/>
          </w:tcPr>
          <w:p>
            <w:pPr>
              <w:spacing w:after="0"/>
              <w:rPr>
                <w:sz w:val="20"/>
                <w:szCs w:val="20"/>
                <w:color w:val="auto"/>
              </w:rPr>
            </w:pPr>
          </w:p>
        </w:tc>
      </w:tr>
      <w:tr>
        <w:trPr>
          <w:trHeight w:val="249"/>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220" w:type="dxa"/>
            <w:vAlign w:val="bottom"/>
          </w:tcPr>
          <w:p>
            <w:pPr>
              <w:ind w:left="38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546,711</w:t>
            </w:r>
          </w:p>
        </w:tc>
        <w:tc>
          <w:tcPr>
            <w:tcW w:w="140" w:type="dxa"/>
            <w:vAlign w:val="bottom"/>
          </w:tcPr>
          <w:p>
            <w:pPr>
              <w:spacing w:after="0"/>
              <w:rPr>
                <w:sz w:val="20"/>
                <w:szCs w:val="20"/>
                <w:color w:val="auto"/>
              </w:rPr>
            </w:pPr>
          </w:p>
        </w:tc>
      </w:tr>
      <w:tr>
        <w:trPr>
          <w:trHeight w:val="276"/>
        </w:trPr>
        <w:tc>
          <w:tcPr>
            <w:tcW w:w="7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2,063,418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1,091,712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7220" w:type="dxa"/>
            <w:vAlign w:val="bottom"/>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26.13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-2871470</wp:posOffset>
            </wp:positionV>
            <wp:extent cx="145732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325" cy="1797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-1610995</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-1610995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-530860</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-530860</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-205105</wp:posOffset>
            </wp:positionV>
            <wp:extent cx="145732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325" cy="205740"/>
                    </a:xfrm>
                    <a:prstGeom prst="rect">
                      <a:avLst/>
                    </a:prstGeom>
                    <a:noFill/>
                  </pic:spPr>
                </pic:pic>
              </a:graphicData>
            </a:graphic>
          </wp:anchor>
        </w:drawing>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5"/>
                <w:szCs w:val="15"/>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6"/>
                <w:szCs w:val="16"/>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2023</w:t>
            </w:r>
          </w:p>
        </w:tc>
      </w:tr>
      <w:tr>
        <w:trPr>
          <w:trHeight w:val="169"/>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top w:val="single" w:sz="8" w:color="auto"/>
            </w:tcBorders>
            <w:shd w:val="clear" w:color="auto" w:fill="CFF0FC"/>
          </w:tcPr>
          <w:p>
            <w:pPr>
              <w:spacing w:after="0"/>
              <w:rPr>
                <w:sz w:val="14"/>
                <w:szCs w:val="14"/>
                <w:color w:val="auto"/>
              </w:rPr>
            </w:pPr>
          </w:p>
        </w:tc>
        <w:tc>
          <w:tcPr>
            <w:tcW w:w="16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4"/>
                <w:szCs w:val="14"/>
                <w:color w:val="auto"/>
              </w:rPr>
              <w:t>Investment income from non-controlled, non-affiliated investments:</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7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49,239</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79,835</w:t>
            </w:r>
          </w:p>
        </w:tc>
        <w:tc>
          <w:tcPr>
            <w:tcW w:w="260" w:type="dxa"/>
            <w:vAlign w:val="bottom"/>
            <w:shd w:val="clear" w:color="auto" w:fill="CFF0FC"/>
          </w:tcPr>
          <w:p>
            <w:pPr>
              <w:spacing w:after="0"/>
              <w:rPr>
                <w:sz w:val="15"/>
                <w:szCs w:val="15"/>
                <w:color w:val="auto"/>
              </w:rPr>
            </w:pPr>
          </w:p>
        </w:tc>
      </w:tr>
      <w:tr>
        <w:trPr>
          <w:trHeight w:val="175"/>
        </w:trPr>
        <w:tc>
          <w:tcPr>
            <w:tcW w:w="7180" w:type="dxa"/>
            <w:vAlign w:val="bottom"/>
          </w:tcPr>
          <w:p>
            <w:pPr>
              <w:ind w:left="200"/>
              <w:spacing w:after="0"/>
              <w:rPr>
                <w:sz w:val="20"/>
                <w:szCs w:val="20"/>
                <w:color w:val="auto"/>
              </w:rPr>
            </w:pPr>
            <w:r>
              <w:rPr>
                <w:rFonts w:ascii="Arial" w:cs="Arial" w:eastAsia="Arial" w:hAnsi="Arial"/>
                <w:sz w:val="14"/>
                <w:szCs w:val="14"/>
                <w:color w:val="auto"/>
              </w:rPr>
              <w:t>Paid-in-kind interest income</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3,744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3,765</w:t>
            </w:r>
          </w:p>
        </w:tc>
        <w:tc>
          <w:tcPr>
            <w:tcW w:w="260" w:type="dxa"/>
            <w:vAlign w:val="bottom"/>
          </w:tcPr>
          <w:p>
            <w:pPr>
              <w:spacing w:after="0"/>
              <w:rPr>
                <w:sz w:val="15"/>
                <w:szCs w:val="15"/>
                <w:color w:val="auto"/>
              </w:rPr>
            </w:pPr>
          </w:p>
        </w:tc>
      </w:tr>
      <w:tr>
        <w:trPr>
          <w:trHeight w:val="176"/>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4,805</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5,209</w:t>
            </w:r>
          </w:p>
        </w:tc>
        <w:tc>
          <w:tcPr>
            <w:tcW w:w="260" w:type="dxa"/>
            <w:vAlign w:val="bottom"/>
            <w:tcBorders>
              <w:bottom w:val="single" w:sz="8" w:color="CFF0FC"/>
            </w:tcBorders>
            <w:shd w:val="clear" w:color="auto" w:fill="CFF0FC"/>
          </w:tcPr>
          <w:p>
            <w:pPr>
              <w:spacing w:after="0"/>
              <w:rPr>
                <w:sz w:val="15"/>
                <w:szCs w:val="15"/>
                <w:color w:val="auto"/>
              </w:rPr>
            </w:pPr>
          </w:p>
        </w:tc>
      </w:tr>
      <w:tr>
        <w:trPr>
          <w:trHeight w:val="169"/>
        </w:trPr>
        <w:tc>
          <w:tcPr>
            <w:tcW w:w="7180" w:type="dxa"/>
            <w:vAlign w:val="bottom"/>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57,788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88,809</w:t>
            </w:r>
          </w:p>
        </w:tc>
        <w:tc>
          <w:tcPr>
            <w:tcW w:w="260" w:type="dxa"/>
            <w:vAlign w:val="bottom"/>
          </w:tcPr>
          <w:p>
            <w:pPr>
              <w:spacing w:after="0"/>
              <w:rPr>
                <w:sz w:val="14"/>
                <w:szCs w:val="14"/>
                <w:color w:val="auto"/>
              </w:rPr>
            </w:pPr>
          </w:p>
        </w:tc>
      </w:tr>
      <w:tr>
        <w:trPr>
          <w:trHeight w:val="169"/>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16,393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25,245</w:t>
            </w:r>
          </w:p>
        </w:tc>
        <w:tc>
          <w:tcPr>
            <w:tcW w:w="260" w:type="dxa"/>
            <w:vAlign w:val="bottom"/>
          </w:tcPr>
          <w:p>
            <w:pPr>
              <w:spacing w:after="0"/>
              <w:rPr>
                <w:sz w:val="15"/>
                <w:szCs w:val="15"/>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Management fees</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9,518</w:t>
            </w:r>
          </w:p>
        </w:tc>
        <w:tc>
          <w:tcPr>
            <w:tcW w:w="260" w:type="dxa"/>
            <w:vAlign w:val="bottom"/>
            <w:shd w:val="clear" w:color="auto" w:fill="CFF0FC"/>
          </w:tcPr>
          <w:p>
            <w:pPr>
              <w:spacing w:after="0"/>
              <w:rPr>
                <w:sz w:val="15"/>
                <w:szCs w:val="15"/>
                <w:color w:val="auto"/>
              </w:rPr>
            </w:pPr>
          </w:p>
        </w:tc>
      </w:tr>
      <w:tr>
        <w:trPr>
          <w:trHeight w:val="175"/>
        </w:trPr>
        <w:tc>
          <w:tcPr>
            <w:tcW w:w="7180" w:type="dxa"/>
            <w:vAlign w:val="bottom"/>
          </w:tcPr>
          <w:p>
            <w:pPr>
              <w:ind w:left="20"/>
              <w:spacing w:after="0"/>
              <w:rPr>
                <w:sz w:val="20"/>
                <w:szCs w:val="20"/>
                <w:color w:val="auto"/>
              </w:rPr>
            </w:pPr>
            <w:r>
              <w:rPr>
                <w:rFonts w:ascii="Arial" w:cs="Arial" w:eastAsia="Arial" w:hAnsi="Arial"/>
                <w:sz w:val="14"/>
                <w:szCs w:val="14"/>
                <w:color w:val="auto"/>
              </w:rPr>
              <w:t>Incentive fees on net investment income</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4,639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7,001</w:t>
            </w:r>
          </w:p>
        </w:tc>
        <w:tc>
          <w:tcPr>
            <w:tcW w:w="260" w:type="dxa"/>
            <w:vAlign w:val="bottom"/>
          </w:tcPr>
          <w:p>
            <w:pPr>
              <w:spacing w:after="0"/>
              <w:rPr>
                <w:sz w:val="15"/>
                <w:szCs w:val="15"/>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 on net capital gains</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w:t>
            </w:r>
          </w:p>
        </w:tc>
        <w:tc>
          <w:tcPr>
            <w:tcW w:w="260" w:type="dxa"/>
            <w:vAlign w:val="bottom"/>
            <w:shd w:val="clear" w:color="auto" w:fill="CFF0FC"/>
          </w:tcPr>
          <w:p>
            <w:pPr>
              <w:spacing w:after="0"/>
              <w:rPr>
                <w:sz w:val="15"/>
                <w:szCs w:val="15"/>
                <w:color w:val="auto"/>
              </w:rPr>
            </w:pPr>
          </w:p>
        </w:tc>
      </w:tr>
      <w:tr>
        <w:trPr>
          <w:trHeight w:val="175"/>
        </w:trPr>
        <w:tc>
          <w:tcPr>
            <w:tcW w:w="7180" w:type="dxa"/>
            <w:vAlign w:val="bottom"/>
          </w:tcPr>
          <w:p>
            <w:pPr>
              <w:ind w:left="20"/>
              <w:spacing w:after="0"/>
              <w:rPr>
                <w:sz w:val="20"/>
                <w:szCs w:val="20"/>
                <w:color w:val="auto"/>
              </w:rPr>
            </w:pPr>
            <w:r>
              <w:rPr>
                <w:rFonts w:ascii="Arial" w:cs="Arial" w:eastAsia="Arial" w:hAnsi="Arial"/>
                <w:sz w:val="14"/>
                <w:szCs w:val="14"/>
                <w:color w:val="auto"/>
              </w:rPr>
              <w:t>Organizational expense</w:t>
            </w:r>
          </w:p>
        </w:tc>
        <w:tc>
          <w:tcPr>
            <w:tcW w:w="180" w:type="dxa"/>
            <w:vAlign w:val="bottom"/>
          </w:tcPr>
          <w:p>
            <w:pPr>
              <w:spacing w:after="0"/>
              <w:rPr>
                <w:sz w:val="15"/>
                <w:szCs w:val="15"/>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5"/>
                <w:szCs w:val="15"/>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expense</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26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1,302</w:t>
            </w:r>
          </w:p>
        </w:tc>
        <w:tc>
          <w:tcPr>
            <w:tcW w:w="260" w:type="dxa"/>
            <w:vAlign w:val="bottom"/>
          </w:tcPr>
          <w:p>
            <w:pPr>
              <w:spacing w:after="0"/>
              <w:rPr>
                <w:sz w:val="15"/>
                <w:szCs w:val="15"/>
                <w:color w:val="auto"/>
              </w:rPr>
            </w:pPr>
          </w:p>
        </w:tc>
      </w:tr>
      <w:tr>
        <w:trPr>
          <w:trHeight w:val="175"/>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Trustees’ fees</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26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4"/>
                <w:szCs w:val="14"/>
                <w:color w:val="auto"/>
              </w:rPr>
              <w:t>Other general and administrative</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260" w:type="dxa"/>
            <w:vAlign w:val="bottom"/>
          </w:tcPr>
          <w:p>
            <w:pPr>
              <w:spacing w:after="0"/>
              <w:rPr>
                <w:sz w:val="15"/>
                <w:szCs w:val="15"/>
                <w:color w:val="auto"/>
              </w:rPr>
            </w:pPr>
          </w:p>
        </w:tc>
      </w:tr>
      <w:tr>
        <w:trPr>
          <w:trHeight w:val="169"/>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28,612</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46,768</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4"/>
                <w:szCs w:val="14"/>
                <w:color w:val="auto"/>
              </w:rPr>
              <w:t>Management fees waived (Note 3)</w:t>
            </w:r>
          </w:p>
        </w:tc>
        <w:tc>
          <w:tcPr>
            <w:tcW w:w="180" w:type="dxa"/>
            <w:vAlign w:val="bottom"/>
          </w:tcPr>
          <w:p>
            <w:pPr>
              <w:spacing w:after="0"/>
              <w:rPr>
                <w:sz w:val="14"/>
                <w:szCs w:val="1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4"/>
                <w:szCs w:val="14"/>
                <w:color w:val="auto"/>
              </w:rPr>
              <w:t>(3,649 )</w:t>
            </w:r>
          </w:p>
        </w:tc>
        <w:tc>
          <w:tcPr>
            <w:tcW w:w="18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(6,159 )</w:t>
            </w:r>
          </w:p>
        </w:tc>
      </w:tr>
      <w:tr>
        <w:trPr>
          <w:trHeight w:val="169"/>
        </w:trPr>
        <w:tc>
          <w:tcPr>
            <w:tcW w:w="7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Net Expenses</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24,963</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40,609</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 Before Income Taxes</w:t>
            </w:r>
          </w:p>
        </w:tc>
        <w:tc>
          <w:tcPr>
            <w:tcW w:w="1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32,825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48,200</w:t>
            </w:r>
          </w:p>
        </w:tc>
        <w:tc>
          <w:tcPr>
            <w:tcW w:w="260" w:type="dxa"/>
            <w:vAlign w:val="bottom"/>
          </w:tcPr>
          <w:p>
            <w:pPr>
              <w:spacing w:after="0"/>
              <w:rPr>
                <w:sz w:val="14"/>
                <w:szCs w:val="14"/>
                <w:color w:val="auto"/>
              </w:rPr>
            </w:pPr>
          </w:p>
        </w:tc>
      </w:tr>
      <w:tr>
        <w:trPr>
          <w:trHeight w:val="17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 including excise taxes</w:t>
            </w: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664</w:t>
            </w:r>
          </w:p>
        </w:tc>
        <w:tc>
          <w:tcPr>
            <w:tcW w:w="260" w:type="dxa"/>
            <w:vAlign w:val="bottom"/>
            <w:tcBorders>
              <w:bottom w:val="single" w:sz="8" w:color="CFF0FC"/>
            </w:tcBorders>
            <w:shd w:val="clear" w:color="auto" w:fill="CFF0FC"/>
          </w:tcPr>
          <w:p>
            <w:pPr>
              <w:spacing w:after="0"/>
              <w:rPr>
                <w:sz w:val="15"/>
                <w:szCs w:val="15"/>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1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32,421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47,536</w:t>
            </w:r>
          </w:p>
        </w:tc>
        <w:tc>
          <w:tcPr>
            <w:tcW w:w="260" w:type="dxa"/>
            <w:vAlign w:val="bottom"/>
          </w:tcPr>
          <w:p>
            <w:pPr>
              <w:spacing w:after="0"/>
              <w:rPr>
                <w:sz w:val="14"/>
                <w:szCs w:val="14"/>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and Realized Gains (Losses)</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4"/>
                <w:szCs w:val="14"/>
                <w:color w:val="auto"/>
              </w:rPr>
              <w:t>Net change in unrealized gains (losses):</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7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14,633</w:t>
            </w:r>
          </w:p>
        </w:tc>
        <w:tc>
          <w:tcPr>
            <w:tcW w:w="260" w:type="dxa"/>
            <w:vAlign w:val="bottom"/>
            <w:shd w:val="clear" w:color="auto" w:fill="CFF0FC"/>
          </w:tcPr>
          <w:p>
            <w:pPr>
              <w:spacing w:after="0"/>
              <w:rPr>
                <w:sz w:val="15"/>
                <w:szCs w:val="15"/>
                <w:color w:val="auto"/>
              </w:rPr>
            </w:pPr>
          </w:p>
        </w:tc>
      </w:tr>
      <w:tr>
        <w:trPr>
          <w:trHeight w:val="175"/>
        </w:trPr>
        <w:tc>
          <w:tcPr>
            <w:tcW w:w="7180" w:type="dxa"/>
            <w:vAlign w:val="bottom"/>
          </w:tcPr>
          <w:p>
            <w:pPr>
              <w:ind w:left="20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80" w:type="dxa"/>
            <w:vAlign w:val="bottom"/>
          </w:tcPr>
          <w:p>
            <w:pPr>
              <w:spacing w:after="0"/>
              <w:rPr>
                <w:sz w:val="15"/>
                <w:szCs w:val="15"/>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4"/>
                <w:szCs w:val="14"/>
                <w:color w:val="auto"/>
              </w:rPr>
              <w:t>(449 )</w:t>
            </w:r>
          </w:p>
        </w:tc>
        <w:tc>
          <w:tcPr>
            <w:tcW w:w="180" w:type="dxa"/>
            <w:vAlign w:val="bottom"/>
          </w:tcPr>
          <w:p>
            <w:pPr>
              <w:spacing w:after="0"/>
              <w:rPr>
                <w:sz w:val="15"/>
                <w:szCs w:val="15"/>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(1,163 )</w:t>
            </w:r>
          </w:p>
        </w:tc>
      </w:tr>
      <w:tr>
        <w:trPr>
          <w:trHeight w:val="169"/>
        </w:trPr>
        <w:tc>
          <w:tcPr>
            <w:tcW w:w="71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net change in unrealized gains (losses)</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13,470</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4"/>
                <w:szCs w:val="14"/>
                <w:color w:val="auto"/>
              </w:rPr>
              <w:t>Realized gains (losses):</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7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transactions</w:t>
            </w:r>
          </w:p>
        </w:tc>
        <w:tc>
          <w:tcPr>
            <w:tcW w:w="18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(13 )</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FF0FC"/>
          </w:tcPr>
          <w:p>
            <w:pPr>
              <w:spacing w:after="0"/>
              <w:rPr>
                <w:sz w:val="15"/>
                <w:szCs w:val="15"/>
                <w:color w:val="auto"/>
              </w:rPr>
            </w:pPr>
          </w:p>
        </w:tc>
      </w:tr>
      <w:tr>
        <w:trPr>
          <w:trHeight w:val="20"/>
        </w:trPr>
        <w:tc>
          <w:tcPr>
            <w:tcW w:w="7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69"/>
        </w:trPr>
        <w:tc>
          <w:tcPr>
            <w:tcW w:w="7180" w:type="dxa"/>
            <w:vAlign w:val="bottom"/>
          </w:tcPr>
          <w:p>
            <w:pPr>
              <w:ind w:left="560"/>
              <w:spacing w:after="0"/>
              <w:rPr>
                <w:sz w:val="20"/>
                <w:szCs w:val="20"/>
                <w:color w:val="auto"/>
              </w:rPr>
            </w:pPr>
            <w:r>
              <w:rPr>
                <w:rFonts w:ascii="Arial" w:cs="Arial" w:eastAsia="Arial" w:hAnsi="Arial"/>
                <w:sz w:val="14"/>
                <w:szCs w:val="14"/>
                <w:color w:val="auto"/>
              </w:rPr>
              <w:t>Total net realized gains (losses)</w:t>
            </w:r>
          </w:p>
        </w:tc>
        <w:tc>
          <w:tcPr>
            <w:tcW w:w="180" w:type="dxa"/>
            <w:vAlign w:val="bottom"/>
          </w:tcPr>
          <w:p>
            <w:pPr>
              <w:spacing w:after="0"/>
              <w:rPr>
                <w:sz w:val="14"/>
                <w:szCs w:val="1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4"/>
                <w:szCs w:val="14"/>
                <w:color w:val="auto"/>
              </w:rPr>
              <w:t>(13 )</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4"/>
                <w:szCs w:val="14"/>
                <w:color w:val="auto"/>
              </w:rPr>
            </w:pPr>
          </w:p>
        </w:tc>
      </w:tr>
      <w:tr>
        <w:trPr>
          <w:trHeight w:val="169"/>
        </w:trPr>
        <w:tc>
          <w:tcPr>
            <w:tcW w:w="71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Total Net Unrealized and Realized Gains (Losses)</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13,513</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740"/>
              <w:spacing w:after="0"/>
              <w:rPr>
                <w:sz w:val="20"/>
                <w:szCs w:val="20"/>
                <w:color w:val="auto"/>
              </w:rPr>
            </w:pPr>
            <w:r>
              <w:rPr>
                <w:rFonts w:ascii="Arial" w:cs="Arial" w:eastAsia="Arial" w:hAnsi="Arial"/>
                <w:sz w:val="14"/>
                <w:szCs w:val="14"/>
                <w:b w:val="1"/>
                <w:bCs w:val="1"/>
                <w:color w:val="auto"/>
              </w:rPr>
              <w:t>Increase (Decrease) in Net Assets Resulting from Operations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32,831</w:t>
            </w:r>
          </w:p>
        </w:tc>
        <w:tc>
          <w:tcPr>
            <w:tcW w:w="28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61,049</w:t>
            </w:r>
          </w:p>
        </w:tc>
        <w:tc>
          <w:tcPr>
            <w:tcW w:w="260" w:type="dxa"/>
            <w:vAlign w:val="bottom"/>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6"/>
        </w:trPr>
        <w:tc>
          <w:tcPr>
            <w:tcW w:w="71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Earnings per common share—basic and diluted</w:t>
            </w:r>
          </w:p>
        </w:tc>
        <w:tc>
          <w:tcPr>
            <w:tcW w:w="18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1.03</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2.22</w:t>
            </w:r>
          </w:p>
        </w:tc>
        <w:tc>
          <w:tcPr>
            <w:tcW w:w="260" w:type="dxa"/>
            <w:vAlign w:val="bottom"/>
            <w:tcBorders>
              <w:bottom w:val="single" w:sz="8" w:color="CFF0FC"/>
            </w:tcBorders>
            <w:shd w:val="clear" w:color="auto" w:fill="CFF0FC"/>
          </w:tcPr>
          <w:p>
            <w:pPr>
              <w:spacing w:after="0"/>
              <w:rPr>
                <w:sz w:val="13"/>
                <w:szCs w:val="13"/>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4"/>
                <w:szCs w:val="14"/>
                <w:color w:val="auto"/>
              </w:rPr>
              <w:t>Weighted average shares of common shares outstanding—basic and diluted</w:t>
            </w: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31,830,160</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27,469,663</w:t>
            </w:r>
          </w:p>
        </w:tc>
        <w:tc>
          <w:tcPr>
            <w:tcW w:w="2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-3376930</wp:posOffset>
            </wp:positionV>
            <wp:extent cx="9461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-3376930</wp:posOffset>
            </wp:positionV>
            <wp:extent cx="8572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-2013585</wp:posOffset>
            </wp:positionV>
            <wp:extent cx="9461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-2013585</wp:posOffset>
            </wp:positionV>
            <wp:extent cx="8572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-1774190</wp:posOffset>
            </wp:positionV>
            <wp:extent cx="9461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200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-1774190</wp:posOffset>
            </wp:positionV>
            <wp:extent cx="8572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-1542415</wp:posOffset>
            </wp:positionV>
            <wp:extent cx="9461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1200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-1542415</wp:posOffset>
            </wp:positionV>
            <wp:extent cx="8572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-989330</wp:posOffset>
            </wp:positionV>
            <wp:extent cx="7132320" cy="252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273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-624840</wp:posOffset>
            </wp:positionV>
            <wp:extent cx="9461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-624840</wp:posOffset>
            </wp:positionV>
            <wp:extent cx="8572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-385445</wp:posOffset>
            </wp:positionV>
            <wp:extent cx="9461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1460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-385445</wp:posOffset>
            </wp:positionV>
            <wp:extent cx="8572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-128270</wp:posOffset>
            </wp:positionV>
            <wp:extent cx="9461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-128270</wp:posOffset>
            </wp:positionV>
            <wp:extent cx="8572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2890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Consolidated Schedule of Investments as of June 30, 2023</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Reference</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(1)(9)</w:t>
            </w: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Rate and</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8"/>
              <w:spacing w:after="0" w:line="126" w:lineRule="exact"/>
              <w:rPr>
                <w:sz w:val="20"/>
                <w:szCs w:val="20"/>
                <w:color w:val="auto"/>
              </w:rPr>
            </w:pPr>
            <w:r>
              <w:rPr>
                <w:rFonts w:ascii="Arial" w:cs="Arial" w:eastAsia="Arial" w:hAnsi="Arial"/>
                <w:sz w:val="13"/>
                <w:szCs w:val="13"/>
                <w:b w:val="1"/>
                <w:bCs w:val="1"/>
                <w:color w:val="auto"/>
                <w:w w:val="91"/>
              </w:rPr>
              <w:t>Amortized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3"/>
              </w:rPr>
              <w:t xml:space="preserve">Fair Value </w:t>
            </w:r>
            <w:r>
              <w:rPr>
                <w:rFonts w:ascii="Arial" w:cs="Arial" w:eastAsia="Arial" w:hAnsi="Arial"/>
                <w:sz w:val="16"/>
                <w:szCs w:val="16"/>
                <w:b w:val="1"/>
                <w:bCs w:val="1"/>
                <w:color w:val="auto"/>
                <w:w w:val="93"/>
                <w:vertAlign w:val="superscript"/>
              </w:rPr>
              <w:t>(6)</w:t>
            </w:r>
          </w:p>
        </w:tc>
        <w:tc>
          <w:tcPr>
            <w:tcW w:w="260" w:type="dxa"/>
            <w:vAlign w:val="bottom"/>
          </w:tcPr>
          <w:p>
            <w:pPr>
              <w:spacing w:after="0"/>
              <w:rPr>
                <w:sz w:val="10"/>
                <w:szCs w:val="10"/>
                <w:color w:val="auto"/>
              </w:rPr>
            </w:pPr>
          </w:p>
        </w:tc>
        <w:tc>
          <w:tcPr>
            <w:tcW w:w="1200" w:type="dxa"/>
            <w:vAlign w:val="bottom"/>
            <w:gridSpan w:val="2"/>
          </w:tcPr>
          <w:p>
            <w:pPr>
              <w:jc w:val="right"/>
              <w:ind w:right="317"/>
              <w:spacing w:after="0" w:line="126"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6"/>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ind w:left="780"/>
              <w:spacing w:after="0"/>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Interest Rate</w:t>
            </w:r>
          </w:p>
        </w:tc>
        <w:tc>
          <w:tcPr>
            <w:tcW w:w="100" w:type="dxa"/>
            <w:vAlign w:val="bottom"/>
          </w:tcPr>
          <w:p>
            <w:pPr>
              <w:spacing w:after="0"/>
              <w:rPr>
                <w:sz w:val="15"/>
                <w:szCs w:val="15"/>
                <w:color w:val="auto"/>
              </w:rPr>
            </w:pPr>
          </w:p>
        </w:tc>
        <w:tc>
          <w:tcPr>
            <w:tcW w:w="700" w:type="dxa"/>
            <w:vAlign w:val="bottom"/>
          </w:tcPr>
          <w:p>
            <w:pPr>
              <w:jc w:val="right"/>
              <w:ind w:right="78"/>
              <w:spacing w:after="0" w:line="176" w:lineRule="exact"/>
              <w:rPr>
                <w:sz w:val="20"/>
                <w:szCs w:val="20"/>
                <w:color w:val="auto"/>
              </w:rPr>
            </w:pPr>
            <w:r>
              <w:rPr>
                <w:rFonts w:ascii="Arial" w:cs="Arial" w:eastAsia="Arial" w:hAnsi="Arial"/>
                <w:sz w:val="20"/>
                <w:szCs w:val="20"/>
                <w:b w:val="1"/>
                <w:bCs w:val="1"/>
                <w:color w:val="auto"/>
                <w:vertAlign w:val="subscript"/>
              </w:rPr>
              <w:t>Cost</w:t>
            </w:r>
            <w:r>
              <w:rPr>
                <w:rFonts w:ascii="Arial" w:cs="Arial" w:eastAsia="Arial" w:hAnsi="Arial"/>
                <w:sz w:val="8"/>
                <w:szCs w:val="8"/>
                <w:b w:val="1"/>
                <w:bCs w:val="1"/>
                <w:color w:val="auto"/>
              </w:rPr>
              <w:t xml:space="preserve"> (2) (7)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of Net Assets</w:t>
            </w:r>
          </w:p>
        </w:tc>
        <w:tc>
          <w:tcPr>
            <w:tcW w:w="0" w:type="dxa"/>
            <w:vAlign w:val="bottom"/>
          </w:tcPr>
          <w:p>
            <w:pPr>
              <w:spacing w:after="0"/>
              <w:rPr>
                <w:sz w:val="1"/>
                <w:szCs w:val="1"/>
                <w:color w:val="auto"/>
              </w:rPr>
            </w:pPr>
          </w:p>
        </w:tc>
      </w:tr>
      <w:tr>
        <w:trPr>
          <w:trHeight w:val="155"/>
        </w:trPr>
        <w:tc>
          <w:tcPr>
            <w:tcW w:w="2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Debt Investments</w:t>
            </w:r>
          </w:p>
        </w:tc>
        <w:tc>
          <w:tcPr>
            <w:tcW w:w="120" w:type="dxa"/>
            <w:vAlign w:val="bottom"/>
            <w:shd w:val="clear" w:color="auto" w:fill="CFF0FC"/>
          </w:tcPr>
          <w:p>
            <w:pPr>
              <w:spacing w:after="0"/>
              <w:rPr>
                <w:sz w:val="13"/>
                <w:szCs w:val="13"/>
                <w:color w:val="auto"/>
              </w:rPr>
            </w:pPr>
          </w:p>
        </w:tc>
        <w:tc>
          <w:tcPr>
            <w:tcW w:w="21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Bestpass, Inc. </w:t>
            </w:r>
            <w:r>
              <w:rPr>
                <w:rFonts w:ascii="Arial" w:cs="Arial" w:eastAsia="Arial" w:hAnsi="Arial"/>
                <w:sz w:val="15"/>
                <w:szCs w:val="15"/>
                <w:color w:val="auto"/>
                <w:vertAlign w:val="superscript"/>
              </w:rPr>
              <w:t>(3)(5)</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w w:val="91"/>
              </w:rPr>
              <w:t>First-lien loan ($10,000 par, due 5/2029)</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5/26/2023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10.85 %</w:t>
            </w:r>
          </w:p>
        </w:tc>
        <w:tc>
          <w:tcPr>
            <w:tcW w:w="1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9,715</w:t>
            </w:r>
          </w:p>
        </w:tc>
        <w:tc>
          <w:tcPr>
            <w:tcW w:w="400" w:type="dxa"/>
            <w:vAlign w:val="bottom"/>
            <w:gridSpan w:val="2"/>
            <w:shd w:val="clear" w:color="auto" w:fill="CFF0FC"/>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9,750</w:t>
            </w:r>
          </w:p>
        </w:tc>
        <w:tc>
          <w:tcPr>
            <w:tcW w:w="146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Business Services</w:t>
            </w: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BCTO Ignition Purchaser, Inc. </w:t>
            </w:r>
            <w:r>
              <w:rPr>
                <w:rFonts w:ascii="Arial" w:cs="Arial" w:eastAsia="Arial" w:hAnsi="Arial"/>
                <w:sz w:val="15"/>
                <w:szCs w:val="15"/>
                <w:color w:val="auto"/>
                <w:vertAlign w:val="superscript"/>
              </w:rPr>
              <w:t>(3)</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w w:val="90"/>
              </w:rPr>
              <w:t>First-lien holdco loan ($100,000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4/18/2023</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260" w:type="dxa"/>
            <w:vAlign w:val="bottom"/>
          </w:tcPr>
          <w:p>
            <w:pPr>
              <w:spacing w:after="0"/>
              <w:rPr>
                <w:sz w:val="11"/>
                <w:szCs w:val="11"/>
                <w:color w:val="auto"/>
              </w:rPr>
            </w:pPr>
          </w:p>
        </w:tc>
        <w:tc>
          <w:tcPr>
            <w:tcW w:w="980" w:type="dxa"/>
            <w:vAlign w:val="bottom"/>
            <w:gridSpan w:val="2"/>
          </w:tcPr>
          <w:p>
            <w:pPr>
              <w:jc w:val="right"/>
              <w:ind w:right="260"/>
              <w:spacing w:after="0" w:line="134" w:lineRule="exact"/>
              <w:rPr>
                <w:sz w:val="20"/>
                <w:szCs w:val="20"/>
                <w:color w:val="auto"/>
              </w:rPr>
            </w:pPr>
            <w:r>
              <w:rPr>
                <w:rFonts w:ascii="Arial" w:cs="Arial" w:eastAsia="Arial" w:hAnsi="Arial"/>
                <w:sz w:val="13"/>
                <w:szCs w:val="13"/>
                <w:color w:val="auto"/>
              </w:rPr>
              <w:t>13.98% PIK</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97,081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97,750</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10.8 %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10/2030)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9.00%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Galileo Parent, Inc.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88"/>
              </w:rPr>
              <w:t>First-lien loan ($151,442 par, due 5/2030)</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5/3/2023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12.34 %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147,004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148,792</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7.25%</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12.34 %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9,745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10,020</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7.25%</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Hornetsecurity Holding GmbH </w:t>
            </w:r>
            <w:r>
              <w:rPr>
                <w:rFonts w:ascii="Arial" w:cs="Arial" w:eastAsia="Arial" w:hAnsi="Arial"/>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First-lien loan (EUR 3,150 par, due</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11/15/2022</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E + 6.50%</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9.82 %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3,149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$3,409</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22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11/2029)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(EUR 3,125)</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OutSystems Luxco SARL</w:t>
            </w:r>
            <w:r>
              <w:rPr>
                <w:rFonts w:ascii="Arial" w:cs="Arial" w:eastAsia="Arial" w:hAnsi="Arial"/>
                <w:sz w:val="15"/>
                <w:szCs w:val="15"/>
                <w:color w:val="auto"/>
                <w:vertAlign w:val="superscript"/>
              </w:rPr>
              <w:t>(3)(4)(5)</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(EUR 3,004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12/8/2022</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E + 5.75%</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9.35 %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3,077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3,263</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12/2028)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(EUR 2,991)</w:t>
            </w: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260,056</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263,234</w:t>
            </w: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Chemicals</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Erling Lux Bidco SARL </w:t>
            </w:r>
            <w:r>
              <w:rPr>
                <w:rFonts w:ascii="Arial" w:cs="Arial" w:eastAsia="Arial" w:hAnsi="Arial"/>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First-lien loan (EUR 7,239 par, due</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9/6/2022</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E + 6.75%</w:t>
            </w:r>
          </w:p>
        </w:tc>
        <w:tc>
          <w:tcPr>
            <w:tcW w:w="124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10.19 %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6,914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7,762</w:t>
            </w:r>
          </w:p>
        </w:tc>
        <w:tc>
          <w:tcPr>
            <w:tcW w:w="146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22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9/2028)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(EUR 7,114)</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(GBP 10,217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9/6/2022</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 + 6.75%</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11.68 %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11,275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12,860</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9/2028)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(GBP 10,115)</w:t>
            </w: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18,189</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20,622</w:t>
            </w: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Communications</w:t>
            </w: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Banyan Software Holdings, LLC </w:t>
            </w:r>
            <w:r>
              <w:rPr>
                <w:rFonts w:ascii="Arial" w:cs="Arial" w:eastAsia="Arial" w:hAnsi="Arial"/>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w w:val="88"/>
              </w:rPr>
              <w:t>First-lien loan ($39,800 par, due 10/2026)</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1/27/2023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12.45 %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37,615</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38,603</w:t>
            </w:r>
          </w:p>
        </w:tc>
        <w:tc>
          <w:tcPr>
            <w:tcW w:w="146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4.3 %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7.35%</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Financial Services</w:t>
            </w: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Alaska Bidco Oy </w:t>
            </w:r>
            <w:r>
              <w:rPr>
                <w:rFonts w:ascii="Arial" w:cs="Arial" w:eastAsia="Arial" w:hAnsi="Arial"/>
                <w:sz w:val="15"/>
                <w:szCs w:val="15"/>
                <w:color w:val="auto"/>
                <w:vertAlign w:val="superscript"/>
              </w:rPr>
              <w:t>(3)(4)</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w w:val="89"/>
              </w:rPr>
              <w:t>First-lien loan (EUR 727 par, due 5/2030)</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5/30/2023</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E + 6.25%</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9.89 %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754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766</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(EUR 702)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BTRS Holdings, Inc.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First-lien loan ($138,295 par, due</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12/16/2022</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13.22 %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134,517</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136,220</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15.0 %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22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12/2028)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8.00%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w w:val="91"/>
              </w:rPr>
              <w:t>First-lien revolving loan ($5,060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12/16/2022</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12.36 %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4,665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4,843</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12/2028)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7.25%</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Ping Identity Holding Corp.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rPr>
              <w:t>First-lien loan ($136,364 par, due</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10/17/2022</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12.08 %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132,996</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134,489</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shd w:val="clear" w:color="auto" w:fill="CFF0FC"/>
          </w:tcPr>
          <w:p>
            <w:pPr>
              <w:spacing w:after="0"/>
              <w:rPr>
                <w:sz w:val="12"/>
                <w:szCs w:val="12"/>
                <w:color w:val="auto"/>
              </w:rPr>
            </w:pPr>
          </w:p>
        </w:tc>
        <w:tc>
          <w:tcPr>
            <w:tcW w:w="22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3"/>
                <w:szCs w:val="13"/>
                <w:color w:val="auto"/>
              </w:rPr>
              <w:t>10/2029)</w:t>
            </w: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272,932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276,318</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 xml:space="preserve">30.4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6"/>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Healthcare</w:t>
            </w:r>
          </w:p>
        </w:tc>
        <w:tc>
          <w:tcPr>
            <w:tcW w:w="12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Edge Bidco B.V </w:t>
            </w:r>
            <w:r>
              <w:rPr>
                <w:rFonts w:ascii="Arial" w:cs="Arial" w:eastAsia="Arial" w:hAnsi="Arial"/>
                <w:sz w:val="15"/>
                <w:szCs w:val="15"/>
                <w:color w:val="auto"/>
                <w:vertAlign w:val="superscript"/>
              </w:rPr>
              <w:t>(3)(4)</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(EUR 3,471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2/24/2023</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E + 7.00%</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4" w:lineRule="exact"/>
              <w:rPr>
                <w:sz w:val="20"/>
                <w:szCs w:val="20"/>
                <w:color w:val="auto"/>
              </w:rPr>
            </w:pPr>
            <w:r>
              <w:rPr>
                <w:rFonts w:ascii="Arial" w:cs="Arial" w:eastAsia="Arial" w:hAnsi="Arial"/>
                <w:sz w:val="13"/>
                <w:szCs w:val="13"/>
                <w:color w:val="auto"/>
                <w:w w:val="90"/>
              </w:rPr>
              <w:t>10.60% (incl.</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3,532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3,697</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2/2029)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3.25% PIK)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(EUR 3,389)</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Raptor US Buyer II Corp.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1"/>
              </w:rPr>
              <w:t>First-lien loan ($99,102 par, due 3/2029)</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3/24/2023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11.99 %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95,615</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96,872</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10.7 %</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6.75%</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99,147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100,569</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6"/>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Human Resource Support Services</w:t>
            </w:r>
          </w:p>
        </w:tc>
        <w:tc>
          <w:tcPr>
            <w:tcW w:w="12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bswift, LLC </w:t>
            </w:r>
            <w:r>
              <w:rPr>
                <w:rFonts w:ascii="Arial" w:cs="Arial" w:eastAsia="Arial" w:hAnsi="Arial"/>
                <w:sz w:val="15"/>
                <w:szCs w:val="15"/>
                <w:color w:val="auto"/>
                <w:vertAlign w:val="superscript"/>
              </w:rPr>
              <w:t>(3)(5)</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($141,682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11/7/2022</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11.76 %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137,603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140,265</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15.5 %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11/2028)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6.63%</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HireVue, Inc.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88"/>
              </w:rPr>
              <w:t>First-lien loan ($110,887 par, due 5/2029)</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5/3/2023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12.34 %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107,339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108,387</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7.25%</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244,942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248,652</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 xml:space="preserve">27.5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6"/>
        </w:trPr>
        <w:tc>
          <w:tcPr>
            <w:tcW w:w="2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Insurance</w:t>
            </w: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Disco Parent, Inc.</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w w:val="91"/>
              </w:rPr>
              <w:t>First-lien loan ($57,756 par, due 3/2029)</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3/30/2023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12.76 %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56,235</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56,644</w:t>
            </w:r>
          </w:p>
        </w:tc>
        <w:tc>
          <w:tcPr>
            <w:tcW w:w="146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Internet Services</w:t>
            </w: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Arrow Buyer, Inc.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w w:val="88"/>
              </w:rPr>
              <w:t>First-lien loan ($121,875 par, due 7/2030)</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6/30/2023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11.74 %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118,476</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118,875</w:t>
            </w:r>
          </w:p>
        </w:tc>
        <w:tc>
          <w:tcPr>
            <w:tcW w:w="146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Coupa Holdings, LLC </w:t>
            </w:r>
            <w:r>
              <w:rPr>
                <w:rFonts w:ascii="Arial" w:cs="Arial" w:eastAsia="Arial" w:hAnsi="Arial"/>
                <w:sz w:val="15"/>
                <w:szCs w:val="15"/>
                <w:color w:val="auto"/>
                <w:vertAlign w:val="superscript"/>
              </w:rPr>
              <w:t>(3)</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w w:val="88"/>
              </w:rPr>
              <w:t>First-lien loan ($129,573 par, due 2/2030)</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2/27/2023</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12.60 %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126,144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128,073</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14.1 %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7.50%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SMA Technologies Holdings, LLC </w:t>
            </w:r>
            <w:r>
              <w:rPr>
                <w:rFonts w:ascii="Arial" w:cs="Arial" w:eastAsia="Arial" w:hAnsi="Arial"/>
                <w:sz w:val="15"/>
                <w:szCs w:val="15"/>
                <w:color w:val="auto"/>
                <w:vertAlign w:val="superscript"/>
              </w:rPr>
              <w:t>(3)(5)</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1"/>
              </w:rPr>
              <w:t>First-lien loan ($5,667 par, due 10/2028)</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10/31/2022</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11.85 %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5,447</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5,568</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6.75%</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250,067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252,516</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 xml:space="preserve">27.8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6"/>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Manufacturing</w:t>
            </w:r>
          </w:p>
        </w:tc>
        <w:tc>
          <w:tcPr>
            <w:tcW w:w="120" w:type="dxa"/>
            <w:vAlign w:val="bottom"/>
            <w:shd w:val="clear" w:color="auto" w:fill="CFF0FC"/>
          </w:tcPr>
          <w:p>
            <w:pPr>
              <w:spacing w:after="0"/>
              <w:rPr>
                <w:sz w:val="13"/>
                <w:szCs w:val="13"/>
                <w:color w:val="auto"/>
              </w:rPr>
            </w:pPr>
          </w:p>
        </w:tc>
        <w:tc>
          <w:tcPr>
            <w:tcW w:w="2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Avalara, Inc. </w:t>
            </w:r>
            <w:r>
              <w:rPr>
                <w:rFonts w:ascii="Arial" w:cs="Arial" w:eastAsia="Arial" w:hAnsi="Arial"/>
                <w:sz w:val="15"/>
                <w:szCs w:val="15"/>
                <w:color w:val="auto"/>
                <w:vertAlign w:val="superscript"/>
              </w:rPr>
              <w:t>(3)</w:t>
            </w:r>
          </w:p>
        </w:tc>
        <w:tc>
          <w:tcPr>
            <w:tcW w:w="120" w:type="dxa"/>
            <w:vAlign w:val="bottom"/>
          </w:tcPr>
          <w:p>
            <w:pPr>
              <w:spacing w:after="0"/>
              <w:rPr>
                <w:sz w:val="11"/>
                <w:szCs w:val="11"/>
                <w:color w:val="auto"/>
              </w:rPr>
            </w:pPr>
          </w:p>
        </w:tc>
        <w:tc>
          <w:tcPr>
            <w:tcW w:w="21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($136,364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10/19/2022</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12.49 %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133,050</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134,114</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Arial" w:cs="Arial" w:eastAsia="Arial" w:hAnsi="Arial"/>
                <w:sz w:val="13"/>
                <w:szCs w:val="13"/>
                <w:color w:val="auto"/>
              </w:rPr>
              <w:t>10/2028)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7.25%</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Oil, Gas and Consumable Fuels</w:t>
            </w: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Laramie Energy, LLC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w w:val="91"/>
              </w:rPr>
              <w:t>First-lien loan ($97,561 par, due 2/2027)</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2/21/2023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12.18 %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95,284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96,311</w:t>
            </w:r>
          </w:p>
        </w:tc>
        <w:tc>
          <w:tcPr>
            <w:tcW w:w="146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7.10%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-5014595</wp:posOffset>
            </wp:positionV>
            <wp:extent cx="85725"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-5014595</wp:posOffset>
            </wp:positionV>
            <wp:extent cx="7747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-5014595</wp:posOffset>
            </wp:positionV>
            <wp:extent cx="85725"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-4414520</wp:posOffset>
            </wp:positionV>
            <wp:extent cx="85725" cy="111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-4414520</wp:posOffset>
            </wp:positionV>
            <wp:extent cx="77470" cy="111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-4414520</wp:posOffset>
            </wp:positionV>
            <wp:extent cx="85725" cy="111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-3162300</wp:posOffset>
            </wp:positionV>
            <wp:extent cx="85725"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-3162300</wp:posOffset>
            </wp:positionV>
            <wp:extent cx="7747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-2571115</wp:posOffset>
            </wp:positionV>
            <wp:extent cx="8572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-2571115</wp:posOffset>
            </wp:positionV>
            <wp:extent cx="7747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-1979295</wp:posOffset>
            </wp:positionV>
            <wp:extent cx="8572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-1979295</wp:posOffset>
            </wp:positionV>
            <wp:extent cx="7747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-805180</wp:posOffset>
            </wp:positionV>
            <wp:extent cx="8572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-805180</wp:posOffset>
            </wp:positionV>
            <wp:extent cx="7747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2001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Reference</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(1)(9)</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Rate and</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8"/>
              <w:spacing w:after="0" w:line="126" w:lineRule="exact"/>
              <w:rPr>
                <w:sz w:val="20"/>
                <w:szCs w:val="20"/>
                <w:color w:val="auto"/>
              </w:rPr>
            </w:pPr>
            <w:r>
              <w:rPr>
                <w:rFonts w:ascii="Arial" w:cs="Arial" w:eastAsia="Arial" w:hAnsi="Arial"/>
                <w:sz w:val="13"/>
                <w:szCs w:val="13"/>
                <w:b w:val="1"/>
                <w:bCs w:val="1"/>
                <w:color w:val="auto"/>
                <w:w w:val="91"/>
              </w:rPr>
              <w:t>Amortized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3"/>
              </w:rPr>
              <w:t xml:space="preserve">Fair Value </w:t>
            </w:r>
            <w:r>
              <w:rPr>
                <w:rFonts w:ascii="Arial" w:cs="Arial" w:eastAsia="Arial" w:hAnsi="Arial"/>
                <w:sz w:val="16"/>
                <w:szCs w:val="16"/>
                <w:b w:val="1"/>
                <w:bCs w:val="1"/>
                <w:color w:val="auto"/>
                <w:w w:val="93"/>
                <w:vertAlign w:val="superscript"/>
              </w:rPr>
              <w:t>(6)</w:t>
            </w:r>
          </w:p>
        </w:tc>
        <w:tc>
          <w:tcPr>
            <w:tcW w:w="260" w:type="dxa"/>
            <w:vAlign w:val="bottom"/>
          </w:tcPr>
          <w:p>
            <w:pPr>
              <w:spacing w:after="0"/>
              <w:rPr>
                <w:sz w:val="10"/>
                <w:szCs w:val="10"/>
                <w:color w:val="auto"/>
              </w:rPr>
            </w:pPr>
          </w:p>
        </w:tc>
        <w:tc>
          <w:tcPr>
            <w:tcW w:w="122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76"/>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ind w:left="400"/>
              <w:spacing w:after="0"/>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Interest Rate</w:t>
            </w:r>
          </w:p>
        </w:tc>
        <w:tc>
          <w:tcPr>
            <w:tcW w:w="700" w:type="dxa"/>
            <w:vAlign w:val="bottom"/>
          </w:tcPr>
          <w:p>
            <w:pPr>
              <w:jc w:val="right"/>
              <w:ind w:right="78"/>
              <w:spacing w:after="0" w:line="176" w:lineRule="exact"/>
              <w:rPr>
                <w:sz w:val="20"/>
                <w:szCs w:val="20"/>
                <w:color w:val="auto"/>
              </w:rPr>
            </w:pPr>
            <w:r>
              <w:rPr>
                <w:rFonts w:ascii="Arial" w:cs="Arial" w:eastAsia="Arial" w:hAnsi="Arial"/>
                <w:sz w:val="20"/>
                <w:szCs w:val="20"/>
                <w:b w:val="1"/>
                <w:bCs w:val="1"/>
                <w:color w:val="auto"/>
                <w:vertAlign w:val="subscript"/>
              </w:rPr>
              <w:t>Cost</w:t>
            </w:r>
            <w:r>
              <w:rPr>
                <w:rFonts w:ascii="Arial" w:cs="Arial" w:eastAsia="Arial" w:hAnsi="Arial"/>
                <w:sz w:val="8"/>
                <w:szCs w:val="8"/>
                <w:b w:val="1"/>
                <w:bCs w:val="1"/>
                <w:color w:val="auto"/>
              </w:rPr>
              <w:t xml:space="preserve"> (2) (7)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4"/>
              </w:rPr>
              <w:t>of Net Assets</w:t>
            </w:r>
          </w:p>
        </w:tc>
        <w:tc>
          <w:tcPr>
            <w:tcW w:w="0" w:type="dxa"/>
            <w:vAlign w:val="bottom"/>
          </w:tcPr>
          <w:p>
            <w:pPr>
              <w:spacing w:after="0"/>
              <w:rPr>
                <w:sz w:val="1"/>
                <w:szCs w:val="1"/>
                <w:color w:val="auto"/>
              </w:rPr>
            </w:pPr>
          </w:p>
        </w:tc>
      </w:tr>
      <w:tr>
        <w:trPr>
          <w:trHeight w:val="155"/>
        </w:trPr>
        <w:tc>
          <w:tcPr>
            <w:tcW w:w="2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Retail and Consumer Products</w:t>
            </w:r>
          </w:p>
        </w:tc>
        <w:tc>
          <w:tcPr>
            <w:tcW w:w="1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7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Bed Bath and Beyond Inc. </w:t>
            </w:r>
            <w:r>
              <w:rPr>
                <w:rFonts w:ascii="Arial" w:cs="Arial" w:eastAsia="Arial" w:hAnsi="Arial"/>
                <w:sz w:val="15"/>
                <w:szCs w:val="15"/>
                <w:color w:val="auto"/>
                <w:vertAlign w:val="superscript"/>
              </w:rPr>
              <w:t>(3)(11)</w:t>
            </w:r>
          </w:p>
        </w:tc>
        <w:tc>
          <w:tcPr>
            <w:tcW w:w="120" w:type="dxa"/>
            <w:vAlign w:val="bottom"/>
          </w:tcPr>
          <w:p>
            <w:pPr>
              <w:spacing w:after="0"/>
              <w:rPr>
                <w:sz w:val="11"/>
                <w:szCs w:val="11"/>
                <w:color w:val="auto"/>
              </w:rPr>
            </w:pPr>
          </w:p>
        </w:tc>
        <w:tc>
          <w:tcPr>
            <w:tcW w:w="2160" w:type="dxa"/>
            <w:vAlign w:val="bottom"/>
            <w:gridSpan w:val="2"/>
          </w:tcPr>
          <w:p>
            <w:pPr>
              <w:ind w:left="20"/>
              <w:spacing w:after="0" w:line="134" w:lineRule="exact"/>
              <w:rPr>
                <w:sz w:val="20"/>
                <w:szCs w:val="20"/>
                <w:color w:val="auto"/>
              </w:rPr>
            </w:pPr>
            <w:r>
              <w:rPr>
                <w:rFonts w:ascii="Arial" w:cs="Arial" w:eastAsia="Arial" w:hAnsi="Arial"/>
                <w:sz w:val="13"/>
                <w:szCs w:val="13"/>
                <w:color w:val="auto"/>
                <w:w w:val="95"/>
              </w:rPr>
              <w:t>ABL FILO term loan ($46,941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9/2/2022</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15.16 %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45,766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45,885</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5.1 %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2280" w:type="dxa"/>
            <w:vAlign w:val="bottom"/>
            <w:gridSpan w:val="3"/>
          </w:tcPr>
          <w:p>
            <w:pPr>
              <w:ind w:left="140"/>
              <w:spacing w:after="0"/>
              <w:rPr>
                <w:sz w:val="20"/>
                <w:szCs w:val="20"/>
                <w:color w:val="auto"/>
              </w:rPr>
            </w:pPr>
            <w:r>
              <w:rPr>
                <w:rFonts w:ascii="Arial" w:cs="Arial" w:eastAsia="Arial" w:hAnsi="Arial"/>
                <w:sz w:val="13"/>
                <w:szCs w:val="13"/>
                <w:color w:val="auto"/>
              </w:rPr>
              <w:t>8/2027)</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9.90%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160" w:type="dxa"/>
            <w:vAlign w:val="bottom"/>
            <w:gridSpan w:val="2"/>
            <w:shd w:val="clear" w:color="auto" w:fill="CFF0FC"/>
          </w:tcPr>
          <w:p>
            <w:pPr>
              <w:ind w:left="20"/>
              <w:spacing w:after="0" w:line="136" w:lineRule="exact"/>
              <w:rPr>
                <w:sz w:val="20"/>
                <w:szCs w:val="20"/>
                <w:color w:val="auto"/>
              </w:rPr>
            </w:pPr>
            <w:r>
              <w:rPr>
                <w:rFonts w:ascii="Arial" w:cs="Arial" w:eastAsia="Arial" w:hAnsi="Arial"/>
                <w:sz w:val="13"/>
                <w:szCs w:val="13"/>
                <w:color w:val="auto"/>
                <w:w w:val="91"/>
              </w:rPr>
              <w:t>Roll Up DIP term loan ($10,168 par, due</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4/24/2023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26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ind w:left="20"/>
              <w:spacing w:after="0" w:line="136" w:lineRule="exact"/>
              <w:rPr>
                <w:sz w:val="20"/>
                <w:szCs w:val="20"/>
                <w:color w:val="auto"/>
              </w:rPr>
            </w:pPr>
            <w:r>
              <w:rPr>
                <w:rFonts w:ascii="Arial" w:cs="Arial" w:eastAsia="Arial" w:hAnsi="Arial"/>
                <w:sz w:val="13"/>
                <w:szCs w:val="13"/>
                <w:color w:val="auto"/>
              </w:rPr>
              <w:t>12.99% (incl.</w:t>
            </w: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10,123</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9,939</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8/2023)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7.90%</w:t>
            </w:r>
          </w:p>
        </w:tc>
        <w:tc>
          <w:tcPr>
            <w:tcW w:w="2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12.99% PIK)</w:t>
            </w: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tcPr>
          <w:p>
            <w:pPr>
              <w:ind w:left="20"/>
              <w:spacing w:after="0" w:line="134" w:lineRule="exact"/>
              <w:rPr>
                <w:sz w:val="20"/>
                <w:szCs w:val="20"/>
                <w:color w:val="auto"/>
              </w:rPr>
            </w:pPr>
            <w:r>
              <w:rPr>
                <w:rFonts w:ascii="Arial" w:cs="Arial" w:eastAsia="Arial" w:hAnsi="Arial"/>
                <w:sz w:val="13"/>
                <w:szCs w:val="13"/>
                <w:color w:val="auto"/>
              </w:rPr>
              <w:t>Super-Priority DIP term loan</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4/24/2023</w:t>
            </w:r>
          </w:p>
        </w:tc>
        <w:tc>
          <w:tcPr>
            <w:tcW w:w="1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24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12.99 %</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50,938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50,374</w:t>
            </w:r>
          </w:p>
        </w:tc>
        <w:tc>
          <w:tcPr>
            <w:tcW w:w="14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5.6 %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ind w:left="20"/>
              <w:spacing w:after="0"/>
              <w:rPr>
                <w:sz w:val="20"/>
                <w:szCs w:val="20"/>
                <w:color w:val="auto"/>
              </w:rPr>
            </w:pPr>
            <w:r>
              <w:rPr>
                <w:rFonts w:ascii="Arial" w:cs="Arial" w:eastAsia="Arial" w:hAnsi="Arial"/>
                <w:sz w:val="13"/>
                <w:szCs w:val="13"/>
                <w:color w:val="auto"/>
              </w:rPr>
              <w:t>($51,533 par, due 8/2023)</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7.90%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Commercehub, Inc. </w:t>
            </w:r>
            <w:r>
              <w:rPr>
                <w:rFonts w:ascii="Arial" w:cs="Arial" w:eastAsia="Arial" w:hAnsi="Arial"/>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160" w:type="dxa"/>
            <w:vAlign w:val="bottom"/>
            <w:gridSpan w:val="2"/>
            <w:shd w:val="clear" w:color="auto" w:fill="CFF0FC"/>
          </w:tcPr>
          <w:p>
            <w:pPr>
              <w:ind w:left="20"/>
              <w:spacing w:after="0" w:line="136" w:lineRule="exact"/>
              <w:rPr>
                <w:sz w:val="20"/>
                <w:szCs w:val="20"/>
                <w:color w:val="auto"/>
              </w:rPr>
            </w:pPr>
            <w:r>
              <w:rPr>
                <w:rFonts w:ascii="Arial" w:cs="Arial" w:eastAsia="Arial" w:hAnsi="Arial"/>
                <w:sz w:val="13"/>
                <w:szCs w:val="13"/>
                <w:color w:val="auto"/>
              </w:rPr>
              <w:t>First-lien loan ($149,250 par, due</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11/15/2022</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24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11.32 %</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139,766</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134,698</w:t>
            </w:r>
          </w:p>
        </w:tc>
        <w:tc>
          <w:tcPr>
            <w:tcW w:w="146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14.9 %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shd w:val="clear" w:color="auto" w:fill="CFF0FC"/>
          </w:tcPr>
          <w:p>
            <w:pPr>
              <w:spacing w:after="0"/>
              <w:rPr>
                <w:sz w:val="12"/>
                <w:szCs w:val="12"/>
                <w:color w:val="auto"/>
              </w:rPr>
            </w:pPr>
          </w:p>
        </w:tc>
        <w:tc>
          <w:tcPr>
            <w:tcW w:w="22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3"/>
                <w:szCs w:val="13"/>
                <w:color w:val="auto"/>
              </w:rPr>
              <w:t>12/2027)</w:t>
            </w: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246,593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240,896</w:t>
            </w:r>
          </w:p>
        </w:tc>
        <w:tc>
          <w:tcPr>
            <w:tcW w:w="26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 xml:space="preserve">26.7 </w:t>
            </w:r>
            <w:r>
              <w:rPr>
                <w:rFonts w:ascii="Arial" w:cs="Arial" w:eastAsia="Arial" w:hAnsi="Arial"/>
                <w:sz w:val="13"/>
                <w:szCs w:val="13"/>
                <w:color w:val="auto"/>
                <w:highlight w:val="white"/>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Total Debt Investments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1,723,825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1,738,229</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 xml:space="preserve">191.8 </w:t>
            </w:r>
            <w:r>
              <w:rPr>
                <w:rFonts w:ascii="Arial" w:cs="Arial" w:eastAsia="Arial" w:hAnsi="Arial"/>
                <w:sz w:val="13"/>
                <w:szCs w:val="13"/>
                <w:color w:val="auto"/>
                <w:highlight w:val="white"/>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Equity and Other Investments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Healthcare</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Raptor US Buyer II Corp. </w:t>
            </w:r>
            <w:r>
              <w:rPr>
                <w:rFonts w:ascii="Arial" w:cs="Arial" w:eastAsia="Arial" w:hAnsi="Arial"/>
                <w:sz w:val="16"/>
                <w:szCs w:val="16"/>
                <w:color w:val="auto"/>
                <w:vertAlign w:val="superscript"/>
              </w:rPr>
              <w:t>(8)(10)</w:t>
            </w: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Ordinary Shares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tcPr>
          <w:p>
            <w:pPr>
              <w:ind w:left="20"/>
              <w:spacing w:after="0"/>
              <w:rPr>
                <w:sz w:val="20"/>
                <w:szCs w:val="20"/>
                <w:color w:val="auto"/>
              </w:rPr>
            </w:pPr>
            <w:r>
              <w:rPr>
                <w:rFonts w:ascii="Arial" w:cs="Arial" w:eastAsia="Arial" w:hAnsi="Arial"/>
                <w:sz w:val="13"/>
                <w:szCs w:val="13"/>
                <w:color w:val="auto"/>
              </w:rPr>
              <w:t>Class A</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1,288</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B</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tcPr>
          <w:p>
            <w:pPr>
              <w:ind w:left="20"/>
              <w:spacing w:after="0"/>
              <w:rPr>
                <w:sz w:val="20"/>
                <w:szCs w:val="20"/>
                <w:color w:val="auto"/>
              </w:rPr>
            </w:pPr>
            <w:r>
              <w:rPr>
                <w:rFonts w:ascii="Arial" w:cs="Arial" w:eastAsia="Arial" w:hAnsi="Arial"/>
                <w:sz w:val="13"/>
                <w:szCs w:val="13"/>
                <w:color w:val="auto"/>
              </w:rPr>
              <w:t>Class C</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1,288</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D</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1,288</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tcPr>
          <w:p>
            <w:pPr>
              <w:ind w:left="20"/>
              <w:spacing w:after="0"/>
              <w:rPr>
                <w:sz w:val="20"/>
                <w:szCs w:val="20"/>
                <w:color w:val="auto"/>
              </w:rPr>
            </w:pPr>
            <w:r>
              <w:rPr>
                <w:rFonts w:ascii="Arial" w:cs="Arial" w:eastAsia="Arial" w:hAnsi="Arial"/>
                <w:sz w:val="13"/>
                <w:szCs w:val="13"/>
                <w:color w:val="auto"/>
              </w:rPr>
              <w:t>Class E</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1,287</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F</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tcPr>
          <w:p>
            <w:pPr>
              <w:ind w:left="20"/>
              <w:spacing w:after="0"/>
              <w:rPr>
                <w:sz w:val="20"/>
                <w:szCs w:val="20"/>
                <w:color w:val="auto"/>
              </w:rPr>
            </w:pPr>
            <w:r>
              <w:rPr>
                <w:rFonts w:ascii="Arial" w:cs="Arial" w:eastAsia="Arial" w:hAnsi="Arial"/>
                <w:sz w:val="13"/>
                <w:szCs w:val="13"/>
                <w:color w:val="auto"/>
              </w:rPr>
              <w:t>Class G</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1,288</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H</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w w:val="85"/>
              </w:rPr>
              <w:t>12,832</w:t>
            </w:r>
          </w:p>
        </w:tc>
        <w:tc>
          <w:tcPr>
            <w:tcW w:w="1780" w:type="dxa"/>
            <w:vAlign w:val="bottom"/>
          </w:tcPr>
          <w:p>
            <w:pPr>
              <w:ind w:left="20"/>
              <w:spacing w:after="0"/>
              <w:rPr>
                <w:sz w:val="20"/>
                <w:szCs w:val="20"/>
                <w:color w:val="auto"/>
              </w:rPr>
            </w:pPr>
            <w:r>
              <w:rPr>
                <w:rFonts w:ascii="Arial" w:cs="Arial" w:eastAsia="Arial" w:hAnsi="Arial"/>
                <w:sz w:val="13"/>
                <w:szCs w:val="13"/>
                <w:color w:val="auto"/>
              </w:rPr>
              <w:t>Class I</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3/24/2023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1,287</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12,876</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12,876</w:t>
            </w: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Human Resource Support Services</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bswift, LLC </w:t>
            </w:r>
            <w:r>
              <w:rPr>
                <w:rFonts w:ascii="Arial" w:cs="Arial" w:eastAsia="Arial" w:hAnsi="Arial"/>
                <w:sz w:val="16"/>
                <w:szCs w:val="16"/>
                <w:color w:val="auto"/>
                <w:vertAlign w:val="superscript"/>
              </w:rPr>
              <w:t>(8)(10)</w:t>
            </w:r>
          </w:p>
        </w:tc>
        <w:tc>
          <w:tcPr>
            <w:tcW w:w="120" w:type="dxa"/>
            <w:vAlign w:val="bottom"/>
          </w:tcPr>
          <w:p>
            <w:pPr>
              <w:spacing w:after="0"/>
              <w:rPr>
                <w:sz w:val="14"/>
                <w:szCs w:val="14"/>
                <w:color w:val="auto"/>
              </w:rPr>
            </w:pPr>
          </w:p>
        </w:tc>
        <w:tc>
          <w:tcPr>
            <w:tcW w:w="2160" w:type="dxa"/>
            <w:vAlign w:val="bottom"/>
            <w:gridSpan w:val="2"/>
          </w:tcPr>
          <w:p>
            <w:pPr>
              <w:ind w:left="20"/>
              <w:spacing w:after="0"/>
              <w:rPr>
                <w:sz w:val="20"/>
                <w:szCs w:val="20"/>
                <w:color w:val="auto"/>
              </w:rPr>
            </w:pPr>
            <w:r>
              <w:rPr>
                <w:rFonts w:ascii="Arial" w:cs="Arial" w:eastAsia="Arial" w:hAnsi="Arial"/>
                <w:sz w:val="13"/>
                <w:szCs w:val="13"/>
                <w:color w:val="auto"/>
              </w:rPr>
              <w:t>Class A-1 Units (7,606,491 units)</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11/7/2022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7,606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7,606</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Internet Services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w w:val="96"/>
              </w:rPr>
              <w:t xml:space="preserve">SMA Technologies Holdings, LLC </w:t>
            </w:r>
            <w:r>
              <w:rPr>
                <w:rFonts w:ascii="Arial" w:cs="Arial" w:eastAsia="Arial" w:hAnsi="Arial"/>
                <w:sz w:val="16"/>
                <w:szCs w:val="16"/>
                <w:color w:val="auto"/>
                <w:w w:val="96"/>
                <w:vertAlign w:val="superscript"/>
              </w:rPr>
              <w:t>(8)(10)</w:t>
            </w:r>
          </w:p>
        </w:tc>
        <w:tc>
          <w:tcPr>
            <w:tcW w:w="1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Class A Units (200 units)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11/21/2022</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ind w:left="20"/>
              <w:spacing w:after="0"/>
              <w:rPr>
                <w:sz w:val="20"/>
                <w:szCs w:val="20"/>
                <w:color w:val="auto"/>
              </w:rPr>
            </w:pPr>
            <w:r>
              <w:rPr>
                <w:rFonts w:ascii="Arial" w:cs="Arial" w:eastAsia="Arial" w:hAnsi="Arial"/>
                <w:sz w:val="13"/>
                <w:szCs w:val="13"/>
                <w:color w:val="auto"/>
              </w:rPr>
              <w:t>Class B Units (142,038 units)</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11/21/2022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6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b w:val="1"/>
                <w:bCs w:val="1"/>
                <w:color w:val="auto"/>
              </w:rPr>
              <w:t>Total Equity and Other</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3"/>
                <w:szCs w:val="13"/>
                <w:color w:val="auto"/>
              </w:rPr>
              <w:t>20,682</w:t>
            </w:r>
          </w:p>
        </w:tc>
        <w:tc>
          <w:tcPr>
            <w:tcW w:w="26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3"/>
                <w:szCs w:val="13"/>
                <w:color w:val="auto"/>
              </w:rPr>
              <w:t>20,682</w:t>
            </w:r>
          </w:p>
        </w:tc>
        <w:tc>
          <w:tcPr>
            <w:tcW w:w="260" w:type="dxa"/>
            <w:vAlign w:val="bottom"/>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3"/>
                <w:szCs w:val="13"/>
                <w:color w:val="auto"/>
              </w:rPr>
              <w:t>2.2</w:t>
            </w:r>
          </w:p>
        </w:tc>
        <w:tc>
          <w:tcPr>
            <w:tcW w:w="140" w:type="dxa"/>
            <w:vAlign w:val="bottom"/>
            <w:shd w:val="clear" w:color="auto" w:fill="CFF0FC"/>
          </w:tcPr>
          <w:p>
            <w:pPr>
              <w:jc w:val="right"/>
              <w:spacing w:after="0" w:line="124" w:lineRule="exact"/>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Investments</w:t>
            </w:r>
          </w:p>
        </w:tc>
        <w:tc>
          <w:tcPr>
            <w:tcW w:w="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Total Investments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1,744,507</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1,758,911</w:t>
            </w: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 xml:space="preserve">194.0 </w:t>
            </w:r>
            <w:r>
              <w:rPr>
                <w:rFonts w:ascii="Arial" w:cs="Arial" w:eastAsia="Arial" w:hAnsi="Arial"/>
                <w:sz w:val="13"/>
                <w:szCs w:val="13"/>
                <w:b w:val="1"/>
                <w:bCs w:val="1"/>
                <w:color w:val="auto"/>
                <w:highlight w:val="white"/>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-3171190</wp:posOffset>
            </wp:positionV>
            <wp:extent cx="8572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-3171190</wp:posOffset>
            </wp:positionV>
            <wp:extent cx="7747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-2948305</wp:posOffset>
            </wp:positionV>
            <wp:extent cx="85725"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-2948305</wp:posOffset>
            </wp:positionV>
            <wp:extent cx="7747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-1276350</wp:posOffset>
            </wp:positionV>
            <wp:extent cx="8572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1112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-1276350</wp:posOffset>
            </wp:positionV>
            <wp:extent cx="7747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-1276350</wp:posOffset>
            </wp:positionV>
            <wp:extent cx="85725"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1112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-436880</wp:posOffset>
            </wp:positionV>
            <wp:extent cx="8572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-436880</wp:posOffset>
            </wp:positionV>
            <wp:extent cx="7747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-436880</wp:posOffset>
            </wp:positionV>
            <wp:extent cx="8572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-136525</wp:posOffset>
            </wp:positionV>
            <wp:extent cx="857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774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87" w:lineRule="exact"/>
        <w:rPr>
          <w:sz w:val="20"/>
          <w:szCs w:val="20"/>
          <w:color w:val="auto"/>
        </w:rPr>
      </w:pPr>
    </w:p>
    <w:p>
      <w:pPr>
        <w:ind w:left="520" w:right="100" w:hanging="512"/>
        <w:spacing w:after="0" w:line="258"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more than 25% of its outstanding voting securities and/or had the power to exercise control over the management or policies of</w:t>
      </w:r>
    </w:p>
    <w:p>
      <w:pPr>
        <w:spacing w:after="0" w:line="9" w:lineRule="exact"/>
        <w:rPr>
          <w:rFonts w:ascii="Arial" w:cs="Arial" w:eastAsia="Arial" w:hAnsi="Arial"/>
          <w:sz w:val="18"/>
          <w:szCs w:val="18"/>
          <w:color w:val="auto"/>
        </w:rPr>
      </w:pPr>
    </w:p>
    <w:p>
      <w:pPr>
        <w:ind w:left="520" w:right="360"/>
        <w:spacing w:after="0" w:line="265" w:lineRule="auto"/>
        <w:rPr>
          <w:rFonts w:ascii="Arial" w:cs="Arial" w:eastAsia="Arial" w:hAnsi="Arial"/>
          <w:sz w:val="18"/>
          <w:szCs w:val="18"/>
          <w:color w:val="auto"/>
        </w:rPr>
      </w:pPr>
      <w:r>
        <w:rPr>
          <w:rFonts w:ascii="Arial" w:cs="Arial" w:eastAsia="Arial" w:hAnsi="Arial"/>
          <w:sz w:val="17"/>
          <w:szCs w:val="17"/>
          <w:color w:val="auto"/>
        </w:rPr>
        <w:t>such portfolio company. As of June 30, 2023, the Company does not “control” any of the portfolio companies. Also under the 1940 Act, the Company would be deemed to be an “Affiliated Person” of a portfolio company if the Company owns more than 5% of the portfolio company’s outstanding voting securities. As of June 30, 2023, the Company does not identify any of its portfolio companies as affiliates.</w:t>
      </w:r>
    </w:p>
    <w:p>
      <w:pPr>
        <w:ind w:left="5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w:t>
      </w:r>
    </w:p>
    <w:p>
      <w:pPr>
        <w:spacing w:after="0" w:line="9" w:lineRule="exact"/>
        <w:rPr>
          <w:rFonts w:ascii="Arial" w:cs="Arial" w:eastAsia="Arial" w:hAnsi="Arial"/>
          <w:sz w:val="18"/>
          <w:szCs w:val="18"/>
          <w:color w:val="auto"/>
        </w:rPr>
      </w:pPr>
    </w:p>
    <w:p>
      <w:pPr>
        <w:ind w:left="520" w:right="40"/>
        <w:spacing w:after="0" w:line="265" w:lineRule="auto"/>
        <w:rPr>
          <w:rFonts w:ascii="Arial" w:cs="Arial" w:eastAsia="Arial" w:hAnsi="Arial"/>
          <w:sz w:val="18"/>
          <w:szCs w:val="18"/>
          <w:color w:val="auto"/>
        </w:rPr>
      </w:pPr>
      <w:r>
        <w:rPr>
          <w:rFonts w:ascii="Arial" w:cs="Arial" w:eastAsia="Arial" w:hAnsi="Arial"/>
          <w:sz w:val="17"/>
          <w:szCs w:val="17"/>
          <w:color w:val="auto"/>
        </w:rPr>
        <w:t>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2023.</w:t>
      </w:r>
    </w:p>
    <w:p>
      <w:pPr>
        <w:ind w:left="520" w:right="2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3.4% of total assets as of June 30, 2023.</w:t>
      </w:r>
    </w:p>
    <w:p>
      <w:pPr>
        <w:spacing w:after="0" w:line="1" w:lineRule="exact"/>
        <w:rPr>
          <w:rFonts w:ascii="Arial" w:cs="Arial" w:eastAsia="Arial" w:hAnsi="Arial"/>
          <w:sz w:val="18"/>
          <w:szCs w:val="18"/>
          <w:color w:val="auto"/>
        </w:rPr>
      </w:pPr>
    </w:p>
    <w:p>
      <w:pPr>
        <w:ind w:left="520" w:right="40" w:hanging="512"/>
        <w:spacing w:after="0" w:line="273"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7" w:name="page8"/>
    <w:bookmarkEnd w:id="7"/>
    <w:p>
      <w:pPr>
        <w:ind w:left="512" w:right="2100" w:hanging="512"/>
        <w:spacing w:after="0" w:line="254" w:lineRule="auto"/>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5 for further information related to investments at fair value.</w:t>
      </w:r>
    </w:p>
    <w:p>
      <w:pPr>
        <w:spacing w:after="0" w:line="2" w:lineRule="exact"/>
        <w:rPr>
          <w:rFonts w:ascii="Arial" w:cs="Arial" w:eastAsia="Arial" w:hAnsi="Arial"/>
          <w:sz w:val="18"/>
          <w:szCs w:val="18"/>
          <w:color w:val="auto"/>
        </w:rPr>
      </w:pPr>
    </w:p>
    <w:p>
      <w:pPr>
        <w:ind w:left="512" w:right="260" w:hanging="512"/>
        <w:spacing w:after="0" w:line="250" w:lineRule="auto"/>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2023, the estimated cost basis of investments for U.S. federal tax purposes was $1,749,843 resulting in estimated gross unrealized gains and losses of $25,007 and $18,536, respectfully.</w:t>
      </w:r>
    </w:p>
    <w:p>
      <w:pPr>
        <w:ind w:left="512" w:hanging="512"/>
        <w:spacing w:after="0"/>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512" w:hanging="512"/>
        <w:spacing w:after="0"/>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9" w:lineRule="exact"/>
        <w:rPr>
          <w:rFonts w:ascii="Arial" w:cs="Arial" w:eastAsia="Arial" w:hAnsi="Arial"/>
          <w:sz w:val="18"/>
          <w:szCs w:val="18"/>
          <w:color w:val="auto"/>
        </w:rPr>
      </w:pPr>
    </w:p>
    <w:p>
      <w:pPr>
        <w:ind w:left="512" w:right="40" w:hanging="512"/>
        <w:spacing w:after="0" w:line="250" w:lineRule="auto"/>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as amended (the “Securities Act”), and may be deemed to be “restricted securities” under the Securities Act. As of June 30, 2023, the aggregate fair value of these securities is $20,682, or 2.2% of the Company’s net assets.</w:t>
      </w:r>
    </w:p>
    <w:p>
      <w:pPr>
        <w:spacing w:after="0" w:line="1" w:lineRule="exact"/>
        <w:rPr>
          <w:rFonts w:ascii="Arial" w:cs="Arial" w:eastAsia="Arial" w:hAnsi="Arial"/>
          <w:sz w:val="18"/>
          <w:szCs w:val="18"/>
          <w:color w:val="auto"/>
        </w:rPr>
      </w:pPr>
    </w:p>
    <w:p>
      <w:pPr>
        <w:ind w:left="512" w:hanging="512"/>
        <w:spacing w:after="0" w:line="253" w:lineRule="auto"/>
        <w:tabs>
          <w:tab w:leader="none" w:pos="51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principal amount outstanding and accrued interest owed on this investment, the Company is entitled to a separate Make-Whole Amount (the “Make-Whole”) of $19.9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2022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Reference</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(1)(9)</w:t>
            </w:r>
          </w:p>
        </w:tc>
        <w:tc>
          <w:tcPr>
            <w:tcW w:w="140" w:type="dxa"/>
            <w:vAlign w:val="bottom"/>
          </w:tcPr>
          <w:p>
            <w:pPr>
              <w:spacing w:after="0"/>
              <w:rPr>
                <w:sz w:val="11"/>
                <w:szCs w:val="11"/>
                <w:color w:val="auto"/>
              </w:rPr>
            </w:pPr>
          </w:p>
        </w:tc>
        <w:tc>
          <w:tcPr>
            <w:tcW w:w="196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4"/>
              </w:rPr>
              <w:t>Acquisition</w:t>
            </w:r>
          </w:p>
        </w:tc>
        <w:tc>
          <w:tcPr>
            <w:tcW w:w="14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7"/>
              </w:rPr>
              <w:t>Rate and</w:t>
            </w:r>
          </w:p>
        </w:tc>
        <w:tc>
          <w:tcPr>
            <w:tcW w:w="260" w:type="dxa"/>
            <w:vAlign w:val="bottom"/>
          </w:tcPr>
          <w:p>
            <w:pPr>
              <w:spacing w:after="0"/>
              <w:rPr>
                <w:sz w:val="11"/>
                <w:szCs w:val="11"/>
                <w:color w:val="auto"/>
              </w:rPr>
            </w:pPr>
          </w:p>
        </w:tc>
        <w:tc>
          <w:tcPr>
            <w:tcW w:w="1340" w:type="dxa"/>
            <w:vAlign w:val="bottom"/>
            <w:gridSpan w:val="3"/>
            <w:vMerge w:val="restart"/>
          </w:tcPr>
          <w:p>
            <w:pPr>
              <w:jc w:val="right"/>
              <w:ind w:right="437"/>
              <w:spacing w:after="0"/>
              <w:rPr>
                <w:sz w:val="20"/>
                <w:szCs w:val="20"/>
                <w:color w:val="auto"/>
              </w:rPr>
            </w:pPr>
            <w:r>
              <w:rPr>
                <w:rFonts w:ascii="Arial" w:cs="Arial" w:eastAsia="Arial" w:hAnsi="Arial"/>
                <w:sz w:val="13"/>
                <w:szCs w:val="13"/>
                <w:b w:val="1"/>
                <w:bCs w:val="1"/>
                <w:color w:val="auto"/>
              </w:rPr>
              <w:t>Interest Rate</w:t>
            </w:r>
          </w:p>
        </w:tc>
        <w:tc>
          <w:tcPr>
            <w:tcW w:w="800" w:type="dxa"/>
            <w:vAlign w:val="bottom"/>
          </w:tcPr>
          <w:p>
            <w:pPr>
              <w:jc w:val="right"/>
              <w:ind w:right="97"/>
              <w:spacing w:after="0" w:line="132" w:lineRule="exact"/>
              <w:rPr>
                <w:sz w:val="20"/>
                <w:szCs w:val="20"/>
                <w:color w:val="auto"/>
              </w:rPr>
            </w:pPr>
            <w:r>
              <w:rPr>
                <w:rFonts w:ascii="Arial" w:cs="Arial" w:eastAsia="Arial" w:hAnsi="Arial"/>
                <w:sz w:val="13"/>
                <w:szCs w:val="13"/>
                <w:b w:val="1"/>
                <w:bCs w:val="1"/>
                <w:color w:val="auto"/>
                <w:w w:val="97"/>
              </w:rPr>
              <w:t>Amortized</w:t>
            </w:r>
          </w:p>
        </w:tc>
        <w:tc>
          <w:tcPr>
            <w:tcW w:w="260" w:type="dxa"/>
            <w:vAlign w:val="bottom"/>
          </w:tcPr>
          <w:p>
            <w:pPr>
              <w:spacing w:after="0"/>
              <w:rPr>
                <w:sz w:val="11"/>
                <w:szCs w:val="11"/>
                <w:color w:val="auto"/>
              </w:rPr>
            </w:pPr>
          </w:p>
        </w:tc>
        <w:tc>
          <w:tcPr>
            <w:tcW w:w="700" w:type="dxa"/>
            <w:vAlign w:val="bottom"/>
          </w:tcPr>
          <w:p>
            <w:pPr>
              <w:jc w:val="right"/>
              <w:ind w:right="15"/>
              <w:spacing w:after="0" w:line="132" w:lineRule="exact"/>
              <w:rPr>
                <w:sz w:val="20"/>
                <w:szCs w:val="20"/>
                <w:color w:val="auto"/>
              </w:rPr>
            </w:pPr>
            <w:r>
              <w:rPr>
                <w:rFonts w:ascii="Arial" w:cs="Arial" w:eastAsia="Arial" w:hAnsi="Arial"/>
                <w:sz w:val="13"/>
                <w:szCs w:val="13"/>
                <w:b w:val="1"/>
                <w:bCs w:val="1"/>
                <w:color w:val="auto"/>
                <w:w w:val="96"/>
              </w:rPr>
              <w:t>Fair Value</w:t>
            </w:r>
          </w:p>
        </w:tc>
        <w:tc>
          <w:tcPr>
            <w:tcW w:w="280" w:type="dxa"/>
            <w:vAlign w:val="bottom"/>
          </w:tcPr>
          <w:p>
            <w:pPr>
              <w:spacing w:after="0"/>
              <w:rPr>
                <w:sz w:val="11"/>
                <w:szCs w:val="11"/>
                <w:color w:val="auto"/>
              </w:rPr>
            </w:pPr>
          </w:p>
        </w:tc>
        <w:tc>
          <w:tcPr>
            <w:tcW w:w="1060" w:type="dxa"/>
            <w:vAlign w:val="bottom"/>
            <w:gridSpan w:val="2"/>
          </w:tcPr>
          <w:p>
            <w:pPr>
              <w:jc w:val="right"/>
              <w:ind w:right="237"/>
              <w:spacing w:after="0" w:line="132"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6"/>
              </w:rPr>
              <w:t>Spread</w:t>
            </w:r>
          </w:p>
        </w:tc>
        <w:tc>
          <w:tcPr>
            <w:tcW w:w="2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0" w:type="dxa"/>
            <w:vAlign w:val="bottom"/>
          </w:tcPr>
          <w:p>
            <w:pPr>
              <w:jc w:val="right"/>
              <w:ind w:right="137"/>
              <w:spacing w:after="0" w:line="170" w:lineRule="exact"/>
              <w:rPr>
                <w:sz w:val="20"/>
                <w:szCs w:val="20"/>
                <w:color w:val="auto"/>
              </w:rPr>
            </w:pPr>
            <w:r>
              <w:rPr>
                <w:rFonts w:ascii="Arial" w:cs="Arial" w:eastAsia="Arial" w:hAnsi="Arial"/>
                <w:sz w:val="19"/>
                <w:szCs w:val="19"/>
                <w:b w:val="1"/>
                <w:bCs w:val="1"/>
                <w:color w:val="auto"/>
                <w:vertAlign w:val="subscript"/>
              </w:rPr>
              <w:t>Cost</w:t>
            </w:r>
            <w:r>
              <w:rPr>
                <w:rFonts w:ascii="Arial" w:cs="Arial" w:eastAsia="Arial" w:hAnsi="Arial"/>
                <w:sz w:val="7"/>
                <w:szCs w:val="7"/>
                <w:b w:val="1"/>
                <w:bCs w:val="1"/>
                <w:color w:val="auto"/>
              </w:rPr>
              <w:t xml:space="preserve"> (2) (7)</w:t>
            </w:r>
          </w:p>
        </w:tc>
        <w:tc>
          <w:tcPr>
            <w:tcW w:w="960" w:type="dxa"/>
            <w:vAlign w:val="bottom"/>
            <w:gridSpan w:val="2"/>
          </w:tcPr>
          <w:p>
            <w:pPr>
              <w:jc w:val="center"/>
              <w:ind w:left="198"/>
              <w:spacing w:after="0"/>
              <w:rPr>
                <w:sz w:val="20"/>
                <w:szCs w:val="20"/>
                <w:color w:val="auto"/>
              </w:rPr>
            </w:pPr>
            <w:r>
              <w:rPr>
                <w:rFonts w:ascii="Arial" w:cs="Arial" w:eastAsia="Arial" w:hAnsi="Arial"/>
                <w:sz w:val="8"/>
                <w:szCs w:val="8"/>
                <w:b w:val="1"/>
                <w:bCs w:val="1"/>
                <w:color w:val="auto"/>
              </w:rPr>
              <w:t>(6)</w:t>
            </w:r>
          </w:p>
        </w:tc>
        <w:tc>
          <w:tcPr>
            <w:tcW w:w="280" w:type="dxa"/>
            <w:vAlign w:val="bottom"/>
          </w:tcPr>
          <w:p>
            <w:pPr>
              <w:spacing w:after="0"/>
              <w:rPr>
                <w:sz w:val="14"/>
                <w:szCs w:val="14"/>
                <w:color w:val="auto"/>
              </w:rPr>
            </w:pPr>
          </w:p>
        </w:tc>
        <w:tc>
          <w:tcPr>
            <w:tcW w:w="106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93"/>
              </w:rPr>
              <w:t>of Net Assets</w:t>
            </w:r>
          </w:p>
        </w:tc>
        <w:tc>
          <w:tcPr>
            <w:tcW w:w="0" w:type="dxa"/>
            <w:vAlign w:val="bottom"/>
          </w:tcPr>
          <w:p>
            <w:pPr>
              <w:spacing w:after="0"/>
              <w:rPr>
                <w:sz w:val="1"/>
                <w:szCs w:val="1"/>
                <w:color w:val="auto"/>
              </w:rPr>
            </w:pPr>
          </w:p>
        </w:tc>
      </w:tr>
      <w:tr>
        <w:trPr>
          <w:trHeight w:val="156"/>
        </w:trPr>
        <w:tc>
          <w:tcPr>
            <w:tcW w:w="2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Debt Investments</w:t>
            </w:r>
          </w:p>
        </w:tc>
        <w:tc>
          <w:tcPr>
            <w:tcW w:w="140" w:type="dxa"/>
            <w:vAlign w:val="bottom"/>
            <w:shd w:val="clear" w:color="auto" w:fill="CFF0FC"/>
          </w:tcPr>
          <w:p>
            <w:pPr>
              <w:spacing w:after="0"/>
              <w:rPr>
                <w:sz w:val="13"/>
                <w:szCs w:val="13"/>
                <w:color w:val="auto"/>
              </w:rPr>
            </w:pPr>
          </w:p>
        </w:tc>
        <w:tc>
          <w:tcPr>
            <w:tcW w:w="19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Business Services</w:t>
            </w: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Hornetsecurity Holding GmbH </w:t>
            </w:r>
            <w:r>
              <w:rPr>
                <w:rFonts w:ascii="Arial" w:cs="Arial" w:eastAsia="Arial" w:hAnsi="Arial"/>
                <w:sz w:val="15"/>
                <w:szCs w:val="15"/>
                <w:color w:val="auto"/>
                <w:vertAlign w:val="superscript"/>
              </w:rPr>
              <w:t>(3)(4)</w:t>
            </w:r>
          </w:p>
        </w:tc>
        <w:tc>
          <w:tcPr>
            <w:tcW w:w="1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First-lien loan (EUR 3,362 par, due</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11/14/2022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E + 6.50%</w:t>
            </w:r>
          </w:p>
        </w:tc>
        <w:tc>
          <w:tcPr>
            <w:tcW w:w="1600" w:type="dxa"/>
            <w:vAlign w:val="bottom"/>
            <w:gridSpan w:val="4"/>
            <w:shd w:val="clear" w:color="auto" w:fill="CFF0FC"/>
          </w:tcPr>
          <w:p>
            <w:pPr>
              <w:jc w:val="right"/>
              <w:spacing w:after="0" w:line="134" w:lineRule="exact"/>
              <w:rPr>
                <w:sz w:val="20"/>
                <w:szCs w:val="20"/>
                <w:color w:val="auto"/>
              </w:rPr>
            </w:pPr>
            <w:r>
              <w:rPr>
                <w:rFonts w:ascii="Arial" w:cs="Arial" w:eastAsia="Arial" w:hAnsi="Arial"/>
                <w:sz w:val="13"/>
                <w:szCs w:val="13"/>
                <w:color w:val="auto"/>
              </w:rPr>
              <w:t>8.26 %   $</w:t>
            </w: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3,139</w:t>
            </w:r>
          </w:p>
        </w:tc>
        <w:tc>
          <w:tcPr>
            <w:tcW w:w="960" w:type="dxa"/>
            <w:vAlign w:val="bottom"/>
            <w:gridSpan w:val="2"/>
            <w:shd w:val="clear" w:color="auto" w:fill="CFF0FC"/>
          </w:tcPr>
          <w:p>
            <w:pPr>
              <w:jc w:val="right"/>
              <w:ind w:right="555"/>
              <w:spacing w:after="0" w:line="134" w:lineRule="exact"/>
              <w:rPr>
                <w:sz w:val="20"/>
                <w:szCs w:val="20"/>
                <w:color w:val="auto"/>
              </w:rPr>
            </w:pPr>
            <w:r>
              <w:rPr>
                <w:rFonts w:ascii="Arial" w:cs="Arial" w:eastAsia="Arial" w:hAnsi="Arial"/>
                <w:sz w:val="13"/>
                <w:szCs w:val="13"/>
                <w:color w:val="auto"/>
              </w:rPr>
              <w:t>$</w:t>
            </w:r>
          </w:p>
        </w:tc>
        <w:tc>
          <w:tcPr>
            <w:tcW w:w="134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35"/>
        </w:trPr>
        <w:tc>
          <w:tcPr>
            <w:tcW w:w="2480" w:type="dxa"/>
            <w:vAlign w:val="bottom"/>
            <w:shd w:val="clear" w:color="auto" w:fill="CFF0FC"/>
          </w:tcPr>
          <w:p>
            <w:pPr>
              <w:spacing w:after="0"/>
              <w:rPr>
                <w:sz w:val="11"/>
                <w:szCs w:val="11"/>
                <w:color w:val="auto"/>
              </w:rPr>
            </w:pPr>
          </w:p>
        </w:tc>
        <w:tc>
          <w:tcPr>
            <w:tcW w:w="2100" w:type="dxa"/>
            <w:vAlign w:val="bottom"/>
            <w:gridSpan w:val="2"/>
            <w:shd w:val="clear" w:color="auto" w:fill="CFF0FC"/>
          </w:tcPr>
          <w:p>
            <w:pPr>
              <w:ind w:left="140"/>
              <w:spacing w:after="0" w:line="135" w:lineRule="exact"/>
              <w:rPr>
                <w:sz w:val="20"/>
                <w:szCs w:val="20"/>
                <w:color w:val="auto"/>
              </w:rPr>
            </w:pPr>
            <w:r>
              <w:rPr>
                <w:rFonts w:ascii="Arial" w:cs="Arial" w:eastAsia="Arial" w:hAnsi="Arial"/>
                <w:sz w:val="13"/>
                <w:szCs w:val="13"/>
                <w:color w:val="auto"/>
              </w:rPr>
              <w:t>11/2029)</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3,213</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(EUR 3,011)</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tcPr>
          <w:p>
            <w:pPr>
              <w:ind w:left="20"/>
              <w:spacing w:after="0" w:line="134" w:lineRule="exact"/>
              <w:rPr>
                <w:sz w:val="20"/>
                <w:szCs w:val="20"/>
                <w:color w:val="auto"/>
              </w:rPr>
            </w:pPr>
            <w:r>
              <w:rPr>
                <w:rFonts w:ascii="Arial" w:cs="Arial" w:eastAsia="Arial" w:hAnsi="Arial"/>
                <w:sz w:val="12"/>
                <w:szCs w:val="12"/>
                <w:color w:val="auto"/>
              </w:rPr>
              <w:t>OutSystems Luxco SARL</w:t>
            </w:r>
            <w:r>
              <w:rPr>
                <w:rFonts w:ascii="Arial" w:cs="Arial" w:eastAsia="Arial" w:hAnsi="Arial"/>
                <w:sz w:val="15"/>
                <w:szCs w:val="15"/>
                <w:color w:val="auto"/>
                <w:vertAlign w:val="superscript"/>
              </w:rPr>
              <w:t>(3)(4)(5)</w:t>
            </w:r>
          </w:p>
        </w:tc>
        <w:tc>
          <w:tcPr>
            <w:tcW w:w="140" w:type="dxa"/>
            <w:vAlign w:val="bottom"/>
          </w:tcPr>
          <w:p>
            <w:pPr>
              <w:spacing w:after="0"/>
              <w:rPr>
                <w:sz w:val="11"/>
                <w:szCs w:val="11"/>
                <w:color w:val="auto"/>
              </w:rPr>
            </w:pPr>
          </w:p>
        </w:tc>
        <w:tc>
          <w:tcPr>
            <w:tcW w:w="1960" w:type="dxa"/>
            <w:vAlign w:val="bottom"/>
          </w:tcPr>
          <w:p>
            <w:pPr>
              <w:spacing w:after="0" w:line="134" w:lineRule="exact"/>
              <w:rPr>
                <w:sz w:val="20"/>
                <w:szCs w:val="20"/>
                <w:color w:val="auto"/>
              </w:rPr>
            </w:pPr>
            <w:r>
              <w:rPr>
                <w:rFonts w:ascii="Arial" w:cs="Arial" w:eastAsia="Arial" w:hAnsi="Arial"/>
                <w:sz w:val="13"/>
                <w:szCs w:val="13"/>
                <w:color w:val="auto"/>
                <w:w w:val="96"/>
              </w:rPr>
              <w:t>First-lien loan (EUR 3,206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12/8/2022</w:t>
            </w:r>
          </w:p>
        </w:tc>
        <w:tc>
          <w:tcPr>
            <w:tcW w:w="14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E + 5.75%</w:t>
            </w:r>
          </w:p>
        </w:tc>
        <w:tc>
          <w:tcPr>
            <w:tcW w:w="148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7.74 %</w:t>
            </w: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color w:val="auto"/>
              </w:rPr>
              <w:t>3,060</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3,112</w:t>
            </w:r>
          </w:p>
        </w:tc>
        <w:tc>
          <w:tcPr>
            <w:tcW w:w="134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Arial" w:cs="Arial" w:eastAsia="Arial" w:hAnsi="Arial"/>
                <w:sz w:val="13"/>
                <w:szCs w:val="13"/>
                <w:color w:val="auto"/>
              </w:rPr>
              <w:t>12/2028)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(EUR 2,916)</w:t>
            </w: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9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6,199</w:t>
            </w:r>
          </w:p>
        </w:tc>
        <w:tc>
          <w:tcPr>
            <w:tcW w:w="2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6,325</w:t>
            </w:r>
          </w:p>
        </w:tc>
        <w:tc>
          <w:tcPr>
            <w:tcW w:w="2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Chemicals</w:t>
            </w: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Erling Lux Bidco SARL </w:t>
            </w:r>
            <w:r>
              <w:rPr>
                <w:rFonts w:ascii="Arial" w:cs="Arial" w:eastAsia="Arial" w:hAnsi="Arial"/>
                <w:sz w:val="15"/>
                <w:szCs w:val="15"/>
                <w:color w:val="auto"/>
                <w:vertAlign w:val="superscript"/>
              </w:rPr>
              <w:t>(3)(4)</w:t>
            </w:r>
          </w:p>
        </w:tc>
        <w:tc>
          <w:tcPr>
            <w:tcW w:w="1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First-lien loan (EUR 7,726 par, due</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9/6/2022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E + 6.75%</w:t>
            </w:r>
          </w:p>
        </w:tc>
        <w:tc>
          <w:tcPr>
            <w:tcW w:w="148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8.73 %</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6,907</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7,326</w:t>
            </w:r>
          </w:p>
        </w:tc>
        <w:tc>
          <w:tcPr>
            <w:tcW w:w="134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63"/>
        </w:trPr>
        <w:tc>
          <w:tcPr>
            <w:tcW w:w="2480" w:type="dxa"/>
            <w:vAlign w:val="bottom"/>
            <w:shd w:val="clear" w:color="auto" w:fill="CFF0FC"/>
          </w:tcPr>
          <w:p>
            <w:pPr>
              <w:spacing w:after="0"/>
              <w:rPr>
                <w:sz w:val="14"/>
                <w:szCs w:val="14"/>
                <w:color w:val="auto"/>
              </w:rPr>
            </w:pP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9/2028)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(EUR 6,864)</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tcPr>
          <w:p>
            <w:pPr>
              <w:spacing w:after="0" w:line="134" w:lineRule="exact"/>
              <w:rPr>
                <w:sz w:val="20"/>
                <w:szCs w:val="20"/>
                <w:color w:val="auto"/>
              </w:rPr>
            </w:pPr>
            <w:r>
              <w:rPr>
                <w:rFonts w:ascii="Arial" w:cs="Arial" w:eastAsia="Arial" w:hAnsi="Arial"/>
                <w:sz w:val="13"/>
                <w:szCs w:val="13"/>
                <w:color w:val="auto"/>
                <w:w w:val="93"/>
              </w:rPr>
              <w:t>First-lien loan (GBP 12,291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9/6/2022</w:t>
            </w:r>
          </w:p>
        </w:tc>
        <w:tc>
          <w:tcPr>
            <w:tcW w:w="14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S + 6.75%</w:t>
            </w:r>
          </w:p>
        </w:tc>
        <w:tc>
          <w:tcPr>
            <w:tcW w:w="148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10.20 %</w:t>
            </w: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color w:val="auto"/>
              </w:rPr>
              <w:t>11,245</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11,922</w:t>
            </w:r>
          </w:p>
        </w:tc>
        <w:tc>
          <w:tcPr>
            <w:tcW w:w="134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Arial" w:cs="Arial" w:eastAsia="Arial" w:hAnsi="Arial"/>
                <w:sz w:val="13"/>
                <w:szCs w:val="13"/>
                <w:color w:val="auto"/>
              </w:rPr>
              <w:t>9/2028)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(GBP 9,911)</w:t>
            </w: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9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18,152</w:t>
            </w:r>
          </w:p>
        </w:tc>
        <w:tc>
          <w:tcPr>
            <w:tcW w:w="2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19,248</w:t>
            </w:r>
          </w:p>
        </w:tc>
        <w:tc>
          <w:tcPr>
            <w:tcW w:w="2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Financial Services</w:t>
            </w: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BTRS Holdings, Inc. </w:t>
            </w:r>
            <w:r>
              <w:rPr>
                <w:rFonts w:ascii="Arial" w:cs="Arial" w:eastAsia="Arial" w:hAnsi="Arial"/>
                <w:sz w:val="15"/>
                <w:szCs w:val="15"/>
                <w:color w:val="auto"/>
                <w:vertAlign w:val="superscript"/>
              </w:rPr>
              <w:t>(3)</w:t>
            </w:r>
          </w:p>
        </w:tc>
        <w:tc>
          <w:tcPr>
            <w:tcW w:w="1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First-lien loan ($135,540 par, due</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12/16/2022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48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12.50 %</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131,066</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130,290</w:t>
            </w:r>
          </w:p>
        </w:tc>
        <w:tc>
          <w:tcPr>
            <w:tcW w:w="134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23.8 %</w:t>
            </w:r>
          </w:p>
        </w:tc>
        <w:tc>
          <w:tcPr>
            <w:tcW w:w="0" w:type="dxa"/>
            <w:vAlign w:val="bottom"/>
          </w:tcPr>
          <w:p>
            <w:pPr>
              <w:spacing w:after="0"/>
              <w:rPr>
                <w:sz w:val="1"/>
                <w:szCs w:val="1"/>
                <w:color w:val="auto"/>
              </w:rPr>
            </w:pPr>
          </w:p>
        </w:tc>
      </w:tr>
      <w:tr>
        <w:trPr>
          <w:trHeight w:val="163"/>
        </w:trPr>
        <w:tc>
          <w:tcPr>
            <w:tcW w:w="2480" w:type="dxa"/>
            <w:vAlign w:val="bottom"/>
            <w:shd w:val="clear" w:color="auto" w:fill="CFF0FC"/>
          </w:tcPr>
          <w:p>
            <w:pPr>
              <w:spacing w:after="0"/>
              <w:rPr>
                <w:sz w:val="14"/>
                <w:szCs w:val="14"/>
                <w:color w:val="auto"/>
              </w:rPr>
            </w:pP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12/2028)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8.00%</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Ping Identity Holding Corp. </w:t>
            </w:r>
            <w:r>
              <w:rPr>
                <w:rFonts w:ascii="Arial" w:cs="Arial" w:eastAsia="Arial" w:hAnsi="Arial"/>
                <w:sz w:val="15"/>
                <w:szCs w:val="15"/>
                <w:color w:val="auto"/>
                <w:vertAlign w:val="superscript"/>
              </w:rPr>
              <w:t>(3)</w:t>
            </w:r>
          </w:p>
        </w:tc>
        <w:tc>
          <w:tcPr>
            <w:tcW w:w="140" w:type="dxa"/>
            <w:vAlign w:val="bottom"/>
          </w:tcPr>
          <w:p>
            <w:pPr>
              <w:spacing w:after="0"/>
              <w:rPr>
                <w:sz w:val="11"/>
                <w:szCs w:val="11"/>
                <w:color w:val="auto"/>
              </w:rPr>
            </w:pPr>
          </w:p>
        </w:tc>
        <w:tc>
          <w:tcPr>
            <w:tcW w:w="1960" w:type="dxa"/>
            <w:vAlign w:val="bottom"/>
          </w:tcPr>
          <w:p>
            <w:pPr>
              <w:spacing w:after="0" w:line="134" w:lineRule="exact"/>
              <w:rPr>
                <w:sz w:val="20"/>
                <w:szCs w:val="20"/>
                <w:color w:val="auto"/>
              </w:rPr>
            </w:pPr>
            <w:r>
              <w:rPr>
                <w:rFonts w:ascii="Arial" w:cs="Arial" w:eastAsia="Arial" w:hAnsi="Arial"/>
                <w:sz w:val="13"/>
                <w:szCs w:val="13"/>
                <w:color w:val="auto"/>
              </w:rPr>
              <w:t>First-lien loan ($136,364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10/17/2022</w:t>
            </w:r>
          </w:p>
        </w:tc>
        <w:tc>
          <w:tcPr>
            <w:tcW w:w="14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48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11.32 %</w:t>
            </w: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color w:val="auto"/>
              </w:rPr>
              <w:t>132,727</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131,864</w:t>
            </w:r>
          </w:p>
        </w:tc>
        <w:tc>
          <w:tcPr>
            <w:tcW w:w="134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24.1 %</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00" w:type="dxa"/>
            <w:vAlign w:val="bottom"/>
            <w:gridSpan w:val="2"/>
          </w:tcPr>
          <w:p>
            <w:pPr>
              <w:ind w:left="140"/>
              <w:spacing w:after="0"/>
              <w:rPr>
                <w:sz w:val="20"/>
                <w:szCs w:val="20"/>
                <w:color w:val="auto"/>
              </w:rPr>
            </w:pPr>
            <w:r>
              <w:rPr>
                <w:rFonts w:ascii="Arial" w:cs="Arial" w:eastAsia="Arial" w:hAnsi="Arial"/>
                <w:sz w:val="13"/>
                <w:szCs w:val="13"/>
                <w:color w:val="auto"/>
              </w:rPr>
              <w:t>10/2029)</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7.00%</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9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263,793</w:t>
            </w:r>
          </w:p>
        </w:tc>
        <w:tc>
          <w:tcPr>
            <w:tcW w:w="2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262,154</w:t>
            </w:r>
          </w:p>
        </w:tc>
        <w:tc>
          <w:tcPr>
            <w:tcW w:w="2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47.9</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56"/>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Human Resource Support Services</w:t>
            </w: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bswift, LLC </w:t>
            </w:r>
            <w:r>
              <w:rPr>
                <w:rFonts w:ascii="Arial" w:cs="Arial" w:eastAsia="Arial" w:hAnsi="Arial"/>
                <w:sz w:val="15"/>
                <w:szCs w:val="15"/>
                <w:color w:val="auto"/>
                <w:vertAlign w:val="superscript"/>
              </w:rPr>
              <w:t>(3)(5)</w:t>
            </w:r>
          </w:p>
        </w:tc>
        <w:tc>
          <w:tcPr>
            <w:tcW w:w="1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First-lien loan ($142,394 par, due</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11/7/2022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48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10.81 %</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138,019</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138,477</w:t>
            </w:r>
          </w:p>
        </w:tc>
        <w:tc>
          <w:tcPr>
            <w:tcW w:w="134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25.3 %</w:t>
            </w:r>
          </w:p>
        </w:tc>
        <w:tc>
          <w:tcPr>
            <w:tcW w:w="0" w:type="dxa"/>
            <w:vAlign w:val="bottom"/>
          </w:tcPr>
          <w:p>
            <w:pPr>
              <w:spacing w:after="0"/>
              <w:rPr>
                <w:sz w:val="1"/>
                <w:szCs w:val="1"/>
                <w:color w:val="auto"/>
              </w:rPr>
            </w:pPr>
          </w:p>
        </w:tc>
      </w:tr>
      <w:tr>
        <w:trPr>
          <w:trHeight w:val="163"/>
        </w:trPr>
        <w:tc>
          <w:tcPr>
            <w:tcW w:w="2480" w:type="dxa"/>
            <w:vAlign w:val="bottom"/>
            <w:shd w:val="clear" w:color="auto" w:fill="CFF0FC"/>
          </w:tcPr>
          <w:p>
            <w:pPr>
              <w:spacing w:after="0"/>
              <w:rPr>
                <w:sz w:val="14"/>
                <w:szCs w:val="14"/>
                <w:color w:val="auto"/>
              </w:rPr>
            </w:pP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11/2028)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6.63%</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Internet Services</w:t>
            </w: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SMA Technologies Holdings, LLC </w:t>
            </w:r>
            <w:r>
              <w:rPr>
                <w:rFonts w:ascii="Arial" w:cs="Arial" w:eastAsia="Arial" w:hAnsi="Arial"/>
                <w:sz w:val="15"/>
                <w:szCs w:val="15"/>
                <w:color w:val="auto"/>
                <w:vertAlign w:val="superscript"/>
              </w:rPr>
              <w:t>(3)(5)</w:t>
            </w:r>
          </w:p>
        </w:tc>
        <w:tc>
          <w:tcPr>
            <w:tcW w:w="140" w:type="dxa"/>
            <w:vAlign w:val="bottom"/>
          </w:tcPr>
          <w:p>
            <w:pPr>
              <w:spacing w:after="0"/>
              <w:rPr>
                <w:sz w:val="11"/>
                <w:szCs w:val="11"/>
                <w:color w:val="auto"/>
              </w:rPr>
            </w:pPr>
          </w:p>
        </w:tc>
        <w:tc>
          <w:tcPr>
            <w:tcW w:w="1960" w:type="dxa"/>
            <w:vAlign w:val="bottom"/>
          </w:tcPr>
          <w:p>
            <w:pPr>
              <w:spacing w:after="0" w:line="134" w:lineRule="exact"/>
              <w:rPr>
                <w:sz w:val="20"/>
                <w:szCs w:val="20"/>
                <w:color w:val="auto"/>
              </w:rPr>
            </w:pPr>
            <w:r>
              <w:rPr>
                <w:rFonts w:ascii="Arial" w:cs="Arial" w:eastAsia="Arial" w:hAnsi="Arial"/>
                <w:sz w:val="13"/>
                <w:szCs w:val="13"/>
                <w:color w:val="auto"/>
              </w:rPr>
              <w:t>First-lien loan ($5,667 par, due</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10/31/2022</w:t>
            </w:r>
          </w:p>
        </w:tc>
        <w:tc>
          <w:tcPr>
            <w:tcW w:w="14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48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11.07 %</w:t>
            </w: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color w:val="auto"/>
              </w:rPr>
              <w:t>5,424</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5,426</w:t>
            </w:r>
          </w:p>
        </w:tc>
        <w:tc>
          <w:tcPr>
            <w:tcW w:w="134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Arial" w:cs="Arial" w:eastAsia="Arial" w:hAnsi="Arial"/>
                <w:sz w:val="13"/>
                <w:szCs w:val="13"/>
                <w:color w:val="auto"/>
              </w:rPr>
              <w:t>10/2028)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6.75%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Manufacturing</w:t>
            </w: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Avalara, Inc. </w:t>
            </w:r>
            <w:r>
              <w:rPr>
                <w:rFonts w:ascii="Arial" w:cs="Arial" w:eastAsia="Arial" w:hAnsi="Arial"/>
                <w:sz w:val="15"/>
                <w:szCs w:val="15"/>
                <w:color w:val="auto"/>
                <w:vertAlign w:val="superscript"/>
              </w:rPr>
              <w:t>(3)</w:t>
            </w:r>
          </w:p>
        </w:tc>
        <w:tc>
          <w:tcPr>
            <w:tcW w:w="1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First-lien loan ($136,364 par, due</w:t>
            </w:r>
          </w:p>
        </w:tc>
        <w:tc>
          <w:tcPr>
            <w:tcW w:w="90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10/19/2022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480" w:type="dxa"/>
            <w:vAlign w:val="bottom"/>
            <w:gridSpan w:val="3"/>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11.83 %</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132,740</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131,489</w:t>
            </w:r>
          </w:p>
        </w:tc>
        <w:tc>
          <w:tcPr>
            <w:tcW w:w="134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24.1 %</w:t>
            </w:r>
          </w:p>
        </w:tc>
        <w:tc>
          <w:tcPr>
            <w:tcW w:w="0" w:type="dxa"/>
            <w:vAlign w:val="bottom"/>
          </w:tcPr>
          <w:p>
            <w:pPr>
              <w:spacing w:after="0"/>
              <w:rPr>
                <w:sz w:val="1"/>
                <w:szCs w:val="1"/>
                <w:color w:val="auto"/>
              </w:rPr>
            </w:pPr>
          </w:p>
        </w:tc>
      </w:tr>
      <w:tr>
        <w:trPr>
          <w:trHeight w:val="163"/>
        </w:trPr>
        <w:tc>
          <w:tcPr>
            <w:tcW w:w="2480" w:type="dxa"/>
            <w:vAlign w:val="bottom"/>
            <w:shd w:val="clear" w:color="auto" w:fill="CFF0FC"/>
          </w:tcPr>
          <w:p>
            <w:pPr>
              <w:spacing w:after="0"/>
              <w:rPr>
                <w:sz w:val="14"/>
                <w:szCs w:val="14"/>
                <w:color w:val="auto"/>
              </w:rPr>
            </w:pP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10/2028)</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7.25%</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Retail and Consumer Products</w:t>
            </w: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Bed Bath and Beyond Inc. </w:t>
            </w:r>
            <w:r>
              <w:rPr>
                <w:rFonts w:ascii="Arial" w:cs="Arial" w:eastAsia="Arial" w:hAnsi="Arial"/>
                <w:sz w:val="15"/>
                <w:szCs w:val="15"/>
                <w:color w:val="auto"/>
                <w:vertAlign w:val="superscript"/>
              </w:rPr>
              <w:t>(3)</w:t>
            </w:r>
          </w:p>
        </w:tc>
        <w:tc>
          <w:tcPr>
            <w:tcW w:w="140" w:type="dxa"/>
            <w:vAlign w:val="bottom"/>
          </w:tcPr>
          <w:p>
            <w:pPr>
              <w:spacing w:after="0"/>
              <w:rPr>
                <w:sz w:val="11"/>
                <w:szCs w:val="11"/>
                <w:color w:val="auto"/>
              </w:rPr>
            </w:pPr>
          </w:p>
        </w:tc>
        <w:tc>
          <w:tcPr>
            <w:tcW w:w="1960" w:type="dxa"/>
            <w:vAlign w:val="bottom"/>
          </w:tcPr>
          <w:p>
            <w:pPr>
              <w:spacing w:after="0" w:line="134" w:lineRule="exact"/>
              <w:rPr>
                <w:sz w:val="20"/>
                <w:szCs w:val="20"/>
                <w:color w:val="auto"/>
              </w:rPr>
            </w:pPr>
            <w:r>
              <w:rPr>
                <w:rFonts w:ascii="Arial" w:cs="Arial" w:eastAsia="Arial" w:hAnsi="Arial"/>
                <w:sz w:val="13"/>
                <w:szCs w:val="13"/>
                <w:color w:val="auto"/>
                <w:w w:val="95"/>
              </w:rPr>
              <w:t>ABL FILO term loan ($100,000 par,</w:t>
            </w:r>
          </w:p>
        </w:tc>
        <w:tc>
          <w:tcPr>
            <w:tcW w:w="9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9/2/2022</w:t>
            </w:r>
          </w:p>
        </w:tc>
        <w:tc>
          <w:tcPr>
            <w:tcW w:w="14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480" w:type="dxa"/>
            <w:vAlign w:val="bottom"/>
            <w:gridSpan w:val="3"/>
          </w:tcPr>
          <w:p>
            <w:pPr>
              <w:jc w:val="right"/>
              <w:ind w:right="140"/>
              <w:spacing w:after="0" w:line="134" w:lineRule="exact"/>
              <w:rPr>
                <w:sz w:val="20"/>
                <w:szCs w:val="20"/>
                <w:color w:val="auto"/>
              </w:rPr>
            </w:pPr>
            <w:r>
              <w:rPr>
                <w:rFonts w:ascii="Arial" w:cs="Arial" w:eastAsia="Arial" w:hAnsi="Arial"/>
                <w:sz w:val="13"/>
                <w:szCs w:val="13"/>
                <w:color w:val="auto"/>
              </w:rPr>
              <w:t>12.30 %</w:t>
            </w: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color w:val="auto"/>
              </w:rPr>
              <w:t>97,199</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98,000</w:t>
            </w:r>
          </w:p>
        </w:tc>
        <w:tc>
          <w:tcPr>
            <w:tcW w:w="134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17.9 %</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due 8/2027)</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7.90%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8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color w:val="auto"/>
              </w:rPr>
              <w:t xml:space="preserve">Commercehub, Inc. </w:t>
            </w:r>
            <w:r>
              <w:rPr>
                <w:rFonts w:ascii="Arial" w:cs="Arial" w:eastAsia="Arial" w:hAnsi="Arial"/>
                <w:sz w:val="15"/>
                <w:szCs w:val="15"/>
                <w:color w:val="auto"/>
                <w:vertAlign w:val="superscript"/>
              </w:rPr>
              <w:t>(3)</w:t>
            </w:r>
          </w:p>
        </w:tc>
        <w:tc>
          <w:tcPr>
            <w:tcW w:w="1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First-lien loan ($150,000 par, due</w:t>
            </w:r>
          </w:p>
        </w:tc>
        <w:tc>
          <w:tcPr>
            <w:tcW w:w="90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11/15/2022</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SOFR +</w:t>
            </w:r>
          </w:p>
        </w:tc>
        <w:tc>
          <w:tcPr>
            <w:tcW w:w="1480" w:type="dxa"/>
            <w:vAlign w:val="bottom"/>
            <w:gridSpan w:val="3"/>
            <w:shd w:val="clear" w:color="auto" w:fill="CFF0FC"/>
          </w:tcPr>
          <w:p>
            <w:pPr>
              <w:jc w:val="right"/>
              <w:ind w:right="140"/>
              <w:spacing w:after="0" w:line="136" w:lineRule="exact"/>
              <w:rPr>
                <w:sz w:val="20"/>
                <w:szCs w:val="20"/>
                <w:color w:val="auto"/>
              </w:rPr>
            </w:pPr>
            <w:r>
              <w:rPr>
                <w:rFonts w:ascii="Arial" w:cs="Arial" w:eastAsia="Arial" w:hAnsi="Arial"/>
                <w:sz w:val="13"/>
                <w:szCs w:val="13"/>
                <w:color w:val="auto"/>
              </w:rPr>
              <w:t>11.03 %</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139,697</w:t>
            </w:r>
          </w:p>
        </w:tc>
        <w:tc>
          <w:tcPr>
            <w:tcW w:w="960" w:type="dxa"/>
            <w:vAlign w:val="bottom"/>
            <w:gridSpan w:val="2"/>
            <w:shd w:val="clear" w:color="auto" w:fill="CFF0FC"/>
          </w:tcPr>
          <w:p>
            <w:pPr>
              <w:jc w:val="right"/>
              <w:spacing w:after="0" w:line="136" w:lineRule="exact"/>
              <w:rPr>
                <w:sz w:val="20"/>
                <w:szCs w:val="20"/>
                <w:color w:val="auto"/>
              </w:rPr>
            </w:pPr>
            <w:r>
              <w:rPr>
                <w:rFonts w:ascii="Arial" w:cs="Arial" w:eastAsia="Arial" w:hAnsi="Arial"/>
                <w:sz w:val="13"/>
                <w:szCs w:val="13"/>
                <w:color w:val="auto"/>
              </w:rPr>
              <w:t>139,875</w:t>
            </w:r>
          </w:p>
        </w:tc>
        <w:tc>
          <w:tcPr>
            <w:tcW w:w="1340" w:type="dxa"/>
            <w:vAlign w:val="bottom"/>
            <w:gridSpan w:val="3"/>
            <w:shd w:val="clear" w:color="auto" w:fill="CFF0FC"/>
          </w:tcPr>
          <w:p>
            <w:pPr>
              <w:jc w:val="right"/>
              <w:spacing w:after="0" w:line="136" w:lineRule="exact"/>
              <w:rPr>
                <w:sz w:val="20"/>
                <w:szCs w:val="20"/>
                <w:color w:val="auto"/>
              </w:rPr>
            </w:pPr>
            <w:r>
              <w:rPr>
                <w:rFonts w:ascii="Arial" w:cs="Arial" w:eastAsia="Arial" w:hAnsi="Arial"/>
                <w:sz w:val="13"/>
                <w:szCs w:val="13"/>
                <w:color w:val="auto"/>
              </w:rPr>
              <w:t>25.6 %</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CFF0FC"/>
            </w:tcBorders>
            <w:shd w:val="clear" w:color="auto" w:fill="CFF0FC"/>
          </w:tcPr>
          <w:p>
            <w:pPr>
              <w:spacing w:after="0"/>
              <w:rPr>
                <w:sz w:val="12"/>
                <w:szCs w:val="12"/>
                <w:color w:val="auto"/>
              </w:rPr>
            </w:pPr>
          </w:p>
        </w:tc>
        <w:tc>
          <w:tcPr>
            <w:tcW w:w="21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3"/>
                <w:szCs w:val="13"/>
                <w:color w:val="auto"/>
              </w:rPr>
              <w:t>12/2027)</w:t>
            </w: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6.50%</w:t>
            </w:r>
          </w:p>
        </w:tc>
        <w:tc>
          <w:tcPr>
            <w:tcW w:w="26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236,896</w:t>
            </w: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237,875</w:t>
            </w:r>
          </w:p>
        </w:tc>
        <w:tc>
          <w:tcPr>
            <w:tcW w:w="2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xml:space="preserve">43.5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6"/>
        </w:trPr>
        <w:tc>
          <w:tcPr>
            <w:tcW w:w="24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9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Total Debt Investments</w:t>
            </w: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801,223</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800,995</w:t>
            </w:r>
          </w:p>
        </w:tc>
        <w:tc>
          <w:tcPr>
            <w:tcW w:w="1340" w:type="dxa"/>
            <w:vAlign w:val="bottom"/>
            <w:gridSpan w:val="3"/>
          </w:tcPr>
          <w:p>
            <w:pPr>
              <w:jc w:val="right"/>
              <w:spacing w:after="0"/>
              <w:rPr>
                <w:sz w:val="20"/>
                <w:szCs w:val="20"/>
                <w:color w:val="auto"/>
              </w:rPr>
            </w:pPr>
            <w:r>
              <w:rPr>
                <w:rFonts w:ascii="Arial" w:cs="Arial" w:eastAsia="Arial" w:hAnsi="Arial"/>
                <w:sz w:val="13"/>
                <w:szCs w:val="13"/>
                <w:color w:val="auto"/>
              </w:rPr>
              <w:t xml:space="preserve">146.4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5"/>
        </w:trPr>
        <w:tc>
          <w:tcPr>
            <w:tcW w:w="2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Equity and Other Investments</w:t>
            </w: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Human Resource Support Services</w:t>
            </w: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bswift, LLC </w:t>
            </w:r>
            <w:r>
              <w:rPr>
                <w:rFonts w:ascii="Arial" w:cs="Arial" w:eastAsia="Arial" w:hAnsi="Arial"/>
                <w:sz w:val="16"/>
                <w:szCs w:val="16"/>
                <w:color w:val="auto"/>
                <w:vertAlign w:val="superscript"/>
              </w:rPr>
              <w:t>(8)(10)</w:t>
            </w: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Class A-1 Units (7,606,491 units)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11/7/2022</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7,606</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Internet Services</w:t>
            </w: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SMA Technologies Holdings, LLC </w:t>
            </w:r>
            <w:r>
              <w:rPr>
                <w:rFonts w:ascii="Arial" w:cs="Arial" w:eastAsia="Arial" w:hAnsi="Arial"/>
                <w:sz w:val="16"/>
                <w:szCs w:val="16"/>
                <w:color w:val="auto"/>
                <w:vertAlign w:val="superscript"/>
              </w:rPr>
              <w:t>(8)(10)</w:t>
            </w:r>
          </w:p>
        </w:tc>
        <w:tc>
          <w:tcPr>
            <w:tcW w:w="14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Class A Units (200 units)</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11/21/2022</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200</w:t>
            </w:r>
          </w:p>
        </w:tc>
        <w:tc>
          <w:tcPr>
            <w:tcW w:w="134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237"/>
        </w:trPr>
        <w:tc>
          <w:tcPr>
            <w:tcW w:w="2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Class B Units (142,038 units)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11/21/2022</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w:t>
            </w: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w:t>
            </w:r>
          </w:p>
        </w:tc>
        <w:tc>
          <w:tcPr>
            <w:tcW w:w="2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xml:space="preserve">0.0 </w:t>
            </w:r>
            <w:r>
              <w:rPr>
                <w:rFonts w:ascii="Arial" w:cs="Arial" w:eastAsia="Arial" w:hAnsi="Arial"/>
                <w:sz w:val="13"/>
                <w:szCs w:val="13"/>
                <w:color w:val="auto"/>
                <w:highlight w:val="white"/>
              </w:rPr>
              <w:t>%</w:t>
            </w:r>
          </w:p>
        </w:tc>
        <w:tc>
          <w:tcPr>
            <w:tcW w:w="0" w:type="dxa"/>
            <w:vAlign w:val="bottom"/>
          </w:tcPr>
          <w:p>
            <w:pPr>
              <w:spacing w:after="0"/>
              <w:rPr>
                <w:sz w:val="1"/>
                <w:szCs w:val="1"/>
                <w:color w:val="auto"/>
              </w:rPr>
            </w:pPr>
          </w:p>
        </w:tc>
      </w:tr>
      <w:tr>
        <w:trPr>
          <w:trHeight w:val="156"/>
        </w:trPr>
        <w:tc>
          <w:tcPr>
            <w:tcW w:w="24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9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80" w:type="dxa"/>
            <w:vAlign w:val="bottom"/>
          </w:tcPr>
          <w:p>
            <w:pPr>
              <w:ind w:left="20"/>
              <w:spacing w:after="0" w:line="124" w:lineRule="exact"/>
              <w:rPr>
                <w:sz w:val="20"/>
                <w:szCs w:val="20"/>
                <w:color w:val="auto"/>
              </w:rPr>
            </w:pPr>
            <w:r>
              <w:rPr>
                <w:rFonts w:ascii="Arial" w:cs="Arial" w:eastAsia="Arial" w:hAnsi="Arial"/>
                <w:sz w:val="13"/>
                <w:szCs w:val="13"/>
                <w:b w:val="1"/>
                <w:bCs w:val="1"/>
                <w:color w:val="auto"/>
              </w:rPr>
              <w:t>Total Equity and Other</w:t>
            </w:r>
          </w:p>
        </w:tc>
        <w:tc>
          <w:tcPr>
            <w:tcW w:w="1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7,806</w:t>
            </w:r>
          </w:p>
        </w:tc>
        <w:tc>
          <w:tcPr>
            <w:tcW w:w="960" w:type="dxa"/>
            <w:vAlign w:val="bottom"/>
            <w:gridSpan w:val="2"/>
          </w:tcPr>
          <w:p>
            <w:pPr>
              <w:jc w:val="right"/>
              <w:spacing w:after="0" w:line="124" w:lineRule="exact"/>
              <w:rPr>
                <w:sz w:val="20"/>
                <w:szCs w:val="20"/>
                <w:color w:val="auto"/>
              </w:rPr>
            </w:pPr>
            <w:r>
              <w:rPr>
                <w:rFonts w:ascii="Arial" w:cs="Arial" w:eastAsia="Arial" w:hAnsi="Arial"/>
                <w:sz w:val="13"/>
                <w:szCs w:val="13"/>
                <w:color w:val="auto"/>
              </w:rPr>
              <w:t>7,806</w:t>
            </w:r>
          </w:p>
        </w:tc>
        <w:tc>
          <w:tcPr>
            <w:tcW w:w="1340" w:type="dxa"/>
            <w:vAlign w:val="bottom"/>
            <w:gridSpan w:val="3"/>
          </w:tcPr>
          <w:p>
            <w:pPr>
              <w:jc w:val="right"/>
              <w:spacing w:after="0" w:line="124" w:lineRule="exact"/>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53"/>
        </w:trPr>
        <w:tc>
          <w:tcPr>
            <w:tcW w:w="2480" w:type="dxa"/>
            <w:vAlign w:val="bottom"/>
          </w:tcPr>
          <w:p>
            <w:pPr>
              <w:ind w:left="120"/>
              <w:spacing w:after="0"/>
              <w:rPr>
                <w:sz w:val="20"/>
                <w:szCs w:val="20"/>
                <w:color w:val="auto"/>
              </w:rPr>
            </w:pPr>
            <w:r>
              <w:rPr>
                <w:rFonts w:ascii="Arial" w:cs="Arial" w:eastAsia="Arial" w:hAnsi="Arial"/>
                <w:sz w:val="13"/>
                <w:szCs w:val="13"/>
                <w:b w:val="1"/>
                <w:bCs w:val="1"/>
                <w:color w:val="auto"/>
              </w:rPr>
              <w:t>Investments</w:t>
            </w: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Investments</w:t>
            </w:r>
          </w:p>
        </w:tc>
        <w:tc>
          <w:tcPr>
            <w:tcW w:w="140" w:type="dxa"/>
            <w:vAlign w:val="bottom"/>
            <w:tcBorders>
              <w:bottom w:val="single" w:sz="8" w:color="CFF0FC"/>
            </w:tcBorders>
            <w:shd w:val="clear" w:color="auto" w:fill="CFF0FC"/>
          </w:tcPr>
          <w:p>
            <w:pPr>
              <w:spacing w:after="0"/>
              <w:rPr>
                <w:sz w:val="17"/>
                <w:szCs w:val="17"/>
                <w:color w:val="auto"/>
              </w:rPr>
            </w:pPr>
          </w:p>
        </w:tc>
        <w:tc>
          <w:tcPr>
            <w:tcW w:w="1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gridSpan w:val="3"/>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809,029</w:t>
            </w:r>
          </w:p>
        </w:tc>
        <w:tc>
          <w:tcPr>
            <w:tcW w:w="2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   808,801</w:t>
            </w: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147.8</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-4723130</wp:posOffset>
            </wp:positionV>
            <wp:extent cx="77470"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-4723130</wp:posOffset>
            </wp:positionV>
            <wp:extent cx="85725"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-4723130</wp:posOffset>
            </wp:positionV>
            <wp:extent cx="8572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-4123055</wp:posOffset>
            </wp:positionV>
            <wp:extent cx="77470"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-4123055</wp:posOffset>
            </wp:positionV>
            <wp:extent cx="85725"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-4123055</wp:posOffset>
            </wp:positionV>
            <wp:extent cx="8572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-3531235</wp:posOffset>
            </wp:positionV>
            <wp:extent cx="77470"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-3531235</wp:posOffset>
            </wp:positionV>
            <wp:extent cx="85725"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-3531235</wp:posOffset>
            </wp:positionV>
            <wp:extent cx="85725"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117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-1868170</wp:posOffset>
            </wp:positionV>
            <wp:extent cx="7747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-1868170</wp:posOffset>
            </wp:positionV>
            <wp:extent cx="85725"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-1645285</wp:posOffset>
            </wp:positionV>
            <wp:extent cx="7747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-1645285</wp:posOffset>
            </wp:positionV>
            <wp:extent cx="8572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-548005</wp:posOffset>
            </wp:positionV>
            <wp:extent cx="7747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-548005</wp:posOffset>
            </wp:positionV>
            <wp:extent cx="8572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-325120</wp:posOffset>
            </wp:positionV>
            <wp:extent cx="7747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-325120</wp:posOffset>
            </wp:positionV>
            <wp:extent cx="85725" cy="197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9748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-325120</wp:posOffset>
            </wp:positionV>
            <wp:extent cx="85725"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9748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ind w:left="520" w:right="100" w:hanging="512"/>
        <w:spacing w:after="0" w:line="25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more than 25% of its outstanding voting securities and/or had the power to exercise control over the management or policies of</w:t>
      </w:r>
    </w:p>
    <w:p>
      <w:pPr>
        <w:spacing w:after="0" w:line="9" w:lineRule="exact"/>
        <w:rPr>
          <w:rFonts w:ascii="Arial" w:cs="Arial" w:eastAsia="Arial" w:hAnsi="Arial"/>
          <w:sz w:val="18"/>
          <w:szCs w:val="18"/>
          <w:color w:val="auto"/>
        </w:rPr>
      </w:pPr>
    </w:p>
    <w:p>
      <w:pPr>
        <w:ind w:left="520" w:right="280"/>
        <w:spacing w:after="0" w:line="281" w:lineRule="auto"/>
        <w:rPr>
          <w:rFonts w:ascii="Arial" w:cs="Arial" w:eastAsia="Arial" w:hAnsi="Arial"/>
          <w:sz w:val="18"/>
          <w:szCs w:val="18"/>
          <w:color w:val="auto"/>
        </w:rPr>
      </w:pPr>
      <w:r>
        <w:rPr>
          <w:rFonts w:ascii="Arial" w:cs="Arial" w:eastAsia="Arial" w:hAnsi="Arial"/>
          <w:sz w:val="16"/>
          <w:szCs w:val="16"/>
          <w:color w:val="auto"/>
        </w:rPr>
        <w:t>such portfolio company. As of December 31, 2022, the Company does not “control” any of the portfolio companies. Also under the 1940 Act, the Company would be deemed to be an “Affiliated Person” of a portfolio company if the Company owns more than 5% of the portfolio company’s outstanding voting securities. As of December 31, 2022, the Company does not identify any of its portfolio companies as affiliates.</w:t>
      </w:r>
    </w:p>
    <w:p>
      <w:pPr>
        <w:spacing w:after="0" w:line="1" w:lineRule="exact"/>
        <w:rPr>
          <w:rFonts w:ascii="Arial" w:cs="Arial" w:eastAsia="Arial" w:hAnsi="Arial"/>
          <w:sz w:val="18"/>
          <w:szCs w:val="18"/>
          <w:color w:val="auto"/>
        </w:rPr>
      </w:pPr>
    </w:p>
    <w:p>
      <w:pPr>
        <w:ind w:left="520" w:hanging="512"/>
        <w:spacing w:after="0" w:line="26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w:t>
      </w:r>
    </w:p>
    <w:p>
      <w:pPr>
        <w:spacing w:after="0" w:line="23" w:lineRule="exact"/>
        <w:rPr>
          <w:rFonts w:ascii="Arial" w:cs="Arial" w:eastAsia="Arial" w:hAnsi="Arial"/>
          <w:sz w:val="18"/>
          <w:szCs w:val="18"/>
          <w:color w:val="auto"/>
        </w:rPr>
      </w:pPr>
    </w:p>
    <w:p>
      <w:pPr>
        <w:ind w:left="512" w:right="20"/>
        <w:spacing w:after="0" w:line="265" w:lineRule="auto"/>
        <w:rPr>
          <w:rFonts w:ascii="Arial" w:cs="Arial" w:eastAsia="Arial" w:hAnsi="Arial"/>
          <w:sz w:val="18"/>
          <w:szCs w:val="18"/>
          <w:color w:val="auto"/>
        </w:rPr>
      </w:pPr>
      <w:r>
        <w:rPr>
          <w:rFonts w:ascii="Arial" w:cs="Arial" w:eastAsia="Arial" w:hAnsi="Arial"/>
          <w:sz w:val="17"/>
          <w:szCs w:val="17"/>
          <w:color w:val="auto"/>
        </w:rPr>
        <w:t>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ind w:left="512" w:right="200" w:hanging="512"/>
        <w:spacing w:after="0" w:line="250" w:lineRule="auto"/>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2.3% of total assets as of December 31, 2022.</w:t>
      </w:r>
    </w:p>
    <w:p>
      <w:pPr>
        <w:spacing w:after="0" w:line="1" w:lineRule="exact"/>
        <w:rPr>
          <w:rFonts w:ascii="Arial" w:cs="Arial" w:eastAsia="Arial" w:hAnsi="Arial"/>
          <w:sz w:val="18"/>
          <w:szCs w:val="18"/>
          <w:color w:val="auto"/>
        </w:rPr>
      </w:pPr>
    </w:p>
    <w:p>
      <w:pPr>
        <w:ind w:left="512" w:right="20" w:hanging="512"/>
        <w:spacing w:after="0" w:line="265" w:lineRule="auto"/>
        <w:tabs>
          <w:tab w:leader="none" w:pos="51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12" w:right="2100" w:hanging="512"/>
        <w:spacing w:after="0" w:line="250" w:lineRule="auto"/>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5 for further information related to investments at fair value.</w:t>
      </w:r>
    </w:p>
    <w:p>
      <w:pPr>
        <w:spacing w:after="0" w:line="1" w:lineRule="exact"/>
        <w:rPr>
          <w:rFonts w:ascii="Arial" w:cs="Arial" w:eastAsia="Arial" w:hAnsi="Arial"/>
          <w:sz w:val="18"/>
          <w:szCs w:val="18"/>
          <w:color w:val="auto"/>
        </w:rPr>
      </w:pPr>
    </w:p>
    <w:p>
      <w:pPr>
        <w:ind w:left="512" w:hanging="512"/>
        <w:spacing w:after="0" w:line="250" w:lineRule="auto"/>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2022, the estimated cost basis of investments for U.S. federal tax purposes was $810,241 resulting in estimated gross unrealized gains and losses of $2,806 and $5,681, respectfully.</w:t>
      </w:r>
    </w:p>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9" w:lineRule="exact"/>
        <w:rPr>
          <w:rFonts w:ascii="Arial" w:cs="Arial" w:eastAsia="Arial" w:hAnsi="Arial"/>
          <w:sz w:val="18"/>
          <w:szCs w:val="18"/>
          <w:color w:val="auto"/>
        </w:rPr>
      </w:pPr>
    </w:p>
    <w:p>
      <w:pPr>
        <w:ind w:left="512" w:right="40" w:hanging="512"/>
        <w:spacing w:after="0" w:line="255" w:lineRule="auto"/>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as amended (the “Securities Act”), and may be deemed to be “restricted securities” under the Securities Act. As of December 31, 2022, the aggregate fair value of these securities is $7,806, or 1.4% of the Company’s net assets.</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8" w:right="3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3"/>
                <w:szCs w:val="13"/>
                <w:b w:val="1"/>
                <w:bCs w:val="1"/>
                <w:color w:val="auto"/>
              </w:rPr>
              <w:t>Common Shares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69"/>
              <w:spacing w:after="0" w:line="126" w:lineRule="exact"/>
              <w:rPr>
                <w:sz w:val="20"/>
                <w:szCs w:val="20"/>
                <w:color w:val="auto"/>
              </w:rPr>
            </w:pPr>
            <w:r>
              <w:rPr>
                <w:rFonts w:ascii="Arial" w:cs="Arial" w:eastAsia="Arial" w:hAnsi="Arial"/>
                <w:sz w:val="13"/>
                <w:szCs w:val="13"/>
                <w:b w:val="1"/>
                <w:bCs w:val="1"/>
                <w:color w:val="auto"/>
              </w:rPr>
              <w:t>Par</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jc w:val="right"/>
              <w:ind w:right="269"/>
              <w:spacing w:after="0" w:line="126" w:lineRule="exact"/>
              <w:rPr>
                <w:sz w:val="20"/>
                <w:szCs w:val="20"/>
                <w:color w:val="auto"/>
              </w:rPr>
            </w:pPr>
            <w:r>
              <w:rPr>
                <w:rFonts w:ascii="Arial" w:cs="Arial" w:eastAsia="Arial" w:hAnsi="Arial"/>
                <w:sz w:val="13"/>
                <w:szCs w:val="13"/>
                <w:b w:val="1"/>
                <w:bCs w:val="1"/>
                <w:color w:val="auto"/>
              </w:rPr>
              <w:t>Paid in Capital in</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w w:val="93"/>
              </w:rPr>
              <w:t>Distributable</w:t>
            </w:r>
          </w:p>
        </w:tc>
        <w:tc>
          <w:tcPr>
            <w:tcW w:w="180" w:type="dxa"/>
            <w:vAlign w:val="bottom"/>
          </w:tcPr>
          <w:p>
            <w:pPr>
              <w:spacing w:after="0"/>
              <w:rPr>
                <w:sz w:val="10"/>
                <w:szCs w:val="10"/>
                <w:color w:val="auto"/>
              </w:rPr>
            </w:pPr>
          </w:p>
        </w:tc>
        <w:tc>
          <w:tcPr>
            <w:tcW w:w="1020" w:type="dxa"/>
            <w:vAlign w:val="bottom"/>
            <w:gridSpan w:val="2"/>
          </w:tcPr>
          <w:p>
            <w:pPr>
              <w:jc w:val="right"/>
              <w:ind w:right="420"/>
              <w:spacing w:after="0" w:line="126"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980" w:type="dxa"/>
            <w:vAlign w:val="bottom"/>
          </w:tcPr>
          <w:p>
            <w:pPr>
              <w:jc w:val="right"/>
              <w:ind w:right="249"/>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389"/>
              <w:spacing w:after="0"/>
              <w:rPr>
                <w:sz w:val="20"/>
                <w:szCs w:val="20"/>
                <w:color w:val="auto"/>
              </w:rPr>
            </w:pPr>
            <w:r>
              <w:rPr>
                <w:rFonts w:ascii="Arial" w:cs="Arial" w:eastAsia="Arial" w:hAnsi="Arial"/>
                <w:sz w:val="13"/>
                <w:szCs w:val="13"/>
                <w:b w:val="1"/>
                <w:bCs w:val="1"/>
                <w:color w:val="auto"/>
              </w:rPr>
              <w:t>Excess of Par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Earnings</w:t>
            </w:r>
          </w:p>
        </w:tc>
        <w:tc>
          <w:tcPr>
            <w:tcW w:w="1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70"/>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21,882,028</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3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542,596</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4,093</w:t>
            </w:r>
          </w:p>
        </w:tc>
        <w:tc>
          <w:tcPr>
            <w:tcW w:w="2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546,711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20"/>
              <w:spacing w:after="0"/>
              <w:rPr>
                <w:sz w:val="20"/>
                <w:szCs w:val="20"/>
                <w:color w:val="auto"/>
              </w:rPr>
            </w:pPr>
            <w:r>
              <w:rPr>
                <w:rFonts w:ascii="Arial" w:cs="Arial" w:eastAsia="Arial" w:hAnsi="Arial"/>
                <w:sz w:val="14"/>
                <w:szCs w:val="14"/>
                <w:color w:val="auto"/>
              </w:rPr>
              <w:t>Net increase (decrease) in net assets resulting from operations:</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investment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15,115</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15,115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580" w:type="dxa"/>
            <w:vAlign w:val="bottom"/>
          </w:tcPr>
          <w:p>
            <w:pPr>
              <w:ind w:left="200"/>
              <w:spacing w:after="0" w:line="143" w:lineRule="exact"/>
              <w:rPr>
                <w:sz w:val="20"/>
                <w:szCs w:val="20"/>
                <w:color w:val="auto"/>
              </w:rPr>
            </w:pPr>
            <w:r>
              <w:rPr>
                <w:rFonts w:ascii="Arial" w:cs="Arial" w:eastAsia="Arial" w:hAnsi="Arial"/>
                <w:sz w:val="14"/>
                <w:szCs w:val="14"/>
                <w:color w:val="auto"/>
              </w:rPr>
              <w:t>Net change in unrealized gains (losses) on investments and</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tcPr>
          <w:p>
            <w:pPr>
              <w:ind w:left="300"/>
              <w:spacing w:after="0"/>
              <w:rPr>
                <w:sz w:val="20"/>
                <w:szCs w:val="20"/>
                <w:color w:val="auto"/>
              </w:rPr>
            </w:pPr>
            <w:r>
              <w:rPr>
                <w:rFonts w:ascii="Arial" w:cs="Arial" w:eastAsia="Arial" w:hAnsi="Arial"/>
                <w:sz w:val="14"/>
                <w:szCs w:val="14"/>
                <w:color w:val="auto"/>
              </w:rPr>
              <w:t>foreign currency translation</w:t>
            </w: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13,047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5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realized gains (losses) on investments and foreign</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currency transactions</w:t>
            </w:r>
          </w:p>
        </w:tc>
        <w:tc>
          <w:tcPr>
            <w:tcW w:w="98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20"/>
              <w:spacing w:after="0"/>
              <w:rPr>
                <w:sz w:val="20"/>
                <w:szCs w:val="20"/>
                <w:color w:val="auto"/>
              </w:rPr>
            </w:pPr>
            <w:r>
              <w:rPr>
                <w:rFonts w:ascii="Arial" w:cs="Arial" w:eastAsia="Arial" w:hAnsi="Arial"/>
                <w:sz w:val="14"/>
                <w:szCs w:val="14"/>
                <w:color w:val="auto"/>
                <w:w w:val="96"/>
              </w:rPr>
              <w:t>Increase (decrease) in net assets resulting from capital share transactions:</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shares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9,643,813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249,990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declared from net investment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(12,610 )</w:t>
            </w: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(12,610 )</w:t>
            </w:r>
          </w:p>
        </w:tc>
        <w:tc>
          <w:tcPr>
            <w:tcW w:w="0" w:type="dxa"/>
            <w:vAlign w:val="bottom"/>
          </w:tcPr>
          <w:p>
            <w:pPr>
              <w:spacing w:after="0"/>
              <w:rPr>
                <w:sz w:val="1"/>
                <w:szCs w:val="1"/>
                <w:color w:val="auto"/>
              </w:rPr>
            </w:pPr>
          </w:p>
        </w:tc>
      </w:tr>
      <w:tr>
        <w:trPr>
          <w:trHeight w:val="169"/>
        </w:trPr>
        <w:tc>
          <w:tcPr>
            <w:tcW w:w="45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31,525,841</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792,586</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19,701</w:t>
            </w:r>
          </w:p>
        </w:tc>
        <w:tc>
          <w:tcPr>
            <w:tcW w:w="28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812,319</w:t>
            </w: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shd w:val="clear" w:color="auto" w:fill="CFF0FC"/>
          </w:tcPr>
          <w:p>
            <w:pPr>
              <w:ind w:left="120"/>
              <w:spacing w:after="0" w:line="156" w:lineRule="exact"/>
              <w:rPr>
                <w:sz w:val="20"/>
                <w:szCs w:val="20"/>
                <w:color w:val="auto"/>
              </w:rPr>
            </w:pPr>
            <w:r>
              <w:rPr>
                <w:rFonts w:ascii="Arial" w:cs="Arial" w:eastAsia="Arial" w:hAnsi="Arial"/>
                <w:sz w:val="14"/>
                <w:szCs w:val="14"/>
                <w:color w:val="auto"/>
              </w:rPr>
              <w:t>Net increase (decrease) in net assets resulting from operations:</w:t>
            </w: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32,421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5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change in unrealized gains (losses) on investments and</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foreign currency translation</w:t>
            </w:r>
          </w:p>
        </w:tc>
        <w:tc>
          <w:tcPr>
            <w:tcW w:w="98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580" w:type="dxa"/>
            <w:vAlign w:val="bottom"/>
          </w:tcPr>
          <w:p>
            <w:pPr>
              <w:ind w:left="200"/>
              <w:spacing w:after="0" w:line="143" w:lineRule="exact"/>
              <w:rPr>
                <w:sz w:val="20"/>
                <w:szCs w:val="20"/>
                <w:color w:val="auto"/>
              </w:rPr>
            </w:pPr>
            <w:r>
              <w:rPr>
                <w:rFonts w:ascii="Arial" w:cs="Arial" w:eastAsia="Arial" w:hAnsi="Arial"/>
                <w:sz w:val="14"/>
                <w:szCs w:val="14"/>
                <w:color w:val="auto"/>
              </w:rPr>
              <w:t>Net realized gains (losses) on investments and foreign</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tcPr>
          <w:p>
            <w:pPr>
              <w:ind w:left="300"/>
              <w:spacing w:after="0"/>
              <w:rPr>
                <w:sz w:val="20"/>
                <w:szCs w:val="20"/>
                <w:color w:val="auto"/>
              </w:rPr>
            </w:pPr>
            <w:r>
              <w:rPr>
                <w:rFonts w:ascii="Arial" w:cs="Arial" w:eastAsia="Arial" w:hAnsi="Arial"/>
                <w:sz w:val="14"/>
                <w:szCs w:val="14"/>
                <w:color w:val="auto"/>
              </w:rPr>
              <w:t>currency transactions</w:t>
            </w: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(13 )</w:t>
            </w:r>
          </w:p>
        </w:tc>
        <w:tc>
          <w:tcPr>
            <w:tcW w:w="1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6"/>
              </w:rPr>
              <w:t>Increase (decrease) in net assets resulting from capital share transactions:</w:t>
            </w: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0"/>
              <w:spacing w:after="0"/>
              <w:rPr>
                <w:sz w:val="20"/>
                <w:szCs w:val="20"/>
                <w:color w:val="auto"/>
              </w:rPr>
            </w:pPr>
            <w:r>
              <w:rPr>
                <w:rFonts w:ascii="Arial" w:cs="Arial" w:eastAsia="Arial" w:hAnsi="Arial"/>
                <w:sz w:val="14"/>
                <w:szCs w:val="14"/>
                <w:color w:val="auto"/>
              </w:rPr>
              <w:t>Issuance of common shares</w:t>
            </w:r>
          </w:p>
        </w:tc>
        <w:tc>
          <w:tcPr>
            <w:tcW w:w="980" w:type="dxa"/>
            <w:vAlign w:val="bottom"/>
          </w:tcPr>
          <w:p>
            <w:pPr>
              <w:jc w:val="right"/>
              <w:spacing w:after="0"/>
              <w:rPr>
                <w:sz w:val="20"/>
                <w:szCs w:val="20"/>
                <w:color w:val="auto"/>
              </w:rPr>
            </w:pPr>
            <w:r>
              <w:rPr>
                <w:rFonts w:ascii="Arial" w:cs="Arial" w:eastAsia="Arial" w:hAnsi="Arial"/>
                <w:sz w:val="14"/>
                <w:szCs w:val="14"/>
                <w:color w:val="auto"/>
              </w:rPr>
              <w:t>2,798,480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74,997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to shareholders:</w:t>
            </w: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0"/>
              <w:spacing w:after="0"/>
              <w:rPr>
                <w:sz w:val="20"/>
                <w:szCs w:val="20"/>
                <w:color w:val="auto"/>
              </w:rPr>
            </w:pPr>
            <w:r>
              <w:rPr>
                <w:rFonts w:ascii="Arial" w:cs="Arial" w:eastAsia="Arial" w:hAnsi="Arial"/>
                <w:sz w:val="14"/>
                <w:szCs w:val="14"/>
                <w:color w:val="auto"/>
              </w:rPr>
              <w:t>Stock issued in connection with dividend reinvestment plan</w:t>
            </w:r>
          </w:p>
        </w:tc>
        <w:tc>
          <w:tcPr>
            <w:tcW w:w="980" w:type="dxa"/>
            <w:vAlign w:val="bottom"/>
          </w:tcPr>
          <w:p>
            <w:pPr>
              <w:jc w:val="right"/>
              <w:spacing w:after="0"/>
              <w:rPr>
                <w:sz w:val="20"/>
                <w:szCs w:val="20"/>
                <w:color w:val="auto"/>
              </w:rPr>
            </w:pPr>
            <w:r>
              <w:rPr>
                <w:rFonts w:ascii="Arial" w:cs="Arial" w:eastAsia="Arial" w:hAnsi="Arial"/>
                <w:sz w:val="14"/>
                <w:szCs w:val="14"/>
                <w:color w:val="auto"/>
              </w:rPr>
              <w:t>371,108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9,563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declared from net investment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(23,246 )</w:t>
            </w: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(23,246 )</w:t>
            </w:r>
          </w:p>
        </w:tc>
        <w:tc>
          <w:tcPr>
            <w:tcW w:w="0" w:type="dxa"/>
            <w:vAlign w:val="bottom"/>
          </w:tcPr>
          <w:p>
            <w:pPr>
              <w:spacing w:after="0"/>
              <w:rPr>
                <w:sz w:val="1"/>
                <w:szCs w:val="1"/>
                <w:color w:val="auto"/>
              </w:rPr>
            </w:pPr>
          </w:p>
        </w:tc>
      </w:tr>
      <w:tr>
        <w:trPr>
          <w:trHeight w:val="169"/>
        </w:trPr>
        <w:tc>
          <w:tcPr>
            <w:tcW w:w="45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34,695,429</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w:t>
            </w: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877,146</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29,286</w:t>
            </w:r>
          </w:p>
        </w:tc>
        <w:tc>
          <w:tcPr>
            <w:tcW w:w="28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906,467</w:t>
            </w: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-1482725</wp:posOffset>
            </wp:positionV>
            <wp:extent cx="8572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-1482725</wp:posOffset>
            </wp:positionV>
            <wp:extent cx="8572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-1482725</wp:posOffset>
            </wp:positionV>
            <wp:extent cx="8572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-1482725</wp:posOffset>
            </wp:positionV>
            <wp:extent cx="8572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-1482725</wp:posOffset>
            </wp:positionV>
            <wp:extent cx="8572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-145415</wp:posOffset>
            </wp:positionV>
            <wp:extent cx="8572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-145415</wp:posOffset>
            </wp:positionV>
            <wp:extent cx="8572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-145415</wp:posOffset>
            </wp:positionV>
            <wp:extent cx="8572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8572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8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June 30, 2023</w:t>
            </w:r>
          </w:p>
        </w:tc>
      </w:tr>
      <w:tr>
        <w:trPr>
          <w:trHeight w:val="236"/>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top w:val="single" w:sz="8" w:color="auto"/>
            </w:tcBorders>
            <w:shd w:val="clear" w:color="auto" w:fill="CFF0FC"/>
          </w:tcPr>
          <w:p>
            <w:pPr>
              <w:spacing w:after="0"/>
              <w:rPr>
                <w:sz w:val="20"/>
                <w:szCs w:val="20"/>
                <w:color w:val="auto"/>
              </w:rPr>
            </w:pPr>
          </w:p>
        </w:tc>
        <w:tc>
          <w:tcPr>
            <w:tcW w:w="18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Increase (Decrease) in net assets resulting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61,049</w:t>
            </w:r>
          </w:p>
        </w:tc>
        <w:tc>
          <w:tcPr>
            <w:tcW w:w="140" w:type="dxa"/>
            <w:vAlign w:val="bottom"/>
          </w:tcPr>
          <w:p>
            <w:pPr>
              <w:spacing w:after="0"/>
              <w:rPr>
                <w:sz w:val="20"/>
                <w:szCs w:val="20"/>
                <w:color w:val="auto"/>
              </w:rPr>
            </w:pPr>
          </w:p>
        </w:tc>
      </w:tr>
      <w:tr>
        <w:trPr>
          <w:trHeight w:val="221"/>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increase (decrease) in net assets resulting from operations</w:t>
            </w:r>
          </w:p>
        </w:tc>
        <w:tc>
          <w:tcPr>
            <w:tcW w:w="32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89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net cash provided by (used in) operating activities:</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Net change in unrealized (gains) losses on investments</w:t>
            </w:r>
          </w:p>
        </w:tc>
        <w:tc>
          <w:tcPr>
            <w:tcW w:w="3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(14,633 )</w:t>
            </w: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FF0FC"/>
          </w:tcPr>
          <w:p>
            <w:pPr>
              <w:spacing w:after="0"/>
              <w:rPr>
                <w:sz w:val="21"/>
                <w:szCs w:val="21"/>
                <w:color w:val="auto"/>
              </w:rPr>
            </w:pP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Net realized (gains) losses on foreign currency transactions</w:t>
            </w:r>
          </w:p>
        </w:tc>
        <w:tc>
          <w:tcPr>
            <w:tcW w:w="3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amortization of discount on investments</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(5,088 )</w:t>
            </w: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2,268</w:t>
            </w:r>
          </w:p>
        </w:tc>
        <w:tc>
          <w:tcPr>
            <w:tcW w:w="140" w:type="dxa"/>
            <w:vAlign w:val="bottom"/>
          </w:tcPr>
          <w:p>
            <w:pPr>
              <w:spacing w:after="0"/>
              <w:rPr>
                <w:sz w:val="20"/>
                <w:szCs w:val="20"/>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and originations of investments, net</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(968,327 )</w:t>
            </w: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Repayments on investments</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38,737</w:t>
            </w:r>
          </w:p>
        </w:tc>
        <w:tc>
          <w:tcPr>
            <w:tcW w:w="140" w:type="dxa"/>
            <w:vAlign w:val="bottom"/>
          </w:tcPr>
          <w:p>
            <w:pPr>
              <w:spacing w:after="0"/>
              <w:rPr>
                <w:sz w:val="20"/>
                <w:szCs w:val="20"/>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Paid-in-kind interest</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(799 )</w:t>
            </w:r>
          </w:p>
        </w:tc>
      </w:tr>
      <w:tr>
        <w:trPr>
          <w:trHeight w:val="237"/>
        </w:trPr>
        <w:tc>
          <w:tcPr>
            <w:tcW w:w="89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(3,839 )</w:t>
            </w: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Interest receivable paid-in-kind</w:t>
            </w:r>
          </w:p>
        </w:tc>
        <w:tc>
          <w:tcPr>
            <w:tcW w:w="3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(2,966 )</w:t>
            </w: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(1,200 )</w:t>
            </w: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20"/>
                <w:szCs w:val="20"/>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Incentive fees on net investment income payable to affiliate</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40" w:type="dxa"/>
            <w:vAlign w:val="bottom"/>
            <w:shd w:val="clear" w:color="auto" w:fill="CFF0FC"/>
          </w:tcPr>
          <w:p>
            <w:pPr>
              <w:spacing w:after="0"/>
              <w:rPr>
                <w:sz w:val="21"/>
                <w:szCs w:val="21"/>
                <w:color w:val="auto"/>
              </w:rPr>
            </w:pP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Incentive fees on net capital gains accrued to affiliate</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payables to affiliate</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(1,983 )</w:t>
            </w: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20"/>
                <w:szCs w:val="20"/>
                <w:color w:val="auto"/>
              </w:rPr>
            </w:pPr>
          </w:p>
        </w:tc>
      </w:tr>
      <w:tr>
        <w:trPr>
          <w:trHeight w:val="238"/>
        </w:trPr>
        <w:tc>
          <w:tcPr>
            <w:tcW w:w="8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(881,171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 on debt</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1,469,387</w:t>
            </w:r>
          </w:p>
        </w:tc>
        <w:tc>
          <w:tcPr>
            <w:tcW w:w="140" w:type="dxa"/>
            <w:vAlign w:val="bottom"/>
            <w:shd w:val="clear" w:color="auto" w:fill="CFF0FC"/>
          </w:tcPr>
          <w:p>
            <w:pPr>
              <w:spacing w:after="0"/>
              <w:rPr>
                <w:sz w:val="21"/>
                <w:szCs w:val="21"/>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Repayments on debt</w:t>
            </w:r>
          </w:p>
        </w:tc>
        <w:tc>
          <w:tcPr>
            <w:tcW w:w="3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(888,000 )</w:t>
            </w:r>
          </w:p>
        </w:tc>
      </w:tr>
      <w:tr>
        <w:trPr>
          <w:trHeight w:val="249"/>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financing costs</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(8,578 )</w:t>
            </w: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3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(3,047 )</w:t>
            </w:r>
          </w:p>
        </w:tc>
      </w:tr>
      <w:tr>
        <w:trPr>
          <w:trHeight w:val="243"/>
        </w:trPr>
        <w:tc>
          <w:tcPr>
            <w:tcW w:w="8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Capital calls</w:t>
            </w:r>
          </w:p>
        </w:tc>
        <w:tc>
          <w:tcPr>
            <w:tcW w:w="3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8"/>
        </w:trPr>
        <w:tc>
          <w:tcPr>
            <w:tcW w:w="89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894,762</w:t>
            </w:r>
          </w:p>
        </w:tc>
        <w:tc>
          <w:tcPr>
            <w:tcW w:w="140" w:type="dxa"/>
            <w:vAlign w:val="bottom"/>
          </w:tcPr>
          <w:p>
            <w:pPr>
              <w:spacing w:after="0"/>
              <w:rPr>
                <w:sz w:val="20"/>
                <w:szCs w:val="20"/>
                <w:color w:val="auto"/>
              </w:rPr>
            </w:pPr>
          </w:p>
        </w:tc>
      </w:tr>
      <w:tr>
        <w:trPr>
          <w:trHeight w:val="241"/>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13,591</w:t>
            </w:r>
          </w:p>
        </w:tc>
        <w:tc>
          <w:tcPr>
            <w:tcW w:w="140" w:type="dxa"/>
            <w:vAlign w:val="bottom"/>
            <w:shd w:val="clear" w:color="auto" w:fill="CFF0FC"/>
          </w:tcPr>
          <w:p>
            <w:pPr>
              <w:spacing w:after="0"/>
              <w:rPr>
                <w:sz w:val="20"/>
                <w:szCs w:val="20"/>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274,612</w:t>
            </w:r>
          </w:p>
        </w:tc>
        <w:tc>
          <w:tcPr>
            <w:tcW w:w="140" w:type="dxa"/>
            <w:vAlign w:val="bottom"/>
          </w:tcPr>
          <w:p>
            <w:pPr>
              <w:spacing w:after="0"/>
              <w:rPr>
                <w:sz w:val="20"/>
                <w:szCs w:val="20"/>
                <w:color w:val="auto"/>
              </w:rPr>
            </w:pPr>
          </w:p>
        </w:tc>
      </w:tr>
      <w:tr>
        <w:trPr>
          <w:trHeight w:val="279"/>
        </w:trPr>
        <w:tc>
          <w:tcPr>
            <w:tcW w:w="8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288,203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1"/>
        </w:trPr>
        <w:tc>
          <w:tcPr>
            <w:tcW w:w="890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w:t>
            </w:r>
          </w:p>
        </w:tc>
        <w:tc>
          <w:tcPr>
            <w:tcW w:w="140" w:type="dxa"/>
            <w:vAlign w:val="bottom"/>
            <w:shd w:val="clear" w:color="auto" w:fill="CFF0FC"/>
          </w:tcPr>
          <w:p>
            <w:pPr>
              <w:spacing w:after="0"/>
              <w:rPr>
                <w:sz w:val="21"/>
                <w:szCs w:val="21"/>
                <w:color w:val="auto"/>
              </w:rPr>
            </w:pP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Excise and other taxes paid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0"/>
                <w:szCs w:val="20"/>
                <w:color w:val="auto"/>
              </w:rPr>
            </w:pPr>
          </w:p>
        </w:tc>
      </w:tr>
      <w:tr>
        <w:trPr>
          <w:trHeight w:val="249"/>
        </w:trPr>
        <w:tc>
          <w:tcPr>
            <w:tcW w:w="8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Dividends declared during the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w:t>
            </w:r>
          </w:p>
        </w:tc>
        <w:tc>
          <w:tcPr>
            <w:tcW w:w="140" w:type="dxa"/>
            <w:vAlign w:val="bottom"/>
            <w:shd w:val="clear" w:color="auto" w:fill="CFF0FC"/>
          </w:tcPr>
          <w:p>
            <w:pPr>
              <w:spacing w:after="0"/>
              <w:rPr>
                <w:sz w:val="21"/>
                <w:szCs w:val="21"/>
                <w:color w:val="auto"/>
              </w:rPr>
            </w:pPr>
          </w:p>
        </w:tc>
      </w:tr>
      <w:tr>
        <w:trPr>
          <w:trHeight w:val="243"/>
        </w:trPr>
        <w:tc>
          <w:tcPr>
            <w:tcW w:w="8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Financing Activities:</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0"/>
        </w:trPr>
        <w:tc>
          <w:tcPr>
            <w:tcW w:w="8900" w:type="dxa"/>
            <w:vAlign w:val="bottom"/>
          </w:tcPr>
          <w:p>
            <w:pPr>
              <w:ind w:left="380"/>
              <w:spacing w:after="0"/>
              <w:rPr>
                <w:sz w:val="20"/>
                <w:szCs w:val="20"/>
                <w:color w:val="auto"/>
              </w:rPr>
            </w:pPr>
            <w:r>
              <w:rPr>
                <w:rFonts w:ascii="Arial" w:cs="Arial" w:eastAsia="Arial" w:hAnsi="Arial"/>
                <w:sz w:val="18"/>
                <w:szCs w:val="18"/>
                <w:color w:val="auto"/>
              </w:rPr>
              <w:t>Reinvestment of dividends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9,563</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-2674620</wp:posOffset>
            </wp:positionV>
            <wp:extent cx="8572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-1739900</wp:posOffset>
            </wp:positionV>
            <wp:extent cx="8572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-1097280</wp:posOffset>
            </wp:positionV>
            <wp:extent cx="8572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w:t>
      </w:r>
    </w:p>
    <w:p>
      <w:pPr>
        <w:spacing w:after="0" w:line="166"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shares up to the amount of their respective Capital Commitments on an as-needed basis each time the Company delivers a notice to the investors.</w:t>
      </w:r>
    </w:p>
    <w:p>
      <w:pPr>
        <w:spacing w:after="0" w:line="164"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2022, which was filed with the Securities and Exchange Commission (“SEC”), on February 17, 2023.</w:t>
      </w:r>
    </w:p>
    <w:p>
      <w:pPr>
        <w:spacing w:after="0" w:line="188"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4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6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80" w:hanging="257"/>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440" w:hanging="257"/>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100" w:hanging="257"/>
        <w:spacing w:after="0" w:line="263"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ind w:right="4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20" w:hanging="257"/>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20" w:right="580" w:hanging="257"/>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2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58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00" w:firstLine="255"/>
        <w:spacing w:after="0" w:line="272" w:lineRule="auto"/>
        <w:rPr>
          <w:sz w:val="20"/>
          <w:szCs w:val="20"/>
          <w:color w:val="auto"/>
        </w:rPr>
      </w:pPr>
      <w:r>
        <w:rPr>
          <w:rFonts w:ascii="Arial" w:cs="Arial" w:eastAsia="Arial" w:hAnsi="Arial"/>
          <w:sz w:val="17"/>
          <w:szCs w:val="17"/>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Offering Expenses</w:t>
      </w:r>
    </w:p>
    <w:p>
      <w:pPr>
        <w:spacing w:after="0" w:line="117"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84"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84"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95"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As of June 30, 2023,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480" w:firstLine="255"/>
        <w:spacing w:after="0" w:line="263"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0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intends to elect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88"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For the three and six months ended June 30, 2023, the Company recorded a net expense of $0.4 million and $0.7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Shareholders</w:t>
      </w:r>
    </w:p>
    <w:p>
      <w:pPr>
        <w:spacing w:after="0" w:line="117"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10 for further information related to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and Regulatory Updates</w:t>
      </w:r>
    </w:p>
    <w:p>
      <w:pPr>
        <w:spacing w:after="0" w:line="117"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 in Topic 848. ASU 2022-06 is effective for all entities in scope upon issuance of ASU 2022-06. The adoption of this guidance did not have a material impact on the Company’s financial position, result of operations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79"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For the three and six months ended June 30, 2023, the Company has incurred $0.5 million and $1.0 million, respectively, for administrative services payable to the Adviser under the terms of the Administration Agreement, which is included in other general and administrative expenses in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(the“Incentive Fee”).</w:t>
      </w:r>
    </w:p>
    <w:p>
      <w:pPr>
        <w:spacing w:after="0" w:line="188"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six months ended June 30, 2023, Management Fees (gross of waivers) were $5.6 million and $9.5 million, respectively.</w:t>
      </w:r>
    </w:p>
    <w:p>
      <w:pPr>
        <w:spacing w:after="0" w:line="225"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six months ended June 30, 2023, Management Fees of $3.6 million and $6.2 million, respectively, have been waived. Any waived Management Fees are not subject to recoupment by the Adviser.</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40" w:hanging="257"/>
        <w:spacing w:after="0" w:line="259"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8" w:name="page19"/>
    <w:bookmarkEnd w:id="18"/>
    <w:p>
      <w:pPr>
        <w:ind w:left="520" w:right="20"/>
        <w:spacing w:after="0" w:line="254"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87" w:lineRule="exact"/>
        <w:rPr>
          <w:sz w:val="20"/>
          <w:szCs w:val="20"/>
          <w:color w:val="auto"/>
        </w:rPr>
      </w:pPr>
    </w:p>
    <w:p>
      <w:pPr>
        <w:ind w:left="520" w:right="20" w:hanging="257"/>
        <w:spacing w:after="0" w:line="284"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4"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12.5% and the portion of the Company’s realized capital gains that accrued following an Exchange Listing will be subject to an Incentive Fee rate of</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17.5%.</w:t>
      </w:r>
    </w:p>
    <w:p>
      <w:pPr>
        <w:spacing w:after="0" w:line="211" w:lineRule="exact"/>
        <w:rPr>
          <w:sz w:val="20"/>
          <w:szCs w:val="20"/>
          <w:color w:val="auto"/>
        </w:rPr>
      </w:pPr>
    </w:p>
    <w:p>
      <w:pPr>
        <w:ind w:right="42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146" w:lineRule="exact"/>
        <w:rPr>
          <w:sz w:val="20"/>
          <w:szCs w:val="20"/>
          <w:color w:val="auto"/>
        </w:rPr>
      </w:pPr>
    </w:p>
    <w:p>
      <w:pPr>
        <w:ind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For the three and six months ended June 30, 2023, Incentive Fees on net investment income were $4.6 million and $7.0 million, respectively. For the three and six months ended June 30, 2023 Incentive Fees on Capital Gains were $0.1 million and $1.5 million, respectively. As of June 30, 2023, the Capital Gains Fees accrued are not contractually payable to the Adviser.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Support Agreement</w:t>
      </w:r>
    </w:p>
    <w:p>
      <w:pPr>
        <w:spacing w:after="0" w:line="117"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6"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June 30, 2023, the Adviser has not provided any written commitments for Expense Payments. The Company has not made any Reimbursement Payments to the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6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ind w:left="252"/>
        <w:spacing w:after="0"/>
        <w:rPr>
          <w:sz w:val="20"/>
          <w:szCs w:val="20"/>
          <w:color w:val="auto"/>
        </w:rPr>
      </w:pPr>
      <w:r>
        <w:rPr>
          <w:rFonts w:ascii="Arial" w:cs="Arial" w:eastAsia="Arial" w:hAnsi="Arial"/>
          <w:sz w:val="18"/>
          <w:szCs w:val="18"/>
          <w:color w:val="auto"/>
        </w:rPr>
        <w:t>Investments at fair value consisted of the following at June 30, 2023 and December 31, 2022:</w:t>
      </w:r>
    </w:p>
    <w:p>
      <w:pPr>
        <w:spacing w:after="0" w:line="257" w:lineRule="exact"/>
        <w:rPr>
          <w:sz w:val="20"/>
          <w:szCs w:val="20"/>
          <w:color w:val="auto"/>
        </w:rPr>
      </w:pPr>
    </w:p>
    <w:tbl>
      <w:tblPr>
        <w:tblLayout w:type="fixed"/>
        <w:tblInd w:w="1112"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0"/>
              </w:rPr>
              <w:t>June 30, 2023</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 xml:space="preserve">Amortized Cost </w:t>
            </w:r>
            <w:r>
              <w:rPr>
                <w:rFonts w:ascii="Arial" w:cs="Arial" w:eastAsia="Arial" w:hAnsi="Arial"/>
                <w:sz w:val="19"/>
                <w:szCs w:val="19"/>
                <w:b w:val="1"/>
                <w:bCs w:val="1"/>
                <w:color w:val="auto"/>
                <w:w w:val="89"/>
                <w:vertAlign w:val="superscript"/>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1,626,744</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1,640,479</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Mezzanine debt investments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other investments</w:t>
            </w: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1,744,507</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1,758,911</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 xml:space="preserve">Amortized Cost </w:t>
            </w:r>
            <w:r>
              <w:rPr>
                <w:rFonts w:ascii="Arial" w:cs="Arial" w:eastAsia="Arial" w:hAnsi="Arial"/>
                <w:sz w:val="19"/>
                <w:szCs w:val="19"/>
                <w:b w:val="1"/>
                <w:bCs w:val="1"/>
                <w:color w:val="auto"/>
                <w:w w:val="89"/>
                <w:vertAlign w:val="superscript"/>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801,223</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7,806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4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809,029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-1173480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-1173480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-1173480</wp:posOffset>
            </wp:positionV>
            <wp:extent cx="7747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-25400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9" w:lineRule="exact"/>
        <w:rPr>
          <w:sz w:val="20"/>
          <w:szCs w:val="20"/>
          <w:color w:val="auto"/>
        </w:rPr>
      </w:pPr>
    </w:p>
    <w:p>
      <w:pPr>
        <w:ind w:left="512" w:hanging="512"/>
        <w:spacing w:after="0" w:line="277"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52"/>
        <w:spacing w:after="0"/>
        <w:rPr>
          <w:sz w:val="20"/>
          <w:szCs w:val="20"/>
          <w:color w:val="auto"/>
        </w:rPr>
      </w:pPr>
      <w:r>
        <w:rPr>
          <w:rFonts w:ascii="Arial" w:cs="Arial" w:eastAsia="Arial" w:hAnsi="Arial"/>
          <w:sz w:val="18"/>
          <w:szCs w:val="18"/>
          <w:color w:val="auto"/>
        </w:rPr>
        <w:t>The industry composition of investments at fair value at June 30, 2023 and December 31, 2022:</w:t>
      </w:r>
    </w:p>
    <w:p>
      <w:pPr>
        <w:spacing w:after="0" w:line="257" w:lineRule="exact"/>
        <w:rPr>
          <w:sz w:val="20"/>
          <w:szCs w:val="20"/>
          <w:color w:val="auto"/>
        </w:rPr>
      </w:pPr>
    </w:p>
    <w:tbl>
      <w:tblPr>
        <w:tblLayout w:type="fixed"/>
        <w:tblInd w:w="1012"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16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June 30, 2023</w:t>
            </w:r>
          </w:p>
        </w:tc>
        <w:tc>
          <w:tcPr>
            <w:tcW w:w="1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Automotive</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15.0 %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0.8 %</w:t>
            </w:r>
          </w:p>
        </w:tc>
      </w:tr>
      <w:tr>
        <w:trPr>
          <w:trHeight w:val="242"/>
        </w:trPr>
        <w:tc>
          <w:tcPr>
            <w:tcW w:w="5920" w:type="dxa"/>
            <w:vAlign w:val="bottom"/>
          </w:tcPr>
          <w:p>
            <w:pPr>
              <w:ind w:left="20"/>
              <w:spacing w:after="0"/>
              <w:rPr>
                <w:sz w:val="20"/>
                <w:szCs w:val="20"/>
                <w:color w:val="auto"/>
              </w:rPr>
            </w:pPr>
            <w:r>
              <w:rPr>
                <w:rFonts w:ascii="Arial" w:cs="Arial" w:eastAsia="Arial" w:hAnsi="Arial"/>
                <w:sz w:val="18"/>
                <w:szCs w:val="18"/>
                <w:color w:val="auto"/>
              </w:rPr>
              <w:t>Chemicals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2.2 %</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15.7 %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32.4 %</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6.4 %</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14.5 %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18.0 %</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3.2 %</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14.4 %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7.6 %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16.3 %</w:t>
            </w:r>
          </w:p>
        </w:tc>
      </w:tr>
      <w:tr>
        <w:trPr>
          <w:trHeight w:val="25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5.5 %</w:t>
            </w:r>
          </w:p>
        </w:tc>
        <w:tc>
          <w:tcPr>
            <w:tcW w:w="16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6"/>
        </w:trPr>
        <w:tc>
          <w:tcPr>
            <w:tcW w:w="5920" w:type="dxa"/>
            <w:vAlign w:val="bottom"/>
          </w:tcPr>
          <w:p>
            <w:pPr>
              <w:ind w:left="20"/>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13.7 %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29.4 %</w:t>
            </w:r>
          </w:p>
        </w:tc>
      </w:tr>
      <w:tr>
        <w:trPr>
          <w:trHeight w:val="237"/>
        </w:trPr>
        <w:tc>
          <w:tcPr>
            <w:tcW w:w="592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-1731010</wp:posOffset>
            </wp:positionV>
            <wp:extent cx="584644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-1422400</wp:posOffset>
            </wp:positionV>
            <wp:extent cx="584644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-1113790</wp:posOffset>
            </wp:positionV>
            <wp:extent cx="584644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-805180</wp:posOffset>
            </wp:positionV>
            <wp:extent cx="584644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-187960</wp:posOffset>
            </wp:positionV>
            <wp:extent cx="584644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6445" cy="188595"/>
                    </a:xfrm>
                    <a:prstGeom prst="rect">
                      <a:avLst/>
                    </a:prstGeom>
                    <a:noFill/>
                  </pic:spPr>
                </pic:pic>
              </a:graphicData>
            </a:graphic>
          </wp:anchor>
        </w:drawing>
      </w:r>
    </w:p>
    <w:p>
      <w:pPr>
        <w:spacing w:after="0" w:line="222" w:lineRule="exact"/>
        <w:rPr>
          <w:sz w:val="20"/>
          <w:szCs w:val="20"/>
          <w:color w:val="auto"/>
        </w:rPr>
      </w:pPr>
    </w:p>
    <w:p>
      <w:pPr>
        <w:ind w:left="252"/>
        <w:spacing w:after="0"/>
        <w:rPr>
          <w:sz w:val="20"/>
          <w:szCs w:val="20"/>
          <w:color w:val="auto"/>
        </w:rPr>
      </w:pPr>
      <w:r>
        <w:rPr>
          <w:rFonts w:ascii="Arial" w:cs="Arial" w:eastAsia="Arial" w:hAnsi="Arial"/>
          <w:sz w:val="18"/>
          <w:szCs w:val="18"/>
          <w:color w:val="auto"/>
        </w:rPr>
        <w:t>The geographic composition of investments at fair value at June 30, 2023 and December 31, 2022:</w:t>
      </w:r>
    </w:p>
    <w:p>
      <w:pPr>
        <w:spacing w:after="0" w:line="257" w:lineRule="exact"/>
        <w:rPr>
          <w:sz w:val="20"/>
          <w:szCs w:val="20"/>
          <w:color w:val="auto"/>
        </w:rPr>
      </w:pPr>
    </w:p>
    <w:tbl>
      <w:tblPr>
        <w:tblLayout w:type="fixed"/>
        <w:tblInd w:w="1012"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2023</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7"/>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3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0"/>
              <w:spacing w:after="0"/>
              <w:rPr>
                <w:sz w:val="20"/>
                <w:szCs w:val="20"/>
                <w:color w:val="auto"/>
              </w:rPr>
            </w:pPr>
            <w:r>
              <w:rPr>
                <w:rFonts w:ascii="Arial" w:cs="Arial" w:eastAsia="Arial" w:hAnsi="Arial"/>
                <w:sz w:val="18"/>
                <w:szCs w:val="18"/>
                <w:color w:val="auto"/>
              </w:rPr>
              <w:t>Midwest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27.0 %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42"/>
        </w:trPr>
        <w:tc>
          <w:tcPr>
            <w:tcW w:w="5880" w:type="dxa"/>
            <w:vAlign w:val="bottom"/>
          </w:tcPr>
          <w:p>
            <w:pPr>
              <w:ind w:left="200"/>
              <w:spacing w:after="0"/>
              <w:rPr>
                <w:sz w:val="20"/>
                <w:szCs w:val="20"/>
                <w:color w:val="auto"/>
              </w:rPr>
            </w:pPr>
            <w:r>
              <w:rPr>
                <w:rFonts w:ascii="Arial" w:cs="Arial" w:eastAsia="Arial" w:hAnsi="Arial"/>
                <w:sz w:val="18"/>
                <w:szCs w:val="18"/>
                <w:color w:val="auto"/>
              </w:rPr>
              <w:t>Northeast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25.5 %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45.5 %</w:t>
            </w: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Arial" w:cs="Arial" w:eastAsia="Arial" w:hAnsi="Arial"/>
                <w:sz w:val="18"/>
                <w:szCs w:val="18"/>
                <w:color w:val="auto"/>
              </w:rPr>
              <w:t>South</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0.3 %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Arial" w:cs="Arial" w:eastAsia="Arial" w:hAnsi="Arial"/>
                <w:sz w:val="18"/>
                <w:szCs w:val="18"/>
                <w:color w:val="auto"/>
              </w:rPr>
              <w:t>West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43.2 %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Canada</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2.2 %</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Arial" w:cs="Arial" w:eastAsia="Arial" w:hAnsi="Arial"/>
                <w:sz w:val="18"/>
                <w:szCs w:val="18"/>
                <w:color w:val="auto"/>
              </w:rPr>
              <w:t>Germany</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0.2 %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66"/>
        </w:trPr>
        <w:tc>
          <w:tcPr>
            <w:tcW w:w="588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Finland </w:t>
            </w:r>
            <w:r>
              <w:rPr>
                <w:rFonts w:ascii="Arial" w:cs="Arial" w:eastAsia="Arial" w:hAnsi="Arial"/>
                <w:sz w:val="24"/>
                <w:szCs w:val="24"/>
                <w:color w:val="auto"/>
                <w:vertAlign w:val="superscript"/>
              </w:rPr>
              <w:t>(1)</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0.2 %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2"/>
        </w:trPr>
        <w:tc>
          <w:tcPr>
            <w:tcW w:w="588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0.2 %</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Norway</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58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vMerge w:val="continue"/>
          </w:tcPr>
          <w:p>
            <w:pPr>
              <w:spacing w:after="0"/>
              <w:rPr>
                <w:sz w:val="20"/>
                <w:szCs w:val="20"/>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-1576705</wp:posOffset>
            </wp:positionV>
            <wp:extent cx="584644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-1268095</wp:posOffset>
            </wp:positionV>
            <wp:extent cx="584644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-959485</wp:posOffset>
            </wp:positionV>
            <wp:extent cx="584644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-650875</wp:posOffset>
            </wp:positionV>
            <wp:extent cx="584644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-342265</wp:posOffset>
            </wp:positionV>
            <wp:extent cx="584644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6445" cy="162560"/>
                    </a:xfrm>
                    <a:prstGeom prst="rect">
                      <a:avLst/>
                    </a:prstGeom>
                    <a:noFill/>
                  </pic:spPr>
                </pic:pic>
              </a:graphicData>
            </a:graphic>
          </wp:anchor>
        </w:drawing>
      </w:r>
    </w:p>
    <w:p>
      <w:pPr>
        <w:spacing w:after="0" w:line="236" w:lineRule="exact"/>
        <w:rPr>
          <w:sz w:val="20"/>
          <w:szCs w:val="20"/>
          <w:color w:val="auto"/>
        </w:rPr>
      </w:pPr>
    </w:p>
    <w:p>
      <w:pPr>
        <w:ind w:left="512" w:hanging="512"/>
        <w:spacing w:after="0"/>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Value rounds to less than 0.1%</w:t>
      </w:r>
    </w:p>
    <w:p>
      <w:pPr>
        <w:spacing w:after="0" w:line="22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58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June 30, 2023 and December 31, 2022:</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4"/>
              </w:rPr>
              <w:t>Fair Value Hierarchy at June 30, 2023</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8"/>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1,640,479</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1,640,479</w:t>
            </w:r>
          </w:p>
        </w:tc>
        <w:tc>
          <w:tcPr>
            <w:tcW w:w="120" w:type="dxa"/>
            <w:vAlign w:val="bottom"/>
            <w:shd w:val="clear" w:color="auto" w:fill="CFF0FC"/>
          </w:tcPr>
          <w:p>
            <w:pPr>
              <w:spacing w:after="0"/>
              <w:rPr>
                <w:sz w:val="20"/>
                <w:szCs w:val="20"/>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Mezzanine debt investments</w:t>
            </w:r>
          </w:p>
        </w:tc>
        <w:tc>
          <w:tcPr>
            <w:tcW w:w="78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97,750</w:t>
            </w:r>
          </w:p>
        </w:tc>
        <w:tc>
          <w:tcPr>
            <w:tcW w:w="120" w:type="dxa"/>
            <w:vAlign w:val="bottom"/>
          </w:tcPr>
          <w:p>
            <w:pPr>
              <w:spacing w:after="0"/>
              <w:rPr>
                <w:sz w:val="20"/>
                <w:szCs w:val="20"/>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8"/>
        </w:trPr>
        <w:tc>
          <w:tcPr>
            <w:tcW w:w="392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ind w:right="59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1,758,911</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1,758,911</w:t>
            </w:r>
          </w:p>
        </w:tc>
        <w:tc>
          <w:tcPr>
            <w:tcW w:w="12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3"/>
        </w:trPr>
        <w:tc>
          <w:tcPr>
            <w:tcW w:w="39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left="68"/>
              <w:spacing w:after="0"/>
              <w:rPr>
                <w:sz w:val="20"/>
                <w:szCs w:val="20"/>
                <w:color w:val="auto"/>
              </w:rPr>
            </w:pPr>
            <w:r>
              <w:rPr>
                <w:rFonts w:ascii="Arial" w:cs="Arial" w:eastAsia="Arial" w:hAnsi="Arial"/>
                <w:sz w:val="14"/>
                <w:szCs w:val="14"/>
                <w:b w:val="1"/>
                <w:bCs w:val="1"/>
                <w:color w:val="auto"/>
                <w:w w:val="94"/>
              </w:rPr>
              <w:t>Fair Value Hierarchy at December 31, 2022</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39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8"/>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120" w:type="dxa"/>
            <w:vAlign w:val="bottom"/>
            <w:shd w:val="clear" w:color="auto" w:fill="CFF0FC"/>
          </w:tcPr>
          <w:p>
            <w:pPr>
              <w:spacing w:after="0"/>
              <w:rPr>
                <w:sz w:val="20"/>
                <w:szCs w:val="20"/>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20"/>
                <w:szCs w:val="20"/>
                <w:color w:val="auto"/>
              </w:rPr>
            </w:pPr>
          </w:p>
        </w:tc>
      </w:tr>
      <w:tr>
        <w:trPr>
          <w:trHeight w:val="279"/>
        </w:trPr>
        <w:tc>
          <w:tcPr>
            <w:tcW w:w="3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-1079500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-1079500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-1079500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-1079500</wp:posOffset>
            </wp:positionV>
            <wp:extent cx="7747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2023:</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0"/>
              </w:rPr>
              <w:t>June 30, 2023</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First-lien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7"/>
              </w:rPr>
              <w:t>Mezzanine</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and 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1,246,008</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16,444</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1,262,452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422,327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97,000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(32,451 )</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(32,451 )</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1,640,479</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97,750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1,758,911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As of and for the Six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0"/>
              </w:rPr>
              <w:t>June 30, 2023</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7,806</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858,451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97,000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12,876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(38,737 )</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(38,737 )</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13,964</w:t>
            </w: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5,007</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1,640,479</w:t>
            </w:r>
          </w:p>
        </w:tc>
        <w:tc>
          <w:tcPr>
            <w:tcW w:w="22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97,750</w:t>
            </w:r>
          </w:p>
        </w:tc>
        <w:tc>
          <w:tcPr>
            <w:tcW w:w="260" w:type="dxa"/>
            <w:vAlign w:val="bottom"/>
            <w:tcBorders>
              <w:bottom w:val="single" w:sz="8" w:color="CFF0FC"/>
            </w:tcBorders>
            <w:gridSpan w:val="2"/>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22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1,758,911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-1833880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-1816735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-1833880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-1816735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-1833880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-1816735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-1833880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-1816735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tcPr>
          <w:p>
            <w:pPr>
              <w:jc w:val="center"/>
              <w:ind w:right="201"/>
              <w:spacing w:after="0"/>
              <w:rPr>
                <w:sz w:val="20"/>
                <w:szCs w:val="20"/>
                <w:color w:val="auto"/>
              </w:rPr>
            </w:pPr>
            <w:r>
              <w:rPr>
                <w:rFonts w:ascii="Arial" w:cs="Arial" w:eastAsia="Arial" w:hAnsi="Arial"/>
                <w:sz w:val="14"/>
                <w:szCs w:val="14"/>
                <w:b w:val="1"/>
                <w:bCs w:val="1"/>
                <w:color w:val="auto"/>
                <w:w w:val="93"/>
              </w:rPr>
              <w:t>Net Change in Unrealized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tcPr>
          <w:p>
            <w:pPr>
              <w:jc w:val="center"/>
              <w:ind w:right="201"/>
              <w:spacing w:after="0"/>
              <w:rPr>
                <w:sz w:val="20"/>
                <w:szCs w:val="20"/>
                <w:color w:val="auto"/>
              </w:rPr>
            </w:pPr>
            <w:r>
              <w:rPr>
                <w:rFonts w:ascii="Arial" w:cs="Arial" w:eastAsia="Arial" w:hAnsi="Arial"/>
                <w:sz w:val="14"/>
                <w:szCs w:val="14"/>
                <w:b w:val="1"/>
                <w:bCs w:val="1"/>
                <w:color w:val="auto"/>
                <w:w w:val="89"/>
              </w:rPr>
              <w:t>Gains or (Losses)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tcPr>
          <w:p>
            <w:pPr>
              <w:jc w:val="center"/>
              <w:ind w:right="181"/>
              <w:spacing w:after="0"/>
              <w:rPr>
                <w:sz w:val="20"/>
                <w:szCs w:val="20"/>
                <w:color w:val="auto"/>
              </w:rPr>
            </w:pPr>
            <w:r>
              <w:rPr>
                <w:rFonts w:ascii="Arial" w:cs="Arial" w:eastAsia="Arial" w:hAnsi="Arial"/>
                <w:sz w:val="14"/>
                <w:szCs w:val="14"/>
                <w:b w:val="1"/>
                <w:bCs w:val="1"/>
                <w:color w:val="auto"/>
                <w:w w:val="94"/>
              </w:rPr>
              <w:t>for the Three Months Ended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June 30, 2023 on</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Investments Held at</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2"/>
              </w:rPr>
              <w:t>June 30, 2023</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28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Mezzanine debt investments</w:t>
            </w: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other investments</w:t>
            </w:r>
          </w:p>
        </w:tc>
        <w:tc>
          <w:tcPr>
            <w:tcW w:w="2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3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1,049</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20" w:type="dxa"/>
            <w:vAlign w:val="bottom"/>
            <w:vMerge w:val="restart"/>
          </w:tcPr>
          <w:p>
            <w:pPr>
              <w:jc w:val="right"/>
              <w:ind w:right="141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-685165</wp:posOffset>
            </wp:positionV>
            <wp:extent cx="7683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135" w:gutter="0" w:footer="0" w:header="0"/>
        </w:sectPr>
      </w:pPr>
    </w:p>
    <w:bookmarkStart w:id="21" w:name="page22"/>
    <w:bookmarkEnd w:id="21"/>
    <w:tbl>
      <w:tblPr>
        <w:tblLayout w:type="fixed"/>
        <w:tblInd w:w="108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Net Change in Unrealized</w:t>
            </w:r>
          </w:p>
        </w:tc>
        <w:tc>
          <w:tcPr>
            <w:tcW w:w="300" w:type="dxa"/>
            <w:vAlign w:val="bottom"/>
          </w:tcPr>
          <w:p>
            <w:pPr>
              <w:spacing w:after="0"/>
              <w:rPr>
                <w:sz w:val="15"/>
                <w:szCs w:val="15"/>
                <w:color w:val="auto"/>
              </w:rPr>
            </w:pP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Gains or (Losses)</w:t>
            </w:r>
          </w:p>
        </w:tc>
        <w:tc>
          <w:tcPr>
            <w:tcW w:w="300" w:type="dxa"/>
            <w:vAlign w:val="bottom"/>
          </w:tcPr>
          <w:p>
            <w:pPr>
              <w:spacing w:after="0"/>
              <w:rPr>
                <w:sz w:val="15"/>
                <w:szCs w:val="15"/>
                <w:color w:val="auto"/>
              </w:rPr>
            </w:pP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for the Six Months Ended</w:t>
            </w:r>
          </w:p>
        </w:tc>
        <w:tc>
          <w:tcPr>
            <w:tcW w:w="300" w:type="dxa"/>
            <w:vAlign w:val="bottom"/>
          </w:tcPr>
          <w:p>
            <w:pPr>
              <w:spacing w:after="0"/>
              <w:rPr>
                <w:sz w:val="15"/>
                <w:szCs w:val="15"/>
                <w:color w:val="auto"/>
              </w:rPr>
            </w:pPr>
          </w:p>
        </w:tc>
      </w:tr>
      <w:tr>
        <w:trPr>
          <w:trHeight w:val="175"/>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jc w:val="center"/>
              <w:ind w:right="241"/>
              <w:spacing w:after="0"/>
              <w:rPr>
                <w:sz w:val="20"/>
                <w:szCs w:val="20"/>
                <w:color w:val="auto"/>
              </w:rPr>
            </w:pPr>
            <w:r>
              <w:rPr>
                <w:rFonts w:ascii="Arial" w:cs="Arial" w:eastAsia="Arial" w:hAnsi="Arial"/>
                <w:sz w:val="14"/>
                <w:szCs w:val="14"/>
                <w:b w:val="1"/>
                <w:bCs w:val="1"/>
                <w:color w:val="auto"/>
                <w:w w:val="90"/>
              </w:rPr>
              <w:t>June 30, 2023 on</w:t>
            </w:r>
          </w:p>
        </w:tc>
        <w:tc>
          <w:tcPr>
            <w:tcW w:w="300" w:type="dxa"/>
            <w:vAlign w:val="bottom"/>
          </w:tcPr>
          <w:p>
            <w:pPr>
              <w:spacing w:after="0"/>
              <w:rPr>
                <w:sz w:val="15"/>
                <w:szCs w:val="15"/>
                <w:color w:val="auto"/>
              </w:rPr>
            </w:pP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jc w:val="center"/>
              <w:ind w:right="241"/>
              <w:spacing w:after="0"/>
              <w:rPr>
                <w:sz w:val="20"/>
                <w:szCs w:val="20"/>
                <w:color w:val="auto"/>
              </w:rPr>
            </w:pPr>
            <w:r>
              <w:rPr>
                <w:rFonts w:ascii="Arial" w:cs="Arial" w:eastAsia="Arial" w:hAnsi="Arial"/>
                <w:sz w:val="14"/>
                <w:szCs w:val="14"/>
                <w:b w:val="1"/>
                <w:bCs w:val="1"/>
                <w:color w:val="auto"/>
                <w:w w:val="92"/>
              </w:rPr>
              <w:t>Investments Held at</w:t>
            </w:r>
          </w:p>
        </w:tc>
        <w:tc>
          <w:tcPr>
            <w:tcW w:w="300" w:type="dxa"/>
            <w:vAlign w:val="bottom"/>
          </w:tcPr>
          <w:p>
            <w:pPr>
              <w:spacing w:after="0"/>
              <w:rPr>
                <w:sz w:val="15"/>
                <w:szCs w:val="15"/>
                <w:color w:val="auto"/>
              </w:rPr>
            </w:pPr>
          </w:p>
        </w:tc>
      </w:tr>
      <w:tr>
        <w:trPr>
          <w:trHeight w:val="185"/>
        </w:trPr>
        <w:tc>
          <w:tcPr>
            <w:tcW w:w="6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2"/>
              </w:rPr>
              <w:t>June 30, 2023</w:t>
            </w:r>
          </w:p>
        </w:tc>
        <w:tc>
          <w:tcPr>
            <w:tcW w:w="300" w:type="dxa"/>
            <w:vAlign w:val="bottom"/>
          </w:tcPr>
          <w:p>
            <w:pPr>
              <w:spacing w:after="0"/>
              <w:rPr>
                <w:sz w:val="16"/>
                <w:szCs w:val="16"/>
                <w:color w:val="auto"/>
              </w:rPr>
            </w:pPr>
          </w:p>
        </w:tc>
      </w:tr>
      <w:tr>
        <w:trPr>
          <w:trHeight w:val="237"/>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w:t>
            </w:r>
          </w:p>
        </w:tc>
        <w:tc>
          <w:tcPr>
            <w:tcW w:w="300" w:type="dxa"/>
            <w:vAlign w:val="bottom"/>
            <w:shd w:val="clear" w:color="auto" w:fill="CFF0FC"/>
          </w:tcPr>
          <w:p>
            <w:pPr>
              <w:spacing w:after="0"/>
              <w:rPr>
                <w:sz w:val="20"/>
                <w:szCs w:val="20"/>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Mezzanine debt investments</w:t>
            </w:r>
          </w:p>
        </w:tc>
        <w:tc>
          <w:tcPr>
            <w:tcW w:w="30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20"/>
                <w:szCs w:val="20"/>
                <w:color w:val="auto"/>
              </w:rPr>
            </w:pPr>
          </w:p>
        </w:tc>
      </w:tr>
      <w:tr>
        <w:trPr>
          <w:trHeight w:val="24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300" w:type="dxa"/>
            <w:vAlign w:val="bottom"/>
            <w:tcBorders>
              <w:bottom w:val="single" w:sz="8" w:color="auto"/>
            </w:tcBorders>
            <w:shd w:val="clear" w:color="auto" w:fill="CFF0FC"/>
          </w:tcPr>
          <w:p>
            <w:pPr>
              <w:spacing w:after="0"/>
              <w:rPr>
                <w:sz w:val="21"/>
                <w:szCs w:val="21"/>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8"/>
        </w:trPr>
        <w:tc>
          <w:tcPr>
            <w:tcW w:w="61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300" w:type="dxa"/>
            <w:vAlign w:val="bottom"/>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-187960</wp:posOffset>
            </wp:positionV>
            <wp:extent cx="7683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8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June 30, 2023 and December 31, 2022. The tables are not intended to be all-inclusive, but instead capture the significant unobservable inputs relevant to the Company’s determination of fair values.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left="606"/>
              <w:spacing w:after="0"/>
              <w:rPr>
                <w:sz w:val="20"/>
                <w:szCs w:val="20"/>
                <w:color w:val="auto"/>
              </w:rPr>
            </w:pPr>
            <w:r>
              <w:rPr>
                <w:rFonts w:ascii="Arial" w:cs="Arial" w:eastAsia="Arial" w:hAnsi="Arial"/>
                <w:sz w:val="14"/>
                <w:szCs w:val="14"/>
                <w:b w:val="1"/>
                <w:bCs w:val="1"/>
                <w:color w:val="auto"/>
                <w:w w:val="92"/>
              </w:rPr>
              <w:t>June 30, 2023</w:t>
            </w:r>
          </w:p>
        </w:tc>
        <w:tc>
          <w:tcPr>
            <w:tcW w:w="2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2"/>
              </w:rPr>
              <w:t>Unobservable</w:t>
            </w:r>
          </w:p>
        </w:tc>
        <w:tc>
          <w:tcPr>
            <w:tcW w:w="20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Input</w:t>
            </w:r>
          </w:p>
        </w:tc>
        <w:tc>
          <w:tcPr>
            <w:tcW w:w="2000" w:type="dxa"/>
            <w:vAlign w:val="bottom"/>
          </w:tcPr>
          <w:p>
            <w:pPr>
              <w:jc w:val="center"/>
              <w:ind w:right="123"/>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00"/>
        </w:trPr>
        <w:tc>
          <w:tcPr>
            <w:tcW w:w="14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w:t>
            </w: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6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1,640,479</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approach</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ind w:right="123"/>
              <w:spacing w:after="0"/>
              <w:rPr>
                <w:sz w:val="20"/>
                <w:szCs w:val="20"/>
                <w:color w:val="auto"/>
              </w:rPr>
            </w:pPr>
            <w:r>
              <w:rPr>
                <w:rFonts w:ascii="Arial" w:cs="Arial" w:eastAsia="Arial" w:hAnsi="Arial"/>
                <w:sz w:val="16"/>
                <w:szCs w:val="16"/>
                <w:color w:val="auto"/>
                <w:w w:val="93"/>
              </w:rPr>
              <w:t>9.7% — 17.4% (13.5%)</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6"/>
                <w:szCs w:val="16"/>
                <w:color w:val="auto"/>
              </w:rPr>
              <w:t>Mezzanine debt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vMerge w:val="restart"/>
          </w:tcPr>
          <w:p>
            <w:pPr>
              <w:ind w:left="20"/>
              <w:spacing w:after="0"/>
              <w:rPr>
                <w:sz w:val="20"/>
                <w:szCs w:val="20"/>
                <w:color w:val="auto"/>
              </w:rPr>
            </w:pPr>
            <w:r>
              <w:rPr>
                <w:rFonts w:ascii="Arial" w:cs="Arial" w:eastAsia="Arial" w:hAnsi="Arial"/>
                <w:sz w:val="16"/>
                <w:szCs w:val="16"/>
                <w:color w:val="auto"/>
              </w:rPr>
              <w:t xml:space="preserve">Income approach </w:t>
            </w:r>
            <w:r>
              <w:rPr>
                <w:rFonts w:ascii="Arial" w:cs="Arial" w:eastAsia="Arial" w:hAnsi="Arial"/>
                <w:sz w:val="21"/>
                <w:szCs w:val="21"/>
                <w:color w:val="auto"/>
                <w:vertAlign w:val="superscript"/>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60" w:type="dxa"/>
            <w:vAlign w:val="bottom"/>
          </w:tcPr>
          <w:p>
            <w:pPr>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97,750</w:t>
            </w:r>
          </w:p>
        </w:tc>
        <w:tc>
          <w:tcPr>
            <w:tcW w:w="2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6"/>
          </w:tcPr>
          <w:p>
            <w:pPr>
              <w:ind w:left="20"/>
              <w:spacing w:after="0"/>
              <w:rPr>
                <w:sz w:val="20"/>
                <w:szCs w:val="20"/>
                <w:color w:val="auto"/>
              </w:rPr>
            </w:pPr>
            <w:r>
              <w:rPr>
                <w:rFonts w:ascii="Arial" w:cs="Arial" w:eastAsia="Arial" w:hAnsi="Arial"/>
                <w:sz w:val="16"/>
                <w:szCs w:val="16"/>
                <w:color w:val="auto"/>
              </w:rPr>
              <w:t>Discount rate</w:t>
            </w:r>
          </w:p>
        </w:tc>
        <w:tc>
          <w:tcPr>
            <w:tcW w:w="2000" w:type="dxa"/>
            <w:vAlign w:val="bottom"/>
          </w:tcPr>
          <w:p>
            <w:pPr>
              <w:jc w:val="center"/>
              <w:ind w:right="123"/>
              <w:spacing w:after="0"/>
              <w:rPr>
                <w:sz w:val="20"/>
                <w:szCs w:val="20"/>
                <w:color w:val="auto"/>
              </w:rPr>
            </w:pPr>
            <w:r>
              <w:rPr>
                <w:rFonts w:ascii="Arial" w:cs="Arial" w:eastAsia="Arial" w:hAnsi="Arial"/>
                <w:sz w:val="16"/>
                <w:szCs w:val="16"/>
                <w:color w:val="auto"/>
                <w:w w:val="93"/>
              </w:rPr>
              <w:t>15.1% — 15.1% (15.1%)</w:t>
            </w:r>
          </w:p>
        </w:tc>
        <w:tc>
          <w:tcPr>
            <w:tcW w:w="14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6"/>
        </w:trPr>
        <w:tc>
          <w:tcPr>
            <w:tcW w:w="1460" w:type="dxa"/>
            <w:vAlign w:val="bottom"/>
            <w:shd w:val="clear" w:color="auto" w:fill="CFF0FC"/>
          </w:tcPr>
          <w:p>
            <w:pPr>
              <w:spacing w:after="0"/>
              <w:rPr>
                <w:sz w:val="20"/>
                <w:szCs w:val="20"/>
                <w:color w:val="auto"/>
              </w:rPr>
            </w:pPr>
            <w:r>
              <w:rPr>
                <w:rFonts w:ascii="Arial" w:cs="Arial" w:eastAsia="Arial" w:hAnsi="Arial"/>
                <w:sz w:val="16"/>
                <w:szCs w:val="16"/>
                <w:color w:val="auto"/>
              </w:rPr>
              <w:t>Equity and other</w:t>
            </w:r>
          </w:p>
        </w:tc>
        <w:tc>
          <w:tcPr>
            <w:tcW w:w="1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20,682</w:t>
            </w:r>
          </w:p>
        </w:tc>
        <w:tc>
          <w:tcPr>
            <w:tcW w:w="26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Market Multiple</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0" w:type="dxa"/>
            <w:vAlign w:val="bottom"/>
            <w:gridSpan w:val="6"/>
            <w:vMerge w:val="restart"/>
            <w:shd w:val="clear" w:color="auto" w:fill="CFF0FC"/>
          </w:tcPr>
          <w:p>
            <w:pPr>
              <w:ind w:left="20"/>
              <w:spacing w:after="0"/>
              <w:rPr>
                <w:sz w:val="20"/>
                <w:szCs w:val="20"/>
                <w:color w:val="auto"/>
              </w:rPr>
            </w:pPr>
            <w:r>
              <w:rPr>
                <w:rFonts w:ascii="Arial" w:cs="Arial" w:eastAsia="Arial" w:hAnsi="Arial"/>
                <w:sz w:val="16"/>
                <w:szCs w:val="16"/>
                <w:color w:val="auto"/>
              </w:rPr>
              <w:t>Comparable multiple</w:t>
            </w:r>
          </w:p>
        </w:tc>
        <w:tc>
          <w:tcPr>
            <w:tcW w:w="2000" w:type="dxa"/>
            <w:vAlign w:val="bottom"/>
            <w:vMerge w:val="restart"/>
            <w:shd w:val="clear" w:color="auto" w:fill="CFF0FC"/>
          </w:tcPr>
          <w:p>
            <w:pPr>
              <w:jc w:val="center"/>
              <w:ind w:right="123"/>
              <w:spacing w:after="0"/>
              <w:rPr>
                <w:sz w:val="20"/>
                <w:szCs w:val="20"/>
                <w:color w:val="auto"/>
              </w:rPr>
            </w:pPr>
            <w:r>
              <w:rPr>
                <w:rFonts w:ascii="Arial" w:cs="Arial" w:eastAsia="Arial" w:hAnsi="Arial"/>
                <w:sz w:val="16"/>
                <w:szCs w:val="16"/>
                <w:color w:val="auto"/>
                <w:w w:val="94"/>
              </w:rPr>
              <w:t>5.3x — 14.9x (14.3x)</w:t>
            </w:r>
          </w:p>
        </w:tc>
        <w:tc>
          <w:tcPr>
            <w:tcW w:w="14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9"/>
        </w:trPr>
        <w:tc>
          <w:tcPr>
            <w:tcW w:w="146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0" w:type="dxa"/>
            <w:vAlign w:val="bottom"/>
            <w:gridSpan w:val="6"/>
            <w:vMerge w:val="continue"/>
            <w:shd w:val="clear" w:color="auto" w:fill="CFF0FC"/>
          </w:tcPr>
          <w:p>
            <w:pPr>
              <w:spacing w:after="0"/>
              <w:rPr>
                <w:sz w:val="18"/>
                <w:szCs w:val="18"/>
                <w:color w:val="auto"/>
              </w:rPr>
            </w:pPr>
          </w:p>
        </w:tc>
        <w:tc>
          <w:tcPr>
            <w:tcW w:w="20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60" w:type="dxa"/>
            <w:vAlign w:val="bottom"/>
            <w:tcBorders>
              <w:top w:val="single" w:sz="8" w:color="CFF0FC"/>
            </w:tcBorders>
          </w:tcPr>
          <w:p>
            <w:pPr>
              <w:ind w:left="18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1,758,911</w:t>
            </w:r>
          </w:p>
        </w:tc>
        <w:tc>
          <w:tcPr>
            <w:tcW w:w="260" w:type="dxa"/>
            <w:vAlign w:val="bottom"/>
            <w:tcBorders>
              <w:top w:val="single" w:sz="8" w:color="CFF0FC"/>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5"/>
            <w:vMerge w:val="restart"/>
          </w:tcPr>
          <w:p>
            <w:pPr>
              <w:jc w:val="center"/>
              <w:ind w:left="606"/>
              <w:spacing w:after="0"/>
              <w:rPr>
                <w:sz w:val="20"/>
                <w:szCs w:val="20"/>
                <w:color w:val="auto"/>
              </w:rPr>
            </w:pPr>
            <w:r>
              <w:rPr>
                <w:rFonts w:ascii="Arial" w:cs="Arial" w:eastAsia="Arial" w:hAnsi="Arial"/>
                <w:sz w:val="14"/>
                <w:szCs w:val="14"/>
                <w:b w:val="1"/>
                <w:bCs w:val="1"/>
                <w:color w:val="auto"/>
                <w:w w:val="91"/>
              </w:rPr>
              <w:t>December 31, 2022</w:t>
            </w: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0"/>
              </w:rPr>
              <w:t>Unobservable</w:t>
            </w:r>
          </w:p>
        </w:tc>
        <w:tc>
          <w:tcPr>
            <w:tcW w:w="200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5"/>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Input</w:t>
            </w:r>
          </w:p>
        </w:tc>
        <w:tc>
          <w:tcPr>
            <w:tcW w:w="20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00"/>
        </w:trPr>
        <w:tc>
          <w:tcPr>
            <w:tcW w:w="14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w:t>
            </w: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6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800,995</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Income approach</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9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ind w:right="103"/>
              <w:spacing w:after="0"/>
              <w:rPr>
                <w:sz w:val="20"/>
                <w:szCs w:val="20"/>
                <w:color w:val="auto"/>
              </w:rPr>
            </w:pPr>
            <w:r>
              <w:rPr>
                <w:rFonts w:ascii="Arial" w:cs="Arial" w:eastAsia="Arial" w:hAnsi="Arial"/>
                <w:sz w:val="16"/>
                <w:szCs w:val="16"/>
                <w:color w:val="auto"/>
                <w:w w:val="94"/>
              </w:rPr>
              <w:t>9.3% — 15.1% (13.1%)</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6"/>
                <w:szCs w:val="16"/>
                <w:color w:val="auto"/>
              </w:rPr>
              <w:t>Equity and other</w:t>
            </w: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7,806</w:t>
            </w:r>
          </w:p>
        </w:tc>
        <w:tc>
          <w:tcPr>
            <w:tcW w:w="260" w:type="dxa"/>
            <w:vAlign w:val="bottom"/>
          </w:tcPr>
          <w:p>
            <w:pPr>
              <w:spacing w:after="0"/>
              <w:rPr>
                <w:sz w:val="17"/>
                <w:szCs w:val="17"/>
                <w:color w:val="auto"/>
              </w:rPr>
            </w:pPr>
          </w:p>
        </w:tc>
        <w:tc>
          <w:tcPr>
            <w:tcW w:w="1540" w:type="dxa"/>
            <w:vAlign w:val="bottom"/>
            <w:vMerge w:val="restart"/>
          </w:tcPr>
          <w:p>
            <w:pPr>
              <w:spacing w:after="0"/>
              <w:rPr>
                <w:sz w:val="20"/>
                <w:szCs w:val="20"/>
                <w:color w:val="auto"/>
              </w:rPr>
            </w:pPr>
            <w:r>
              <w:rPr>
                <w:rFonts w:ascii="Arial" w:cs="Arial" w:eastAsia="Arial" w:hAnsi="Arial"/>
                <w:sz w:val="16"/>
                <w:szCs w:val="16"/>
                <w:color w:val="auto"/>
              </w:rPr>
              <w:t>Market Multiple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gridSpan w:val="5"/>
            <w:vMerge w:val="restart"/>
          </w:tcPr>
          <w:p>
            <w:pPr>
              <w:ind w:left="20"/>
              <w:spacing w:after="0"/>
              <w:rPr>
                <w:sz w:val="20"/>
                <w:szCs w:val="20"/>
                <w:color w:val="auto"/>
              </w:rPr>
            </w:pPr>
            <w:r>
              <w:rPr>
                <w:rFonts w:ascii="Arial" w:cs="Arial" w:eastAsia="Arial" w:hAnsi="Arial"/>
                <w:sz w:val="16"/>
                <w:szCs w:val="16"/>
                <w:color w:val="auto"/>
              </w:rPr>
              <w:t>Comparable multiple</w:t>
            </w:r>
          </w:p>
        </w:tc>
        <w:tc>
          <w:tcPr>
            <w:tcW w:w="2000" w:type="dxa"/>
            <w:vAlign w:val="bottom"/>
            <w:vMerge w:val="restart"/>
          </w:tcPr>
          <w:p>
            <w:pPr>
              <w:jc w:val="center"/>
              <w:ind w:right="103"/>
              <w:spacing w:after="0"/>
              <w:rPr>
                <w:sz w:val="20"/>
                <w:szCs w:val="20"/>
                <w:color w:val="auto"/>
              </w:rPr>
            </w:pPr>
            <w:r>
              <w:rPr>
                <w:rFonts w:ascii="Arial" w:cs="Arial" w:eastAsia="Arial" w:hAnsi="Arial"/>
                <w:sz w:val="16"/>
                <w:szCs w:val="16"/>
                <w:color w:val="auto"/>
                <w:w w:val="95"/>
              </w:rPr>
              <w:t>5.8x — 13.5x (13.3x)</w:t>
            </w:r>
          </w:p>
        </w:tc>
        <w:tc>
          <w:tcPr>
            <w:tcW w:w="140" w:type="dxa"/>
            <w:vAlign w:val="bottom"/>
          </w:tcPr>
          <w:p>
            <w:pPr>
              <w:spacing w:after="0"/>
              <w:rPr>
                <w:sz w:val="17"/>
                <w:szCs w:val="17"/>
                <w:color w:val="auto"/>
              </w:rPr>
            </w:pPr>
          </w:p>
        </w:tc>
        <w:tc>
          <w:tcPr>
            <w:tcW w:w="1540" w:type="dxa"/>
            <w:vAlign w:val="bottom"/>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808,801</w:t>
            </w:r>
          </w:p>
        </w:tc>
        <w:tc>
          <w:tcPr>
            <w:tcW w:w="26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top w:val="single" w:sz="8" w:color="auto"/>
              <w:bottom w:val="single" w:sz="8" w:color="CFF0FC"/>
            </w:tcBorders>
            <w:shd w:val="clear" w:color="auto" w:fill="CFF0FC"/>
          </w:tcPr>
          <w:p>
            <w:pPr>
              <w:spacing w:after="0"/>
              <w:rPr>
                <w:sz w:val="22"/>
                <w:szCs w:val="22"/>
                <w:color w:val="auto"/>
              </w:rPr>
            </w:pPr>
          </w:p>
        </w:tc>
        <w:tc>
          <w:tcPr>
            <w:tcW w:w="40" w:type="dxa"/>
            <w:vAlign w:val="bottom"/>
            <w:tcBorders>
              <w:top w:val="single" w:sz="8" w:color="auto"/>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top w:val="single" w:sz="8" w:color="auto"/>
              <w:bottom w:val="single" w:sz="8" w:color="CFF0FC"/>
            </w:tcBorders>
            <w:shd w:val="clear" w:color="auto" w:fill="CFF0FC"/>
          </w:tcPr>
          <w:p>
            <w:pPr>
              <w:spacing w:after="0"/>
              <w:rPr>
                <w:sz w:val="22"/>
                <w:szCs w:val="22"/>
                <w:color w:val="auto"/>
              </w:rPr>
            </w:pPr>
          </w:p>
        </w:tc>
        <w:tc>
          <w:tcPr>
            <w:tcW w:w="40" w:type="dxa"/>
            <w:vAlign w:val="bottom"/>
            <w:tcBorders>
              <w:top w:val="single" w:sz="8" w:color="auto"/>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CFF0FC"/>
            </w:tcBorders>
            <w:shd w:val="clear" w:color="auto" w:fill="CFF0FC"/>
          </w:tcPr>
          <w:p>
            <w:pPr>
              <w:spacing w:after="0"/>
              <w:rPr>
                <w:sz w:val="22"/>
                <w:szCs w:val="22"/>
                <w:color w:val="auto"/>
              </w:rPr>
            </w:pPr>
          </w:p>
        </w:tc>
        <w:tc>
          <w:tcPr>
            <w:tcW w:w="2000" w:type="dxa"/>
            <w:vAlign w:val="bottom"/>
            <w:tcBorders>
              <w:top w:val="single" w:sz="8" w:color="auto"/>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top w:val="single" w:sz="8" w:color="auto"/>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-1499870</wp:posOffset>
            </wp:positionV>
            <wp:extent cx="76835"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-1499870</wp:posOffset>
            </wp:positionV>
            <wp:extent cx="85725"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-1499870</wp:posOffset>
            </wp:positionV>
            <wp:extent cx="85725"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-1499870</wp:posOffset>
            </wp:positionV>
            <wp:extent cx="85725"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-25400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82" w:lineRule="exact"/>
        <w:rPr>
          <w:sz w:val="20"/>
          <w:szCs w:val="20"/>
          <w:color w:val="auto"/>
        </w:rPr>
      </w:pPr>
    </w:p>
    <w:p>
      <w:pPr>
        <w:ind w:right="20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16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fair value of the Company’s Credit Facilities, which are categorized as Level 3 within the fair value hierarchy, as of June 30, 2023 and December 31, 2022, approximates their carrying value as the outstanding balance is callable at carrying value.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16"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820" w:firstLine="255"/>
        <w:spacing w:after="0" w:line="277" w:lineRule="auto"/>
        <w:rPr>
          <w:sz w:val="20"/>
          <w:szCs w:val="20"/>
          <w:color w:val="auto"/>
        </w:rPr>
      </w:pPr>
      <w:r>
        <w:rPr>
          <w:rFonts w:ascii="Arial" w:cs="Arial" w:eastAsia="Arial" w:hAnsi="Arial"/>
          <w:sz w:val="18"/>
          <w:szCs w:val="18"/>
          <w:color w:val="auto"/>
        </w:rPr>
        <w:t>Under the fair value hierarchy, cash and cash equivalents are classified as Level 1 while the Company’s other assets and liabilities, other than investments at fair value and Credit Facilities, are classified as Level 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Facility</w:t>
      </w:r>
    </w:p>
    <w:p>
      <w:pPr>
        <w:spacing w:after="0" w:line="117" w:lineRule="exact"/>
        <w:rPr>
          <w:sz w:val="20"/>
          <w:szCs w:val="20"/>
          <w:color w:val="auto"/>
        </w:rPr>
      </w:pPr>
    </w:p>
    <w:p>
      <w:pPr>
        <w:ind w:right="120" w:firstLine="255"/>
        <w:spacing w:after="0" w:line="342" w:lineRule="auto"/>
        <w:rPr>
          <w:sz w:val="20"/>
          <w:szCs w:val="20"/>
          <w:color w:val="auto"/>
        </w:rPr>
      </w:pPr>
      <w:r>
        <w:rPr>
          <w:rFonts w:ascii="Arial" w:cs="Arial" w:eastAsia="Arial" w:hAnsi="Arial"/>
          <w:sz w:val="16"/>
          <w:szCs w:val="16"/>
          <w:color w:val="auto"/>
        </w:rPr>
        <w:t>On September 1, 2022 (the “Subscription Facility Closing Date”), the Company entered into a revolving credit agreement (the “Subscription Facility”) with Wells Fargo Bank, National Association, as administrative agent (the “Administrative Agent”), letter of credit issuer, lead arranger and as a lender.</w:t>
      </w:r>
    </w:p>
    <w:p>
      <w:pPr>
        <w:spacing w:after="0" w:line="124"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As of September 30, 2022, aggregate commitments under the facility were $400 million. Pursuant to an amendment to the Subscription Facility dated as of December 21, 2022 (the “Subscription Facility First Amendment”), the aggregate commitments under the Subscription Facility were increased to $700 million. Pursuant to lender joinder agreements dated January 18, 2023 and January 27, 2023, the aggregate commitments under the Subscription Facility were increased to $800 million and $850 million, respectively. Pursuant to lender joinder agreements dated March 28, 2023, the aggregate commitments under the Subscription Facility were increased to $1.3 billion. Pursuant to a lender joinder agreement dated April 27, 2023, the aggregate commitments under the Subscription Facility were increased to $1.35 billion (the “Maximum Commitment”).</w:t>
      </w:r>
    </w:p>
    <w:p>
      <w:pPr>
        <w:spacing w:after="0" w:line="178" w:lineRule="exact"/>
        <w:rPr>
          <w:sz w:val="20"/>
          <w:szCs w:val="20"/>
          <w:color w:val="auto"/>
        </w:rPr>
      </w:pPr>
    </w:p>
    <w:p>
      <w:pPr>
        <w:ind w:right="20" w:firstLine="255"/>
        <w:spacing w:after="0" w:line="291" w:lineRule="auto"/>
        <w:rPr>
          <w:sz w:val="20"/>
          <w:szCs w:val="20"/>
          <w:color w:val="auto"/>
        </w:rPr>
      </w:pPr>
      <w:r>
        <w:rPr>
          <w:rFonts w:ascii="Arial" w:cs="Arial" w:eastAsia="Arial" w:hAnsi="Arial"/>
          <w:sz w:val="16"/>
          <w:szCs w:val="16"/>
          <w:color w:val="auto"/>
        </w:rPr>
        <w:t>The Subscription Facility will mature upon the earliest of: (i) August 30, 2024 (the “Subscription Facility Stated Maturity”); (ii) the date upon which the Administrative Agent declares the obligations under the Subscription Facility due and payable after the occurrence of an event of default; (iii) forty-five</w:t>
      </w:r>
    </w:p>
    <w:p>
      <w:pPr>
        <w:ind w:right="400" w:firstLine="8"/>
        <w:spacing w:after="0" w:line="302" w:lineRule="auto"/>
        <w:tabs>
          <w:tab w:leader="none" w:pos="3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spacing w:after="0" w:line="155"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65"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2023, the Company had outstanding debt denominated in British pounds (GBP) of 10.3 million and Euros (EUR) of 13.4 million on its Subscription Facility, included in the outstanding principal amount in the table above.</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Subscription Facility also provides for the issuance of letters of credit up to an aggregate amount of 10% of the Maximum Commitment. As of June 30, 2023, the Company had no outstanding letters of credit issued through the Subscription Facility. The amount available for borrowing under the Subscription Facility is reduced by any letters of credit issued through the Subscription Facility.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the Company was in compliance with the terms of the Subscription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84"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The Revolving Credit Facility will mature on January 19, 2028 (the “Revolving Credit Facility Maturity Date”). The Company may borrow amounts in U.S. dollars or certain other permitted currencies.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ind w:right="20" w:firstLine="255"/>
        <w:spacing w:after="0" w:line="275" w:lineRule="auto"/>
        <w:rPr>
          <w:sz w:val="20"/>
          <w:szCs w:val="20"/>
          <w:color w:val="auto"/>
        </w:rPr>
      </w:pPr>
      <w:r>
        <w:rPr>
          <w:rFonts w:ascii="Arial" w:cs="Arial" w:eastAsia="Arial" w:hAnsi="Arial"/>
          <w:sz w:val="17"/>
          <w:szCs w:val="17"/>
          <w:color w:val="auto"/>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76" w:lineRule="exact"/>
        <w:rPr>
          <w:sz w:val="20"/>
          <w:szCs w:val="20"/>
          <w:color w:val="auto"/>
        </w:rPr>
      </w:pPr>
    </w:p>
    <w:p>
      <w:pPr>
        <w:ind w:right="500" w:firstLine="255"/>
        <w:spacing w:after="0" w:line="342" w:lineRule="auto"/>
        <w:rPr>
          <w:sz w:val="20"/>
          <w:szCs w:val="20"/>
          <w:color w:val="auto"/>
        </w:rPr>
      </w:pPr>
      <w:r>
        <w:rPr>
          <w:rFonts w:ascii="Arial" w:cs="Arial" w:eastAsia="Arial" w:hAnsi="Arial"/>
          <w:sz w:val="16"/>
          <w:szCs w:val="16"/>
          <w:color w:val="auto"/>
        </w:rPr>
        <w:t>The Company may borrow amounts in U.S. dollars or certain other permitted currencies. As of June 30, 2023, the Company had outstanding debt denominated in Euro of (EUR) 4.1 million on its Revolving Credit Facility, included in the outstanding principal amount in the table above.</w:t>
      </w:r>
    </w:p>
    <w:p>
      <w:pPr>
        <w:spacing w:after="0" w:line="124"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$175 million. As of June 30, 2023,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jc w:val="both"/>
        <w:ind w:right="38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June 30, 2023 and December 31, 2022, the Company's asset coverage was 180.9% and 201.6%,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2023 and December 31, 2022:</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Committed</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7"/>
              <w:spacing w:after="0" w:line="189" w:lineRule="exact"/>
              <w:rPr>
                <w:sz w:val="20"/>
                <w:szCs w:val="20"/>
                <w:color w:val="auto"/>
              </w:rPr>
            </w:pPr>
            <w:r>
              <w:rPr>
                <w:rFonts w:ascii="Arial" w:cs="Arial" w:eastAsia="Arial" w:hAnsi="Arial"/>
                <w:sz w:val="14"/>
                <w:szCs w:val="14"/>
                <w:b w:val="1"/>
                <w:bCs w:val="1"/>
                <w:color w:val="auto"/>
                <w:w w:val="93"/>
              </w:rPr>
              <w:t xml:space="preserve">Available </w:t>
            </w:r>
            <w:r>
              <w:rPr>
                <w:rFonts w:ascii="Arial" w:cs="Arial" w:eastAsia="Arial" w:hAnsi="Arial"/>
                <w:sz w:val="19"/>
                <w:szCs w:val="19"/>
                <w:b w:val="1"/>
                <w:bCs w:val="1"/>
                <w:color w:val="auto"/>
                <w:w w:val="93"/>
                <w:vertAlign w:val="superscript"/>
              </w:rPr>
              <w:t>(1)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7"/>
              <w:spacing w:after="0" w:line="189" w:lineRule="exact"/>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9"/>
                <w:szCs w:val="19"/>
                <w:b w:val="1"/>
                <w:bCs w:val="1"/>
                <w:color w:val="auto"/>
                <w:w w:val="98"/>
                <w:vertAlign w:val="superscript"/>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Subscription Facility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635,014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714,986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485,507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214,493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2,050,000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1,120,521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929,479</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1,110,299</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0" w:lineRule="exact"/>
        <w:rPr>
          <w:sz w:val="20"/>
          <w:szCs w:val="20"/>
          <w:color w:val="auto"/>
        </w:rPr>
      </w:pPr>
    </w:p>
    <w:p>
      <w:pPr>
        <w:ind w:left="520" w:right="20" w:hanging="512"/>
        <w:spacing w:after="0" w:line="25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Subscription Facility, Revolving Credit Facility and asset coverage requirements.</w:t>
      </w:r>
    </w:p>
    <w:p>
      <w:pPr>
        <w:spacing w:after="0" w:line="1" w:lineRule="exact"/>
        <w:rPr>
          <w:rFonts w:ascii="Arial" w:cs="Arial" w:eastAsia="Arial" w:hAnsi="Arial"/>
          <w:sz w:val="18"/>
          <w:szCs w:val="18"/>
          <w:color w:val="auto"/>
        </w:rPr>
      </w:pPr>
    </w:p>
    <w:p>
      <w:pPr>
        <w:ind w:left="520" w:right="280" w:hanging="512"/>
        <w:spacing w:after="0" w:line="260"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carrying values of the Subscription Facility and Revolving Credit Facility are presented net deferred financing costs of $5.3 million and $4.9 million, respectively.</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Committed</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9"/>
              <w:spacing w:after="0" w:line="189" w:lineRule="exact"/>
              <w:rPr>
                <w:sz w:val="20"/>
                <w:szCs w:val="20"/>
                <w:color w:val="auto"/>
              </w:rPr>
            </w:pPr>
            <w:r>
              <w:rPr>
                <w:rFonts w:ascii="Arial" w:cs="Arial" w:eastAsia="Arial" w:hAnsi="Arial"/>
                <w:sz w:val="14"/>
                <w:szCs w:val="14"/>
                <w:b w:val="1"/>
                <w:bCs w:val="1"/>
                <w:color w:val="auto"/>
                <w:w w:val="93"/>
              </w:rPr>
              <w:t xml:space="preserve">Available </w:t>
            </w:r>
            <w:r>
              <w:rPr>
                <w:rFonts w:ascii="Arial" w:cs="Arial" w:eastAsia="Arial" w:hAnsi="Arial"/>
                <w:sz w:val="19"/>
                <w:szCs w:val="19"/>
                <w:b w:val="1"/>
                <w:bCs w:val="1"/>
                <w:color w:val="auto"/>
                <w:w w:val="93"/>
                <w:vertAlign w:val="superscript"/>
              </w:rPr>
              <w:t>(1)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9"/>
              <w:spacing w:after="0" w:line="189"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9"/>
                <w:szCs w:val="19"/>
                <w:b w:val="1"/>
                <w:bCs w:val="1"/>
                <w:color w:val="auto"/>
                <w:vertAlign w:val="superscript"/>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Subscription Facility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537,991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162,009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Arial" w:cs="Arial" w:eastAsia="Arial" w:hAnsi="Arial"/>
                <w:sz w:val="18"/>
                <w:szCs w:val="18"/>
                <w:b w:val="1"/>
                <w:bCs w:val="1"/>
                <w:color w:val="auto"/>
              </w:rPr>
              <w:t>Total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537,991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162,009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534,080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-187960</wp:posOffset>
            </wp:positionV>
            <wp:extent cx="7747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857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-187960</wp:posOffset>
            </wp:positionV>
            <wp:extent cx="857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Subscription Facility and asset coverage requirements.</w:t>
      </w:r>
    </w:p>
    <w:p>
      <w:pPr>
        <w:spacing w:after="0" w:line="46" w:lineRule="exact"/>
        <w:rPr>
          <w:rFonts w:ascii="Arial" w:cs="Arial" w:eastAsia="Arial" w:hAnsi="Arial"/>
          <w:sz w:val="16"/>
          <w:szCs w:val="16"/>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carrying value of the Subscription Facility is presented net deferred financing costs of $3.9 million.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June 30, 2023, the components of interest expense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16"/>
                <w:szCs w:val="16"/>
                <w:color w:val="auto"/>
              </w:rPr>
            </w:pPr>
          </w:p>
        </w:tc>
      </w:tr>
      <w:tr>
        <w:trPr>
          <w:trHeight w:val="169"/>
        </w:trPr>
        <w:tc>
          <w:tcPr>
            <w:tcW w:w="8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7"/>
        </w:trPr>
        <w:tc>
          <w:tcPr>
            <w:tcW w:w="80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260" w:type="dxa"/>
            <w:vAlign w:val="bottom"/>
            <w:shd w:val="clear" w:color="auto" w:fill="CFF0FC"/>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Commitment fees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80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Pr>
          <w:p>
            <w:pPr>
              <w:spacing w:after="0"/>
              <w:rPr>
                <w:sz w:val="21"/>
                <w:szCs w:val="21"/>
                <w:color w:val="auto"/>
              </w:rPr>
            </w:pPr>
          </w:p>
        </w:tc>
      </w:tr>
      <w:tr>
        <w:trPr>
          <w:trHeight w:val="239"/>
        </w:trPr>
        <w:tc>
          <w:tcPr>
            <w:tcW w:w="80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Arial" w:cs="Arial" w:eastAsia="Arial" w:hAnsi="Arial"/>
                <w:sz w:val="18"/>
                <w:szCs w:val="18"/>
                <w:b w:val="1"/>
                <w:bCs w:val="1"/>
                <w:color w:val="auto"/>
              </w:rPr>
              <w:t>Total Interest Expense</w:t>
            </w:r>
          </w:p>
        </w:tc>
        <w:tc>
          <w:tcPr>
            <w:tcW w:w="2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16,393</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25,245</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
        </w:trPr>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8"/>
        </w:trPr>
        <w:tc>
          <w:tcPr>
            <w:tcW w:w="80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2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742.1</w:t>
            </w: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w:t>
            </w:r>
          </w:p>
        </w:tc>
        <w:tc>
          <w:tcPr>
            <w:tcW w:w="26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7.2 %</w:t>
            </w:r>
          </w:p>
        </w:tc>
        <w:tc>
          <w:tcPr>
            <w:tcW w:w="780" w:type="dxa"/>
            <w:vAlign w:val="bottom"/>
          </w:tcPr>
          <w:p>
            <w:pPr>
              <w:spacing w:after="0"/>
              <w:rPr>
                <w:sz w:val="20"/>
                <w:szCs w:val="20"/>
                <w:color w:val="auto"/>
              </w:rPr>
            </w:pPr>
          </w:p>
        </w:tc>
      </w:tr>
      <w:tr>
        <w:trPr>
          <w:trHeight w:val="661"/>
        </w:trPr>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60" w:type="dxa"/>
            <w:vAlign w:val="bottom"/>
          </w:tcPr>
          <w:p>
            <w:pPr>
              <w:jc w:val="right"/>
              <w:ind w:right="109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-993775</wp:posOffset>
            </wp:positionV>
            <wp:extent cx="7747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-993775</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2023 and December 31, 2022, the Company had the following commitments to fund investments in current portfolio companies:</w:t>
      </w:r>
    </w:p>
    <w:p>
      <w:pPr>
        <w:spacing w:after="0" w:line="323"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tcPr>
          <w:p>
            <w:pPr>
              <w:spacing w:after="0"/>
              <w:rPr>
                <w:sz w:val="16"/>
                <w:szCs w:val="16"/>
                <w:color w:val="auto"/>
              </w:rPr>
            </w:pPr>
          </w:p>
        </w:tc>
      </w:tr>
      <w:tr>
        <w:trPr>
          <w:trHeight w:val="23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Alaska Bidco Oy - Delayed Draw &amp; Revolver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Arrow Buyer, Inc. - Delayed Draw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Avalara, Inc. -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12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Banyan Software Holdings, LLC - Delayed Draw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BTRS Holdings, Inc. - Delayed Draw &amp;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25,915</w:t>
            </w:r>
          </w:p>
        </w:tc>
        <w:tc>
          <w:tcPr>
            <w:tcW w:w="12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Coupa Holdings, LLC - Delayed Draw &amp;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20,427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Disco Parent, Inc. -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Edge Bidco B.V - Delayed Draw &amp;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Erling Lux Bidco SARL - Delayed Draw &amp;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w:t>
            </w:r>
          </w:p>
        </w:tc>
        <w:tc>
          <w:tcPr>
            <w:tcW w:w="12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Galileo Parent, Inc. -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Hirevue, Inc. -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Hornetsecurity Holding GmbH - Delayed Draw &amp;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Laramie Energy, LLC - Delayed Draw</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OutSystems Luxco SARL - Delayed Draw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0"/>
                <w:szCs w:val="20"/>
                <w:color w:val="auto"/>
              </w:rPr>
            </w:pPr>
          </w:p>
        </w:tc>
      </w:tr>
      <w:tr>
        <w:trPr>
          <w:trHeight w:val="249"/>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Ping Identity Holding Corp. - Revolver</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5560" w:type="dxa"/>
            <w:vAlign w:val="bottom"/>
          </w:tcPr>
          <w:p>
            <w:pPr>
              <w:ind w:left="180"/>
              <w:spacing w:after="0" w:line="236"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206,042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62,983</w:t>
            </w:r>
          </w:p>
        </w:tc>
        <w:tc>
          <w:tcPr>
            <w:tcW w:w="12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-187960</wp:posOffset>
            </wp:positionV>
            <wp:extent cx="7683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-187960</wp:posOffset>
            </wp:positionV>
            <wp:extent cx="7747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36" w:lineRule="exact"/>
        <w:rPr>
          <w:sz w:val="20"/>
          <w:szCs w:val="20"/>
          <w:color w:val="auto"/>
        </w:rPr>
      </w:pPr>
    </w:p>
    <w:p>
      <w:pPr>
        <w:ind w:left="520" w:right="32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20" w:right="54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As of June 30, 2023,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160" w:firstLine="255"/>
        <w:spacing w:after="0" w:line="342" w:lineRule="auto"/>
        <w:rPr>
          <w:sz w:val="20"/>
          <w:szCs w:val="20"/>
          <w:color w:val="auto"/>
        </w:rPr>
      </w:pPr>
      <w:r>
        <w:rPr>
          <w:rFonts w:ascii="Arial" w:cs="Arial" w:eastAsia="Arial" w:hAnsi="Arial"/>
          <w:sz w:val="16"/>
          <w:szCs w:val="16"/>
          <w:color w:val="auto"/>
        </w:rPr>
        <w:t>From time to time, the Company may become a party to certain legal proceedings incidental to the normal course of its business. As of June 30, 2023, management is not aware of any material pending or threatened litigation that would require accounting recognition or financial statement disclosure.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8. Net Assets</w:t>
      </w:r>
    </w:p>
    <w:p>
      <w:pPr>
        <w:spacing w:after="0" w:line="121"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200" w:lineRule="exact"/>
        <w:rPr>
          <w:sz w:val="20"/>
          <w:szCs w:val="20"/>
          <w:color w:val="auto"/>
        </w:rPr>
      </w:pPr>
    </w:p>
    <w:p>
      <w:pPr>
        <w:spacing w:after="0" w:line="20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period ended June 30, 2023, the Company entered into subscription agreements (the “Subscription Agreements”) with investors providing for the private placement of the Company’s Shares. Under the terms of the Subscription Agreements, investors are required to fund drawdowns to purchase the Company’s Shares up to the amount of their respective Capital Commitment on an as-needed basis each time the Company delivers a drawdown notice to its investors. As of June 30, 2023, the Company had received Capital Commitments totaling $4.4 billion ($3.6 billion remaining undrawn).</w:t>
      </w:r>
    </w:p>
    <w:p>
      <w:pPr>
        <w:spacing w:after="0" w:line="15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 Pursuant to the Company’s dividend reinvestment plan, on May 10, 2023, 371,108 shares were issued to shareholders who have not opted out of the Company’s dividend reinvestment plan. All shares issued to shareholders were newly issued shares.</w:t>
      </w:r>
    </w:p>
    <w:p>
      <w:pPr>
        <w:spacing w:after="0" w:line="178"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following table summarizes the total Common Shares issued and proceeds received related to the Company’s capital drawdowns delivered pursuant to the Subscription Agreements for the six months ended June 30, 2023.</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Common Share Issuance Date</w:t>
            </w:r>
          </w:p>
        </w:tc>
        <w:tc>
          <w:tcPr>
            <w:tcW w:w="180" w:type="dxa"/>
            <w:vAlign w:val="bottom"/>
          </w:tcPr>
          <w:p>
            <w:pPr>
              <w:spacing w:after="0"/>
              <w:rPr>
                <w:sz w:val="14"/>
                <w:szCs w:val="14"/>
                <w:color w:val="auto"/>
              </w:rPr>
            </w:pPr>
          </w:p>
        </w:tc>
        <w:tc>
          <w:tcPr>
            <w:tcW w:w="1580" w:type="dxa"/>
            <w:vAlign w:val="bottom"/>
          </w:tcPr>
          <w:p>
            <w:pPr>
              <w:jc w:val="right"/>
              <w:ind w:right="99"/>
              <w:spacing w:after="0"/>
              <w:rPr>
                <w:sz w:val="20"/>
                <w:szCs w:val="20"/>
                <w:color w:val="auto"/>
              </w:rPr>
            </w:pPr>
            <w:r>
              <w:rPr>
                <w:rFonts w:ascii="Arial" w:cs="Arial" w:eastAsia="Arial" w:hAnsi="Arial"/>
                <w:sz w:val="14"/>
                <w:szCs w:val="14"/>
                <w:b w:val="1"/>
                <w:bCs w:val="1"/>
                <w:color w:val="auto"/>
              </w:rPr>
              <w:t>Number of Common</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1"/>
              </w:rPr>
              <w:t>Proceeds Received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Shares Issued</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21, 2023</w:t>
            </w: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9,643,813</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June 28, 2023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2,798,480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12,442,293</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common share—basic and diluted</w:t>
            </w: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32,831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Weighted average shares of Common Shares outstanding—basic</w:t>
            </w:r>
          </w:p>
        </w:tc>
        <w:tc>
          <w:tcPr>
            <w:tcW w:w="220" w:type="dxa"/>
            <w:vAlign w:val="bottom"/>
            <w:shd w:val="clear" w:color="auto" w:fill="CFF0FC"/>
          </w:tcPr>
          <w:p>
            <w:pPr>
              <w:spacing w:after="0"/>
              <w:rPr>
                <w:sz w:val="19"/>
                <w:szCs w:val="19"/>
                <w:color w:val="auto"/>
              </w:rPr>
            </w:pP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31,830,160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27,469,663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Earnings per common share—basic and 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7747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326"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dividends declared during the six months ended June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8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36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ind w:right="1536"/>
              <w:spacing w:after="0"/>
              <w:rPr>
                <w:sz w:val="20"/>
                <w:szCs w:val="20"/>
                <w:color w:val="auto"/>
              </w:rPr>
            </w:pPr>
            <w:r>
              <w:rPr>
                <w:rFonts w:ascii="Arial" w:cs="Arial" w:eastAsia="Arial" w:hAnsi="Arial"/>
                <w:sz w:val="14"/>
                <w:szCs w:val="14"/>
                <w:b w:val="1"/>
                <w:bCs w:val="1"/>
                <w:color w:val="auto"/>
                <w:w w:val="94"/>
              </w:rPr>
              <w:t>June 30, 2023</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Date Declared</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4"/>
                <w:szCs w:val="14"/>
                <w:color w:val="auto"/>
              </w:rPr>
            </w:pPr>
          </w:p>
        </w:tc>
        <w:tc>
          <w:tcPr>
            <w:tcW w:w="21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2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Payment Date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Dividend per Share</w:t>
            </w:r>
          </w:p>
        </w:tc>
        <w:tc>
          <w:tcPr>
            <w:tcW w:w="140" w:type="dxa"/>
            <w:vAlign w:val="bottom"/>
          </w:tcPr>
          <w:p>
            <w:pPr>
              <w:spacing w:after="0"/>
              <w:rPr>
                <w:sz w:val="14"/>
                <w:szCs w:val="14"/>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30, 2023</w:t>
            </w: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31, 2023</w:t>
            </w:r>
          </w:p>
        </w:tc>
        <w:tc>
          <w:tcPr>
            <w:tcW w:w="160" w:type="dxa"/>
            <w:vAlign w:val="bottom"/>
            <w:shd w:val="clear" w:color="auto" w:fill="CFF0FC"/>
          </w:tcPr>
          <w:p>
            <w:pPr>
              <w:spacing w:after="0"/>
              <w:rPr>
                <w:sz w:val="20"/>
                <w:szCs w:val="20"/>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9, 2023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FF0FC"/>
          </w:tcPr>
          <w:p>
            <w:pPr>
              <w:spacing w:after="0"/>
              <w:rPr>
                <w:sz w:val="20"/>
                <w:szCs w:val="20"/>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June 30, 2023</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June 30, 2023</w:t>
            </w:r>
          </w:p>
        </w:tc>
        <w:tc>
          <w:tcPr>
            <w:tcW w:w="1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August 15, 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20"/>
                <w:szCs w:val="20"/>
                <w:color w:val="auto"/>
              </w:rPr>
            </w:pPr>
          </w:p>
        </w:tc>
      </w:tr>
      <w:tr>
        <w:trPr>
          <w:trHeight w:val="279"/>
        </w:trPr>
        <w:tc>
          <w:tcPr>
            <w:tcW w:w="3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Dividends Declared</w:t>
            </w:r>
          </w:p>
        </w:tc>
        <w:tc>
          <w:tcPr>
            <w:tcW w:w="9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dividends declared during the six months ended June 30, 2023 were derived from net investment income, determined on a tax basis.</w:t>
      </w:r>
    </w:p>
    <w:p>
      <w:pPr>
        <w:spacing w:after="0" w:line="225"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right="900"/>
        <w:spacing w:after="0" w:line="277" w:lineRule="auto"/>
        <w:rPr>
          <w:sz w:val="20"/>
          <w:szCs w:val="20"/>
          <w:color w:val="auto"/>
        </w:rPr>
      </w:pPr>
      <w:r>
        <w:rPr>
          <w:rFonts w:ascii="Arial" w:cs="Arial" w:eastAsia="Arial" w:hAnsi="Arial"/>
          <w:sz w:val="18"/>
          <w:szCs w:val="18"/>
          <w:color w:val="auto"/>
        </w:rPr>
        <w:t>distributions. Shareholders who receive distributions in the form of Common Shares will be subject to the same U.S. federal, state and local tax consequences as if they received cash distributions.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121"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Shares outstanding for the six months ended June 30, 2023.</w:t>
      </w:r>
    </w:p>
    <w:p>
      <w:pPr>
        <w:spacing w:after="0" w:line="22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For the six months ended</w:t>
            </w:r>
          </w:p>
        </w:tc>
      </w:tr>
      <w:tr>
        <w:trPr>
          <w:trHeight w:val="188"/>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June 30, 2023</w:t>
            </w:r>
          </w:p>
        </w:tc>
      </w:tr>
      <w:tr>
        <w:trPr>
          <w:trHeight w:val="237"/>
        </w:trPr>
        <w:tc>
          <w:tcPr>
            <w:tcW w:w="598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24"/>
                <w:szCs w:val="24"/>
                <w:b w:val="1"/>
                <w:bCs w:val="1"/>
                <w:color w:val="auto"/>
                <w:vertAlign w:val="superscript"/>
              </w:rPr>
              <w:t>(5)</w:t>
            </w:r>
          </w:p>
        </w:tc>
        <w:tc>
          <w:tcPr>
            <w:tcW w:w="36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asset value, beginning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20"/>
                <w:szCs w:val="20"/>
                <w:color w:val="auto"/>
              </w:rPr>
            </w:pPr>
          </w:p>
        </w:tc>
      </w:tr>
      <w:tr>
        <w:trPr>
          <w:trHeight w:val="249"/>
        </w:trPr>
        <w:tc>
          <w:tcPr>
            <w:tcW w:w="59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43"/>
        </w:trPr>
        <w:tc>
          <w:tcPr>
            <w:tcW w:w="59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(1)</w:t>
            </w:r>
          </w:p>
        </w:tc>
        <w:tc>
          <w:tcPr>
            <w:tcW w:w="3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1"/>
                <w:szCs w:val="21"/>
                <w:color w:val="auto"/>
              </w:rPr>
            </w:pPr>
          </w:p>
        </w:tc>
      </w:tr>
      <w:tr>
        <w:trPr>
          <w:trHeight w:val="193"/>
        </w:trPr>
        <w:tc>
          <w:tcPr>
            <w:tcW w:w="5980" w:type="dxa"/>
            <w:vAlign w:val="bottom"/>
            <w:shd w:val="clear" w:color="auto" w:fill="CFF0FC"/>
          </w:tcPr>
          <w:p>
            <w:pPr>
              <w:ind w:left="20"/>
              <w:spacing w:after="0" w:line="193" w:lineRule="exact"/>
              <w:rPr>
                <w:sz w:val="20"/>
                <w:szCs w:val="20"/>
                <w:color w:val="auto"/>
              </w:rPr>
            </w:pPr>
            <w:r>
              <w:rPr>
                <w:rFonts w:ascii="Arial" w:cs="Arial" w:eastAsia="Arial" w:hAnsi="Arial"/>
                <w:sz w:val="18"/>
                <w:szCs w:val="18"/>
                <w:color w:val="auto"/>
              </w:rPr>
              <w:t>Net realized and unrealized</w:t>
            </w:r>
          </w:p>
        </w:tc>
        <w:tc>
          <w:tcPr>
            <w:tcW w:w="36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52"/>
        </w:trPr>
        <w:tc>
          <w:tcPr>
            <w:tcW w:w="5980" w:type="dxa"/>
            <w:vAlign w:val="bottom"/>
            <w:tcBorders>
              <w:bottom w:val="single" w:sz="8" w:color="CFF0FC"/>
            </w:tcBorders>
            <w:shd w:val="clear" w:color="auto" w:fill="CFF0FC"/>
          </w:tcPr>
          <w:p>
            <w:pPr>
              <w:ind w:left="160"/>
              <w:spacing w:after="0" w:line="252" w:lineRule="exact"/>
              <w:rPr>
                <w:sz w:val="20"/>
                <w:szCs w:val="20"/>
                <w:color w:val="auto"/>
              </w:rPr>
            </w:pPr>
            <w:r>
              <w:rPr>
                <w:rFonts w:ascii="Arial" w:cs="Arial" w:eastAsia="Arial" w:hAnsi="Arial"/>
                <w:sz w:val="18"/>
                <w:szCs w:val="18"/>
                <w:color w:val="auto"/>
              </w:rPr>
              <w:t xml:space="preserve">gain (loss) </w:t>
            </w:r>
            <w:r>
              <w:rPr>
                <w:rFonts w:ascii="Arial" w:cs="Arial" w:eastAsia="Arial" w:hAnsi="Arial"/>
                <w:sz w:val="24"/>
                <w:szCs w:val="24"/>
                <w:color w:val="auto"/>
                <w:vertAlign w:val="superscript"/>
              </w:rPr>
              <w:t>(1)</w:t>
            </w:r>
          </w:p>
        </w:tc>
        <w:tc>
          <w:tcPr>
            <w:tcW w:w="360" w:type="dxa"/>
            <w:vAlign w:val="bottom"/>
            <w:tcBorders>
              <w:bottom w:val="single" w:sz="8" w:color="auto"/>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0"/>
        </w:trPr>
        <w:tc>
          <w:tcPr>
            <w:tcW w:w="5980" w:type="dxa"/>
            <w:vAlign w:val="bottom"/>
          </w:tcPr>
          <w:p>
            <w:pPr>
              <w:ind w:left="200"/>
              <w:spacing w:after="0"/>
              <w:rPr>
                <w:sz w:val="20"/>
                <w:szCs w:val="20"/>
                <w:color w:val="auto"/>
              </w:rPr>
            </w:pPr>
            <w:r>
              <w:rPr>
                <w:rFonts w:ascii="Arial" w:cs="Arial" w:eastAsia="Arial" w:hAnsi="Arial"/>
                <w:sz w:val="18"/>
                <w:szCs w:val="18"/>
                <w:color w:val="auto"/>
              </w:rPr>
              <w:t>Total from operations</w:t>
            </w:r>
          </w:p>
        </w:tc>
        <w:tc>
          <w:tcPr>
            <w:tcW w:w="3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0"/>
                <w:szCs w:val="20"/>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Common Share Issuance</w:t>
            </w:r>
          </w:p>
        </w:tc>
        <w:tc>
          <w:tcPr>
            <w:tcW w:w="360" w:type="dxa"/>
            <w:vAlign w:val="bottom"/>
            <w:shd w:val="clear" w:color="auto" w:fill="CFF0FC"/>
          </w:tcPr>
          <w:p>
            <w:pPr>
              <w:spacing w:after="0"/>
              <w:rPr>
                <w:sz w:val="21"/>
                <w:szCs w:val="21"/>
                <w:color w:val="auto"/>
              </w:rPr>
            </w:pPr>
          </w:p>
        </w:tc>
        <w:tc>
          <w:tcPr>
            <w:tcW w:w="2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(0.04 )</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360" w:type="dxa"/>
            <w:vAlign w:val="bottom"/>
          </w:tcPr>
          <w:p>
            <w:pPr>
              <w:spacing w:after="0"/>
              <w:rPr>
                <w:sz w:val="20"/>
                <w:szCs w:val="20"/>
                <w:color w:val="auto"/>
              </w:rPr>
            </w:pPr>
          </w:p>
        </w:tc>
        <w:tc>
          <w:tcPr>
            <w:tcW w:w="2660" w:type="dxa"/>
            <w:vAlign w:val="bottom"/>
            <w:gridSpan w:val="2"/>
          </w:tcPr>
          <w:p>
            <w:pPr>
              <w:jc w:val="right"/>
              <w:ind w:right="200"/>
              <w:spacing w:after="0"/>
              <w:rPr>
                <w:sz w:val="20"/>
                <w:szCs w:val="20"/>
                <w:color w:val="auto"/>
              </w:rPr>
            </w:pPr>
            <w:r>
              <w:rPr>
                <w:rFonts w:ascii="Arial" w:cs="Arial" w:eastAsia="Arial" w:hAnsi="Arial"/>
                <w:sz w:val="18"/>
                <w:szCs w:val="18"/>
                <w:color w:val="auto"/>
              </w:rPr>
              <w:t>(1.07 )</w:t>
            </w:r>
          </w:p>
        </w:tc>
      </w:tr>
      <w:tr>
        <w:trPr>
          <w:trHeight w:val="236"/>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increase (decrease) in net assets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Net Asset Value,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280" w:type="dxa"/>
            <w:vAlign w:val="bottom"/>
          </w:tcPr>
          <w:p>
            <w:pPr>
              <w:spacing w:after="0"/>
              <w:rPr>
                <w:sz w:val="20"/>
                <w:szCs w:val="20"/>
                <w:color w:val="auto"/>
              </w:rPr>
            </w:pPr>
          </w:p>
        </w:tc>
      </w:tr>
      <w:tr>
        <w:trPr>
          <w:trHeight w:val="191"/>
        </w:trPr>
        <w:tc>
          <w:tcPr>
            <w:tcW w:w="598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Total return based on net asset</w:t>
            </w:r>
          </w:p>
        </w:tc>
        <w:tc>
          <w:tcPr>
            <w:tcW w:w="36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66"/>
        </w:trPr>
        <w:tc>
          <w:tcPr>
            <w:tcW w:w="5980" w:type="dxa"/>
            <w:vAlign w:val="bottom"/>
            <w:shd w:val="clear" w:color="auto" w:fill="CFF0FC"/>
          </w:tcPr>
          <w:p>
            <w:pPr>
              <w:ind w:left="160"/>
              <w:spacing w:after="0" w:line="266" w:lineRule="exact"/>
              <w:rPr>
                <w:sz w:val="20"/>
                <w:szCs w:val="20"/>
                <w:color w:val="auto"/>
              </w:rPr>
            </w:pPr>
            <w:r>
              <w:rPr>
                <w:rFonts w:ascii="Arial" w:cs="Arial" w:eastAsia="Arial" w:hAnsi="Arial"/>
                <w:sz w:val="18"/>
                <w:szCs w:val="18"/>
                <w:color w:val="auto"/>
              </w:rPr>
              <w:t xml:space="preserve">value </w:t>
            </w:r>
            <w:r>
              <w:rPr>
                <w:rFonts w:ascii="Arial" w:cs="Arial" w:eastAsia="Arial" w:hAnsi="Arial"/>
                <w:sz w:val="24"/>
                <w:szCs w:val="24"/>
                <w:color w:val="auto"/>
                <w:vertAlign w:val="superscript"/>
              </w:rPr>
              <w:t>(2)</w:t>
            </w:r>
          </w:p>
        </w:tc>
        <w:tc>
          <w:tcPr>
            <w:tcW w:w="360" w:type="dxa"/>
            <w:vAlign w:val="bottom"/>
            <w:shd w:val="clear" w:color="auto" w:fill="CFF0FC"/>
          </w:tcPr>
          <w:p>
            <w:pPr>
              <w:spacing w:after="0"/>
              <w:rPr>
                <w:sz w:val="23"/>
                <w:szCs w:val="23"/>
                <w:color w:val="auto"/>
              </w:rPr>
            </w:pPr>
          </w:p>
        </w:tc>
        <w:tc>
          <w:tcPr>
            <w:tcW w:w="2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8.88 %</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Common shares outstanding, end of period</w:t>
            </w:r>
          </w:p>
        </w:tc>
        <w:tc>
          <w:tcPr>
            <w:tcW w:w="3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34,695,429</w:t>
            </w:r>
          </w:p>
        </w:tc>
        <w:tc>
          <w:tcPr>
            <w:tcW w:w="280" w:type="dxa"/>
            <w:vAlign w:val="bottom"/>
          </w:tcPr>
          <w:p>
            <w:pPr>
              <w:spacing w:after="0"/>
              <w:rPr>
                <w:sz w:val="20"/>
                <w:szCs w:val="20"/>
                <w:color w:val="auto"/>
              </w:rPr>
            </w:pPr>
          </w:p>
        </w:tc>
      </w:tr>
      <w:tr>
        <w:trPr>
          <w:trHeight w:val="249"/>
        </w:trPr>
        <w:tc>
          <w:tcPr>
            <w:tcW w:w="598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24"/>
                <w:szCs w:val="24"/>
                <w:b w:val="1"/>
                <w:bCs w:val="1"/>
                <w:color w:val="auto"/>
                <w:vertAlign w:val="superscript"/>
              </w:rPr>
              <w:t>(3)</w:t>
            </w:r>
          </w:p>
        </w:tc>
        <w:tc>
          <w:tcPr>
            <w:tcW w:w="36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193"/>
        </w:trPr>
        <w:tc>
          <w:tcPr>
            <w:tcW w:w="5980" w:type="dxa"/>
            <w:vAlign w:val="bottom"/>
          </w:tcPr>
          <w:p>
            <w:pPr>
              <w:ind w:left="20"/>
              <w:spacing w:after="0" w:line="193" w:lineRule="exact"/>
              <w:rPr>
                <w:sz w:val="20"/>
                <w:szCs w:val="20"/>
                <w:color w:val="auto"/>
              </w:rPr>
            </w:pPr>
            <w:r>
              <w:rPr>
                <w:rFonts w:ascii="Arial" w:cs="Arial" w:eastAsia="Arial" w:hAnsi="Arial"/>
                <w:sz w:val="18"/>
                <w:szCs w:val="18"/>
                <w:color w:val="auto"/>
              </w:rPr>
              <w:t>Ratio of net expenses to average</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6"/>
        </w:trPr>
        <w:tc>
          <w:tcPr>
            <w:tcW w:w="598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net assets </w:t>
            </w:r>
            <w:r>
              <w:rPr>
                <w:rFonts w:ascii="Arial" w:cs="Arial" w:eastAsia="Arial" w:hAnsi="Arial"/>
                <w:sz w:val="24"/>
                <w:szCs w:val="24"/>
                <w:color w:val="auto"/>
                <w:vertAlign w:val="superscript"/>
              </w:rPr>
              <w:t>(4)</w:t>
            </w:r>
          </w:p>
        </w:tc>
        <w:tc>
          <w:tcPr>
            <w:tcW w:w="360" w:type="dxa"/>
            <w:vAlign w:val="bottom"/>
          </w:tcPr>
          <w:p>
            <w:pPr>
              <w:spacing w:after="0"/>
              <w:rPr>
                <w:sz w:val="23"/>
                <w:szCs w:val="23"/>
                <w:color w:val="auto"/>
              </w:rPr>
            </w:pPr>
          </w:p>
        </w:tc>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10.89 %</w:t>
            </w:r>
          </w:p>
        </w:tc>
      </w:tr>
      <w:tr>
        <w:trPr>
          <w:trHeight w:val="215"/>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Ratio of net investment income</w:t>
            </w:r>
          </w:p>
        </w:tc>
        <w:tc>
          <w:tcPr>
            <w:tcW w:w="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44"/>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 average net assets</w:t>
            </w:r>
          </w:p>
        </w:tc>
        <w:tc>
          <w:tcPr>
            <w:tcW w:w="360" w:type="dxa"/>
            <w:vAlign w:val="bottom"/>
            <w:shd w:val="clear" w:color="auto" w:fill="CFF0FC"/>
          </w:tcPr>
          <w:p>
            <w:pPr>
              <w:spacing w:after="0"/>
              <w:rPr>
                <w:sz w:val="21"/>
                <w:szCs w:val="21"/>
                <w:color w:val="auto"/>
              </w:rPr>
            </w:pPr>
          </w:p>
        </w:tc>
        <w:tc>
          <w:tcPr>
            <w:tcW w:w="2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12.59 %</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Portfolio turnover</w:t>
            </w:r>
          </w:p>
        </w:tc>
        <w:tc>
          <w:tcPr>
            <w:tcW w:w="360" w:type="dxa"/>
            <w:vAlign w:val="bottom"/>
          </w:tcPr>
          <w:p>
            <w:pPr>
              <w:spacing w:after="0"/>
              <w:rPr>
                <w:sz w:val="20"/>
                <w:szCs w:val="20"/>
                <w:color w:val="auto"/>
              </w:rPr>
            </w:pPr>
          </w:p>
        </w:tc>
        <w:tc>
          <w:tcPr>
            <w:tcW w:w="2660" w:type="dxa"/>
            <w:vAlign w:val="bottom"/>
            <w:gridSpan w:val="2"/>
          </w:tcPr>
          <w:p>
            <w:pPr>
              <w:jc w:val="right"/>
              <w:ind w:right="120"/>
              <w:spacing w:after="0"/>
              <w:rPr>
                <w:sz w:val="20"/>
                <w:szCs w:val="20"/>
                <w:color w:val="auto"/>
              </w:rPr>
            </w:pPr>
            <w:r>
              <w:rPr>
                <w:rFonts w:ascii="Arial" w:cs="Arial" w:eastAsia="Arial" w:hAnsi="Arial"/>
                <w:sz w:val="18"/>
                <w:szCs w:val="18"/>
                <w:color w:val="auto"/>
              </w:rPr>
              <w:t>6.07 %</w:t>
            </w: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end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906,467</w:t>
            </w:r>
          </w:p>
        </w:tc>
        <w:tc>
          <w:tcPr>
            <w:tcW w:w="2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-2296795</wp:posOffset>
            </wp:positionV>
            <wp:extent cx="7747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-1662430</wp:posOffset>
            </wp:positionV>
            <wp:extent cx="7747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Common Shares outstanding during the period.</w:t>
      </w:r>
    </w:p>
    <w:p>
      <w:pPr>
        <w:spacing w:after="0" w:line="23" w:lineRule="exact"/>
        <w:rPr>
          <w:rFonts w:ascii="Arial" w:cs="Arial" w:eastAsia="Arial" w:hAnsi="Arial"/>
          <w:sz w:val="18"/>
          <w:szCs w:val="18"/>
          <w:color w:val="auto"/>
        </w:rPr>
      </w:pPr>
    </w:p>
    <w:p>
      <w:pPr>
        <w:ind w:left="520" w:right="40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ratios, excluding nonrecurring expenses, such as organization costs, are annualized.</w:t>
      </w:r>
    </w:p>
    <w:p>
      <w:pPr>
        <w:spacing w:after="0" w:line="9" w:lineRule="exact"/>
        <w:rPr>
          <w:rFonts w:ascii="Arial" w:cs="Arial" w:eastAsia="Arial" w:hAnsi="Arial"/>
          <w:sz w:val="18"/>
          <w:szCs w:val="18"/>
          <w:color w:val="auto"/>
        </w:rPr>
      </w:pPr>
    </w:p>
    <w:p>
      <w:pPr>
        <w:ind w:left="520" w:hanging="512"/>
        <w:spacing w:after="0" w:line="265"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ratio of net expenses to average net assets in the table above reflects the Adviser’s waiver of its right to receive a portion of the Management Fee pursuant to the Management Fee wavier for the sixth months ended June 30, 2023. Excluding the effect of the Management Fee waiver, the ratio of net expenses to average net assets would have been 12.52% for the sixth months ended June 30, 2023.</w:t>
      </w: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jc w:val="both"/>
        <w:ind w:right="320" w:firstLine="255"/>
        <w:spacing w:after="0" w:line="311"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2023.</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and Sixth Street LP Holding II, LLC in which we may hold certain investments.</w:t>
      </w:r>
    </w:p>
    <w:p>
      <w:pPr>
        <w:spacing w:after="0" w:line="184"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intend to elect to be treated as a RIC under the Code. As a result, we are required to comply with various statutory and regulatory requirements, such as:</w:t>
      </w:r>
    </w:p>
    <w:p>
      <w:pPr>
        <w:spacing w:after="0" w:line="62" w:lineRule="exact"/>
        <w:rPr>
          <w:sz w:val="20"/>
          <w:szCs w:val="20"/>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340" w:hanging="257"/>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which are expected returns that are adjusted based on the levels of risk associated with the investments.</w:t>
      </w:r>
    </w:p>
    <w:p>
      <w:pPr>
        <w:spacing w:after="0" w:line="170" w:lineRule="exact"/>
        <w:rPr>
          <w:sz w:val="20"/>
          <w:szCs w:val="20"/>
          <w:color w:val="auto"/>
        </w:rPr>
      </w:pPr>
    </w:p>
    <w:p>
      <w:pPr>
        <w:ind w:right="420" w:firstLine="255"/>
        <w:spacing w:after="0" w:line="263" w:lineRule="auto"/>
        <w:rPr>
          <w:sz w:val="20"/>
          <w:szCs w:val="20"/>
          <w:color w:val="auto"/>
        </w:rPr>
      </w:pPr>
      <w:r>
        <w:rPr>
          <w:rFonts w:ascii="Arial" w:cs="Arial" w:eastAsia="Arial" w:hAnsi="Arial"/>
          <w:sz w:val="18"/>
          <w:szCs w:val="18"/>
          <w:color w:val="auto"/>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4"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June 30, 2023, our portfolio companies had a weighted average annual revenue of $457.4 million and weighted average annual EBITDA of $167.4 million.</w:t>
      </w:r>
    </w:p>
    <w:p>
      <w:pPr>
        <w:spacing w:after="0" w:line="18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70"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right="40" w:firstLine="255"/>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2023, the largest single investment based on fair value represented 9.0% of our total investment portfolio.</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the average investment size in each of our portfolio companies was approximately $80.0 million based on fair value.</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8" w:name="page29"/>
    <w:bookmarkEnd w:id="28"/>
    <w:p>
      <w:pPr>
        <w:ind w:right="180" w:firstLine="255"/>
        <w:spacing w:after="0" w:line="257"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will focus on companies with enterprise values above $750 million. When reviewing potential investments,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188"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the largest industry represented 15.7% of our total investment portfolio based on fair value.</w:t>
      </w:r>
    </w:p>
    <w:p>
      <w:pPr>
        <w:spacing w:after="0" w:line="225"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2023, approximately 93.3%</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93.3%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2023, the weighted average term on new debt investment commitments in new portfolio companies was 6.9 years.</w:t>
      </w:r>
    </w:p>
    <w:p>
      <w:pPr>
        <w:spacing w:after="0" w:line="177"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84"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As of June 30, 2023, we had call protection on 100% of our debt investments based on fair value, with weighted average call prices of 105.8% for the first year, 103.1% for the second year and 101.2% for the third year, in each case from the date of the initial investment. As of June 30, 2023, 100% of our debt investments based on fair value bore interest at floating rates, with 100% of these subject to interest rate floors, which we believe helps act as a portfolio-wide hedge against inflation.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8" w:lineRule="exact"/>
        <w:rPr>
          <w:sz w:val="20"/>
          <w:szCs w:val="20"/>
          <w:color w:val="auto"/>
        </w:rPr>
      </w:pPr>
    </w:p>
    <w:p>
      <w:pPr>
        <w:ind w:right="60" w:firstLine="255"/>
        <w:spacing w:after="0" w:line="269" w:lineRule="auto"/>
        <w:rPr>
          <w:sz w:val="20"/>
          <w:szCs w:val="20"/>
          <w:color w:val="auto"/>
        </w:rPr>
      </w:pPr>
      <w:r>
        <w:rPr>
          <w:rFonts w:ascii="Arial" w:cs="Arial" w:eastAsia="Arial" w:hAnsi="Arial"/>
          <w:sz w:val="17"/>
          <w:szCs w:val="17"/>
          <w:color w:val="auto"/>
        </w:rPr>
        <w:t>Sixth Street is a global investment business with over $65 billion of assets under management as of June 30, 2023. Sixth Street’s core platforms include Sixth Street Lending Partners, Sixth Street Specialty Lending, which is aimed at U.S.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June 30, 2023, forty-nine (49) of these personnel are dedicated to direct lending, including thirty-seven (37) investment professionals.</w:t>
      </w:r>
    </w:p>
    <w:p>
      <w:pPr>
        <w:spacing w:after="0" w:line="182"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right="120" w:firstLine="255"/>
        <w:spacing w:after="0" w:line="301" w:lineRule="auto"/>
        <w:rPr>
          <w:sz w:val="20"/>
          <w:szCs w:val="20"/>
          <w:color w:val="auto"/>
        </w:rPr>
      </w:pPr>
      <w:r>
        <w:rPr>
          <w:rFonts w:ascii="Arial" w:cs="Arial" w:eastAsia="Arial" w:hAnsi="Arial"/>
          <w:sz w:val="16"/>
          <w:szCs w:val="16"/>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57"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8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upper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9"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2023, 100% of these investments based on fair value bore interest at a floating rate, with 100% of these subject to interest rate floors. Interest on debt investments is generally payable monthly or quarterly. Some of our investments provide for deferred interest payments or PIK interest.</w:t>
      </w:r>
    </w:p>
    <w:p>
      <w:pPr>
        <w:spacing w:after="0" w:line="188" w:lineRule="exact"/>
        <w:rPr>
          <w:sz w:val="20"/>
          <w:szCs w:val="20"/>
          <w:color w:val="auto"/>
        </w:rPr>
      </w:pPr>
    </w:p>
    <w:p>
      <w:pPr>
        <w:ind w:right="80" w:firstLine="255"/>
        <w:spacing w:after="0" w:line="291" w:lineRule="auto"/>
        <w:rPr>
          <w:sz w:val="20"/>
          <w:szCs w:val="20"/>
          <w:color w:val="auto"/>
        </w:rPr>
      </w:pPr>
      <w:r>
        <w:rPr>
          <w:rFonts w:ascii="Arial" w:cs="Arial" w:eastAsia="Arial" w:hAnsi="Arial"/>
          <w:sz w:val="16"/>
          <w:szCs w:val="16"/>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6" w:lineRule="exact"/>
        <w:rPr>
          <w:sz w:val="20"/>
          <w:szCs w:val="20"/>
          <w:color w:val="auto"/>
        </w:rPr>
      </w:pPr>
    </w:p>
    <w:p>
      <w:pPr>
        <w:ind w:right="60" w:firstLine="255"/>
        <w:spacing w:after="0" w:line="296" w:lineRule="auto"/>
        <w:rPr>
          <w:sz w:val="20"/>
          <w:szCs w:val="20"/>
          <w:color w:val="auto"/>
        </w:rPr>
      </w:pPr>
      <w:r>
        <w:rPr>
          <w:rFonts w:ascii="Arial" w:cs="Arial" w:eastAsia="Arial" w:hAnsi="Arial"/>
          <w:sz w:val="16"/>
          <w:szCs w:val="16"/>
          <w:color w:val="auto"/>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20"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may also reflect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jc w:val="both"/>
        <w:ind w:left="520" w:right="460" w:hanging="257"/>
        <w:spacing w:after="0" w:line="286"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57" w:lineRule="exact"/>
        <w:rPr>
          <w:rFonts w:ascii="Arial" w:cs="Arial" w:eastAsia="Arial" w:hAnsi="Arial"/>
          <w:sz w:val="17"/>
          <w:szCs w:val="17"/>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300" w:hanging="257"/>
        <w:spacing w:after="0" w:line="26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any public offerings of our Common Shares and other securities, including registration and listing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Common Shares;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right="60" w:hanging="257"/>
        <w:spacing w:after="0" w:line="25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Trustees fees and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520" w:right="120" w:hanging="257"/>
        <w:spacing w:after="0" w:line="342"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trustees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84" w:lineRule="exact"/>
        <w:rPr>
          <w:sz w:val="20"/>
          <w:szCs w:val="20"/>
          <w:color w:val="auto"/>
        </w:rPr>
      </w:pPr>
    </w:p>
    <w:p>
      <w:pPr>
        <w:ind w:firstLine="255"/>
        <w:spacing w:after="0" w:line="279" w:lineRule="auto"/>
        <w:rPr>
          <w:sz w:val="20"/>
          <w:szCs w:val="20"/>
          <w:color w:val="auto"/>
        </w:rPr>
      </w:pPr>
      <w:r>
        <w:rPr>
          <w:rFonts w:ascii="Arial" w:cs="Arial" w:eastAsia="Arial" w:hAnsi="Arial"/>
          <w:sz w:val="17"/>
          <w:szCs w:val="17"/>
          <w:color w:val="auto"/>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jc w:val="both"/>
        <w:ind w:right="200" w:firstLine="255"/>
        <w:spacing w:after="0" w:line="259" w:lineRule="auto"/>
        <w:rPr>
          <w:sz w:val="20"/>
          <w:szCs w:val="20"/>
          <w:color w:val="auto"/>
        </w:rPr>
      </w:pPr>
      <w:r>
        <w:rPr>
          <w:rFonts w:ascii="Arial" w:cs="Arial" w:eastAsia="Arial" w:hAnsi="Arial"/>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As of June 30, 2023, our portfolio based on fair value consisted of 93.3% first-lien debt investments, 5.5% mezzanine investments and 1.2% equity and other investments. As of December 31, 2022, our portfolio based on fair value consisted of 99.0% first-lien debt investments and 1.0% equity and other investments.</w:t>
      </w:r>
    </w:p>
    <w:p>
      <w:pPr>
        <w:spacing w:after="0" w:line="184" w:lineRule="exact"/>
        <w:rPr>
          <w:sz w:val="20"/>
          <w:szCs w:val="20"/>
          <w:color w:val="auto"/>
        </w:rPr>
      </w:pPr>
    </w:p>
    <w:p>
      <w:pPr>
        <w:ind w:right="280" w:firstLine="255"/>
        <w:spacing w:after="0" w:line="311" w:lineRule="auto"/>
        <w:rPr>
          <w:sz w:val="20"/>
          <w:szCs w:val="20"/>
          <w:color w:val="auto"/>
        </w:rPr>
      </w:pPr>
      <w:r>
        <w:rPr>
          <w:rFonts w:ascii="Arial" w:cs="Arial" w:eastAsia="Arial" w:hAnsi="Arial"/>
          <w:sz w:val="16"/>
          <w:szCs w:val="16"/>
          <w:color w:val="auto"/>
        </w:rPr>
        <w:t>As of June 30, 2023 and December 31, 2022, our weighted average total yield of debt and income-producing securities at fair value (which includes interest income and amortization of fees and discounts) was 13.5% and 12.8% respectively, and our weighted average total yield of debt and income-producing securities at amortized cost (which includes interest income and amortization of fees and discounts) was 13.7% and 12.8%, respectively.</w:t>
      </w:r>
    </w:p>
    <w:p>
      <w:pPr>
        <w:spacing w:after="0" w:line="149"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As of June 30, 2023 and December 31, 2022, we had investments in 22 and 10 portfolio companies, respectively, with an aggregate fair value of $1.8 billion and $808.8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2" w:name="page33"/>
    <w:bookmarkEnd w:id="32"/>
    <w:p>
      <w:pPr>
        <w:ind w:firstLine="255"/>
        <w:spacing w:after="0" w:line="277" w:lineRule="auto"/>
        <w:rPr>
          <w:sz w:val="20"/>
          <w:szCs w:val="20"/>
          <w:color w:val="auto"/>
        </w:rPr>
      </w:pPr>
      <w:r>
        <w:rPr>
          <w:rFonts w:ascii="Arial" w:cs="Arial" w:eastAsia="Arial" w:hAnsi="Arial"/>
          <w:sz w:val="18"/>
          <w:szCs w:val="18"/>
          <w:color w:val="auto"/>
        </w:rPr>
        <w:t>For the three months ended June 30, 2023, the principal amount of new investments funded was $588.9 million in six new portfolio companies. There have been no exits or repayments.</w:t>
      </w:r>
    </w:p>
    <w:p>
      <w:pPr>
        <w:spacing w:after="0" w:line="170"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Our investment activity for the three months ended June 30, 2023 is presented below (information presented herein is at par value unless otherwise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185"/>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6"/>
                <w:szCs w:val="16"/>
                <w:color w:val="auto"/>
              </w:rPr>
            </w:pPr>
          </w:p>
        </w:tc>
        <w:tc>
          <w:tcPr>
            <w:tcW w:w="16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 2023</w:t>
            </w: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New investment commitments:</w:t>
            </w:r>
          </w:p>
        </w:tc>
        <w:tc>
          <w:tcPr>
            <w:tcW w:w="1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Gross originations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1,502.9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tcBorders>
              <w:bottom w:val="single" w:sz="8" w:color="CFF0FC"/>
            </w:tcBorders>
            <w:shd w:val="clear" w:color="auto" w:fill="CFF0FC"/>
          </w:tcPr>
          <w:p>
            <w:pPr>
              <w:ind w:left="200"/>
              <w:spacing w:after="0" w:line="243" w:lineRule="exact"/>
              <w:rPr>
                <w:sz w:val="20"/>
                <w:szCs w:val="20"/>
                <w:color w:val="auto"/>
              </w:rPr>
            </w:pPr>
            <w:r>
              <w:rPr>
                <w:rFonts w:ascii="Arial" w:cs="Arial" w:eastAsia="Arial" w:hAnsi="Arial"/>
                <w:sz w:val="18"/>
                <w:szCs w:val="18"/>
                <w:color w:val="auto"/>
              </w:rPr>
              <w:t xml:space="preserve">Less: Syndications/sell downs </w:t>
            </w:r>
            <w:r>
              <w:rPr>
                <w:rFonts w:ascii="Arial" w:cs="Arial" w:eastAsia="Arial" w:hAnsi="Arial"/>
                <w:sz w:val="24"/>
                <w:szCs w:val="24"/>
                <w:color w:val="auto"/>
                <w:vertAlign w:val="superscript"/>
              </w:rPr>
              <w:t>(1)</w:t>
            </w:r>
          </w:p>
        </w:tc>
        <w:tc>
          <w:tcPr>
            <w:tcW w:w="1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914.0</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Total new investment commitments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Principal amount of investments funded:</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First-lien</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Mezzanine</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Equity and other</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w:t>
            </w: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11"/>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Number of new investment commitments in</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new portfolio companies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Average new investment commitment amount in</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new portfolio companies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11"/>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Weighted average term for new investment</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commitments in new portfolio companies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(in years)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at floating rates</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Weighted average interest rate of new</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investment commitments</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12.6 %</w:t>
            </w:r>
          </w:p>
        </w:tc>
      </w:tr>
      <w:tr>
        <w:trPr>
          <w:trHeight w:val="225"/>
        </w:trPr>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Weighted average spread over reference rate of</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b w:val="1"/>
                <w:bCs w:val="1"/>
                <w:color w:val="auto"/>
              </w:rPr>
              <w:t>new floating rate investment commitments</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7.3 %</w:t>
            </w:r>
          </w:p>
        </w:tc>
      </w:tr>
      <w:tr>
        <w:trPr>
          <w:trHeight w:val="486"/>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(1)</w:t>
            </w: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Includes affiliates of Sixth Street.</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-3128645</wp:posOffset>
            </wp:positionV>
            <wp:extent cx="7747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-1173480</wp:posOffset>
            </wp:positionV>
            <wp:extent cx="5709285" cy="291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9285" cy="29146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-591185</wp:posOffset>
            </wp:positionV>
            <wp:extent cx="5709285" cy="291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09285" cy="29146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2023 and December 31, 2022, our investments consisted of the following:</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4"/>
                <w:szCs w:val="14"/>
                <w:color w:val="auto"/>
              </w:rPr>
            </w:pPr>
          </w:p>
        </w:tc>
      </w:tr>
      <w:tr>
        <w:trPr>
          <w:trHeight w:val="236"/>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120" w:type="dxa"/>
            <w:vAlign w:val="bottom"/>
            <w:shd w:val="clear" w:color="auto" w:fill="CFF0FC"/>
          </w:tcPr>
          <w:p>
            <w:pPr>
              <w:spacing w:after="0"/>
              <w:rPr>
                <w:sz w:val="20"/>
                <w:szCs w:val="20"/>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3"/>
        </w:trPr>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9"/>
        </w:trPr>
        <w:tc>
          <w:tcPr>
            <w:tcW w:w="32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1,744.5</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-187960</wp:posOffset>
            </wp:positionV>
            <wp:extent cx="7683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-187960</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non-accrual investments as of June 30, 2023 or December 31, 2022.</w:t>
      </w:r>
    </w:p>
    <w:p>
      <w:pPr>
        <w:spacing w:after="0" w:line="22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2023 and December 31, 2022 were as follows:</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620" w:type="dxa"/>
            <w:vAlign w:val="bottom"/>
          </w:tcPr>
          <w:p>
            <w:pPr>
              <w:ind w:left="620"/>
              <w:spacing w:after="0"/>
              <w:rPr>
                <w:sz w:val="20"/>
                <w:szCs w:val="20"/>
                <w:color w:val="auto"/>
              </w:rPr>
            </w:pPr>
            <w:r>
              <w:rPr>
                <w:rFonts w:ascii="Arial" w:cs="Arial" w:eastAsia="Arial" w:hAnsi="Arial"/>
                <w:sz w:val="14"/>
                <w:szCs w:val="14"/>
                <w:b w:val="1"/>
                <w:bCs w:val="1"/>
                <w:color w:val="auto"/>
              </w:rPr>
              <w:t>June 30, 2023</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 2022</w:t>
            </w:r>
          </w:p>
        </w:tc>
      </w:tr>
      <w:tr>
        <w:trPr>
          <w:trHeight w:val="173"/>
        </w:trPr>
        <w:tc>
          <w:tcPr>
            <w:tcW w:w="4400" w:type="dxa"/>
            <w:vAlign w:val="bottom"/>
          </w:tcPr>
          <w:p>
            <w:pPr>
              <w:ind w:left="20"/>
              <w:spacing w:after="0" w:line="173" w:lineRule="exact"/>
              <w:rPr>
                <w:sz w:val="20"/>
                <w:szCs w:val="20"/>
                <w:color w:val="auto"/>
              </w:rPr>
            </w:pPr>
            <w:r>
              <w:rPr>
                <w:rFonts w:ascii="Arial" w:cs="Arial" w:eastAsia="Arial" w:hAnsi="Arial"/>
                <w:sz w:val="18"/>
                <w:szCs w:val="18"/>
                <w:color w:val="auto"/>
              </w:rPr>
              <w:t>Weighted average total yield of debt and income</w:t>
            </w:r>
          </w:p>
        </w:tc>
        <w:tc>
          <w:tcPr>
            <w:tcW w:w="16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79"/>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24"/>
                <w:szCs w:val="24"/>
                <w:color w:val="auto"/>
                <w:vertAlign w:val="superscript"/>
              </w:rPr>
              <w:t>(1)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12.4 %</w:t>
            </w:r>
          </w:p>
        </w:tc>
      </w:tr>
      <w:tr>
        <w:trPr>
          <w:trHeight w:val="215"/>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Weighted average interest rate of debt and income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producing securities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12.9 %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Weighted average spread over reference rate of all</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floating rate investments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-864870</wp:posOffset>
            </wp:positionV>
            <wp:extent cx="5709285" cy="291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9285" cy="29146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-281940</wp:posOffset>
            </wp:positionV>
            <wp:extent cx="5709285" cy="291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9285" cy="291465"/>
                    </a:xfrm>
                    <a:prstGeom prst="rect">
                      <a:avLst/>
                    </a:prstGeom>
                    <a:noFill/>
                  </pic:spPr>
                </pic:pic>
              </a:graphicData>
            </a:graphic>
          </wp:anchor>
        </w:drawing>
      </w:r>
    </w:p>
    <w:p>
      <w:pPr>
        <w:spacing w:after="0" w:line="263" w:lineRule="exact"/>
        <w:rPr>
          <w:sz w:val="20"/>
          <w:szCs w:val="20"/>
          <w:color w:val="auto"/>
        </w:rPr>
      </w:pPr>
    </w:p>
    <w:p>
      <w:pPr>
        <w:ind w:left="5540" w:right="2360" w:hanging="5532"/>
        <w:spacing w:after="0" w:line="527" w:lineRule="auto"/>
        <w:tabs>
          <w:tab w:leader="none" w:pos="5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13.4% at June 30, 2023 and 12.7% at December 31, 2022.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84" w:right="519" w:bottom="1440" w:gutter="0" w:footer="0" w:header="0"/>
        </w:sectPr>
      </w:pPr>
    </w:p>
    <w:bookmarkStart w:id="33" w:name="page34"/>
    <w:bookmarkEnd w:id="33"/>
    <w:p>
      <w:pPr>
        <w:ind w:right="4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20" w:hanging="257"/>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80" w:hanging="257"/>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20" w:right="660" w:hanging="257"/>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5" w:lineRule="exact"/>
        <w:rPr>
          <w:rFonts w:ascii="Arial" w:cs="Arial" w:eastAsia="Arial" w:hAnsi="Arial"/>
          <w:sz w:val="18"/>
          <w:szCs w:val="18"/>
          <w:color w:val="auto"/>
        </w:rPr>
      </w:pPr>
    </w:p>
    <w:p>
      <w:pPr>
        <w:ind w:left="520" w:right="140" w:hanging="257"/>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20" w:right="220" w:hanging="257"/>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20" w:right="120" w:hanging="257"/>
        <w:spacing w:after="0" w:line="255"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20" w:right="320" w:hanging="257"/>
        <w:spacing w:after="0" w:line="279"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00" w:firstLine="255"/>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2023 and December 31, 2022. Investment performance ratings are accurate only as of those dates and may change due to subsequent developments relating to a portfolio company’s business or financial condition, market conditions or developments, and other factors.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2023</w:t>
            </w:r>
          </w:p>
        </w:tc>
        <w:tc>
          <w:tcPr>
            <w:tcW w:w="15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5"/>
              </w:rPr>
              <w:t>December 31, 2022</w:t>
            </w:r>
          </w:p>
        </w:tc>
        <w:tc>
          <w:tcPr>
            <w:tcW w:w="1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320" w:type="dxa"/>
            <w:vAlign w:val="bottom"/>
          </w:tcPr>
          <w:p>
            <w:pPr>
              <w:spacing w:after="0"/>
              <w:rPr>
                <w:sz w:val="16"/>
                <w:szCs w:val="16"/>
                <w:color w:val="auto"/>
              </w:rPr>
            </w:pPr>
          </w:p>
        </w:tc>
        <w:tc>
          <w:tcPr>
            <w:tcW w:w="236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1"/>
              </w:rPr>
              <w:t>Investments at</w:t>
            </w: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1"/>
              </w:rPr>
              <w:t>Investments at</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5"/>
                <w:szCs w:val="15"/>
                <w:color w:val="auto"/>
              </w:rPr>
            </w:pPr>
          </w:p>
        </w:tc>
        <w:tc>
          <w:tcPr>
            <w:tcW w:w="23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5"/>
              </w:rPr>
              <w:t>Fair Value</w:t>
            </w:r>
          </w:p>
        </w:tc>
        <w:tc>
          <w:tcPr>
            <w:tcW w:w="1940" w:type="dxa"/>
            <w:vAlign w:val="bottom"/>
            <w:gridSpan w:val="2"/>
          </w:tcPr>
          <w:p>
            <w:pPr>
              <w:jc w:val="right"/>
              <w:ind w:right="870"/>
              <w:spacing w:after="0"/>
              <w:rPr>
                <w:sz w:val="20"/>
                <w:szCs w:val="20"/>
                <w:color w:val="auto"/>
              </w:rPr>
            </w:pPr>
            <w:r>
              <w:rPr>
                <w:rFonts w:ascii="Arial" w:cs="Arial" w:eastAsia="Arial" w:hAnsi="Arial"/>
                <w:sz w:val="14"/>
                <w:szCs w:val="14"/>
                <w:b w:val="1"/>
                <w:bCs w:val="1"/>
                <w:color w:val="auto"/>
              </w:rPr>
              <w:t>Percentage of</w:t>
            </w:r>
          </w:p>
        </w:tc>
        <w:tc>
          <w:tcPr>
            <w:tcW w:w="320" w:type="dxa"/>
            <w:vAlign w:val="bottom"/>
          </w:tcPr>
          <w:p>
            <w:pPr>
              <w:spacing w:after="0"/>
              <w:rPr>
                <w:sz w:val="15"/>
                <w:szCs w:val="15"/>
                <w:color w:val="auto"/>
              </w:rPr>
            </w:pPr>
          </w:p>
        </w:tc>
        <w:tc>
          <w:tcPr>
            <w:tcW w:w="244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Pr>
          <w:p>
            <w:pPr>
              <w:spacing w:after="0"/>
              <w:rPr>
                <w:sz w:val="16"/>
                <w:szCs w:val="16"/>
                <w:color w:val="auto"/>
              </w:rPr>
            </w:pPr>
          </w:p>
        </w:tc>
        <w:tc>
          <w:tcPr>
            <w:tcW w:w="236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5"/>
              </w:rPr>
              <w:t>($ in millions)</w:t>
            </w:r>
          </w:p>
        </w:tc>
        <w:tc>
          <w:tcPr>
            <w:tcW w:w="1940" w:type="dxa"/>
            <w:vAlign w:val="bottom"/>
            <w:gridSpan w:val="2"/>
          </w:tcPr>
          <w:p>
            <w:pPr>
              <w:jc w:val="right"/>
              <w:ind w:right="830"/>
              <w:spacing w:after="0"/>
              <w:rPr>
                <w:sz w:val="20"/>
                <w:szCs w:val="20"/>
                <w:color w:val="auto"/>
              </w:rPr>
            </w:pPr>
            <w:r>
              <w:rPr>
                <w:rFonts w:ascii="Arial" w:cs="Arial" w:eastAsia="Arial" w:hAnsi="Arial"/>
                <w:sz w:val="14"/>
                <w:szCs w:val="14"/>
                <w:b w:val="1"/>
                <w:bCs w:val="1"/>
                <w:color w:val="auto"/>
              </w:rPr>
              <w:t>Total Portfolio</w:t>
            </w:r>
          </w:p>
        </w:tc>
        <w:tc>
          <w:tcPr>
            <w:tcW w:w="320" w:type="dxa"/>
            <w:vAlign w:val="bottom"/>
          </w:tcPr>
          <w:p>
            <w:pPr>
              <w:spacing w:after="0"/>
              <w:rPr>
                <w:sz w:val="16"/>
                <w:szCs w:val="16"/>
                <w:color w:val="auto"/>
              </w:rPr>
            </w:pPr>
          </w:p>
        </w:tc>
        <w:tc>
          <w:tcPr>
            <w:tcW w:w="244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3"/>
              </w:rPr>
              <w:t>($ in millions)</w:t>
            </w: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236"/>
        </w:trPr>
        <w:tc>
          <w:tcPr>
            <w:tcW w:w="2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1,518.0</w:t>
            </w:r>
          </w:p>
        </w:tc>
        <w:tc>
          <w:tcPr>
            <w:tcW w:w="3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710.8</w:t>
            </w:r>
          </w:p>
        </w:tc>
        <w:tc>
          <w:tcPr>
            <w:tcW w:w="32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240.9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98.0</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360" w:type="dxa"/>
            <w:vAlign w:val="bottom"/>
            <w:gridSpan w:val="3"/>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244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4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2440" w:type="dxa"/>
            <w:vAlign w:val="bottom"/>
            <w:gridSpan w:val="3"/>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1,758.9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808.8</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jc w:val="right"/>
              <w:ind w:right="674"/>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-685165</wp:posOffset>
            </wp:positionV>
            <wp:extent cx="7683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-685165</wp:posOffset>
            </wp:positionV>
            <wp:extent cx="857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2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June 30, 2023</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investment income</w:t>
            </w:r>
          </w:p>
        </w:tc>
        <w:tc>
          <w:tcPr>
            <w:tcW w:w="2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Less: Net expenses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investment income before income taxes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Less: Income taxes, including excise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24"/>
                <w:szCs w:val="24"/>
                <w:color w:val="auto"/>
                <w:vertAlign w:val="superscript"/>
              </w:rPr>
              <w:t>(1)</w:t>
            </w:r>
          </w:p>
        </w:tc>
        <w:tc>
          <w:tcPr>
            <w:tcW w:w="22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2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24"/>
                <w:szCs w:val="24"/>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w w:val="98"/>
              </w:rPr>
              <w:t>Net increase (decrease) in net assets resulting from operations</w:t>
            </w: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6280" w:type="dxa"/>
            <w:vAlign w:val="bottom"/>
            <w:gridSpan w:val="3"/>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0" w:type="dxa"/>
            <w:vAlign w:val="bottom"/>
            <w:vMerge w:val="continue"/>
          </w:tcPr>
          <w:p>
            <w:pPr>
              <w:spacing w:after="0"/>
              <w:rPr>
                <w:sz w:val="24"/>
                <w:szCs w:val="24"/>
                <w:color w:val="auto"/>
              </w:rPr>
            </w:pPr>
          </w:p>
        </w:tc>
        <w:tc>
          <w:tcPr>
            <w:tcW w:w="6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2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June 30, 2023</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from investments</w:t>
            </w: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Paid-in-kind interest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-1842770</wp:posOffset>
            </wp:positionV>
            <wp:extent cx="6858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-1842770</wp:posOffset>
            </wp:positionV>
            <wp:extent cx="6858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2023, were as follows: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Six Months Ended</w:t>
            </w:r>
          </w:p>
        </w:tc>
        <w:tc>
          <w:tcPr>
            <w:tcW w:w="120" w:type="dxa"/>
            <w:vAlign w:val="bottom"/>
          </w:tcPr>
          <w:p>
            <w:pPr>
              <w:spacing w:after="0"/>
              <w:rPr>
                <w:sz w:val="15"/>
                <w:szCs w:val="15"/>
                <w:color w:val="auto"/>
              </w:rPr>
            </w:pPr>
          </w:p>
        </w:tc>
      </w:tr>
      <w:tr>
        <w:trPr>
          <w:trHeight w:val="185"/>
        </w:trPr>
        <w:tc>
          <w:tcPr>
            <w:tcW w:w="554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r>
      <w:tr>
        <w:trPr>
          <w:trHeight w:val="237"/>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20"/>
                <w:szCs w:val="20"/>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Management fees (net of waivers)</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Incentive fees related to pre-incentive net investment income</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21"/>
                <w:szCs w:val="2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Incentive fees related to realized/unrealized capital gains</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Organizational and offering expense</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21"/>
                <w:szCs w:val="2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Trustees fees</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21"/>
                <w:szCs w:val="2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r>
      <w:tr>
        <w:trPr>
          <w:trHeight w:val="279"/>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intend to elect to be treated as a RIC under Subchapter M of the Code, and we intend to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8"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For the three and six months ended June 30, 2023, we recorded a net expense of $0.4 million and $0.7 million, respectively, for U.S. federal excise tax and other taxes.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June 30, 2023:</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54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6"/>
                <w:szCs w:val="16"/>
                <w:color w:val="auto"/>
              </w:rPr>
            </w:pPr>
          </w:p>
        </w:tc>
        <w:tc>
          <w:tcPr>
            <w:tcW w:w="16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2023</w:t>
            </w:r>
          </w:p>
        </w:tc>
      </w:tr>
      <w:tr>
        <w:trPr>
          <w:trHeight w:val="230"/>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realized gains (losses) on foreign currency transactions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(0.0 )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5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Change in unrealized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20"/>
                <w:szCs w:val="20"/>
                <w:color w:val="auto"/>
              </w:rPr>
            </w:pPr>
          </w:p>
        </w:tc>
      </w:tr>
      <w:tr>
        <w:trPr>
          <w:trHeight w:val="24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unrealized (losses) on investments</w:t>
            </w:r>
          </w:p>
        </w:tc>
        <w:tc>
          <w:tcPr>
            <w:tcW w:w="1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(11.2 )</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(6.6 )</w:t>
            </w:r>
          </w:p>
        </w:tc>
      </w:tr>
      <w:tr>
        <w:trPr>
          <w:trHeight w:val="211"/>
        </w:trPr>
        <w:tc>
          <w:tcPr>
            <w:tcW w:w="54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Change in Unrealized Gains (Losses) on</w:t>
            </w: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r>
      <w:tr>
        <w:trPr>
          <w:trHeight w:val="241"/>
        </w:trPr>
        <w:tc>
          <w:tcPr>
            <w:tcW w:w="5480" w:type="dxa"/>
            <w:vAlign w:val="bottom"/>
          </w:tcPr>
          <w:p>
            <w:pPr>
              <w:ind w:left="1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r>
      <w:tr>
        <w:trPr>
          <w:trHeight w:val="250"/>
        </w:trPr>
        <w:tc>
          <w:tcPr>
            <w:tcW w:w="5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spacing w:after="0"/>
              <w:rPr>
                <w:sz w:val="21"/>
                <w:szCs w:val="2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Unrealized gains (losses) on foreign currency borrowings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(0.4 )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r>
      <w:tr>
        <w:trPr>
          <w:trHeight w:val="24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gains (losses) on foreign currency cash</w:t>
            </w: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11"/>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Change in Unrealized Gains (Losses) on Foreign</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5480" w:type="dxa"/>
            <w:vAlign w:val="bottom"/>
          </w:tcPr>
          <w:p>
            <w:pPr>
              <w:ind w:left="160"/>
              <w:spacing w:after="0"/>
              <w:rPr>
                <w:sz w:val="20"/>
                <w:szCs w:val="20"/>
                <w:color w:val="auto"/>
              </w:rPr>
            </w:pPr>
            <w:r>
              <w:rPr>
                <w:rFonts w:ascii="Arial" w:cs="Arial" w:eastAsia="Arial" w:hAnsi="Arial"/>
                <w:sz w:val="18"/>
                <w:szCs w:val="18"/>
                <w:b w:val="1"/>
                <w:bCs w:val="1"/>
                <w:color w:val="auto"/>
              </w:rPr>
              <w:t>Currency Transactions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(0.4 )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r>
      <w:tr>
        <w:trPr>
          <w:trHeight w:val="250"/>
        </w:trPr>
        <w:tc>
          <w:tcPr>
            <w:tcW w:w="5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r>
      <w:tr>
        <w:trPr>
          <w:trHeight w:val="232"/>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Change in Unrealized Gains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-2056765</wp:posOffset>
            </wp:positionV>
            <wp:extent cx="7747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-2056765</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-1405255</wp:posOffset>
            </wp:positionV>
            <wp:extent cx="77470"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-1405255</wp:posOffset>
            </wp:positionV>
            <wp:extent cx="68580" cy="300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-642620</wp:posOffset>
            </wp:positionV>
            <wp:extent cx="77470" cy="300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-642620</wp:posOffset>
            </wp:positionV>
            <wp:extent cx="68580" cy="300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7747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For the three and six months ended June 30, 2023 we had $0.8 million and $14.7 million, respectively, in unrealized gains on investments. Unrealized gains were driven by an increase in fair value, primarily due to the impact of movement in credit spreads.</w:t>
      </w:r>
    </w:p>
    <w:p>
      <w:pPr>
        <w:spacing w:after="0" w:line="170"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For the three and six months ended June 30, 2023 unrealized losses on foreign currency borrowings were driven by fluctuations in the GBP and EUR exchange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17"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Credit Facilities to fund these investments. For the three and six months ended June 30, 2023, we had $0.4 million and $1.1 million, respectively, of unrealized losses, on the translation of our non-U.S. dollar denominated debt into U.S. dollars; such amounts approximate the corresponding unrealized gains on the translation of our non-U.S. dollar denominated investments into U.S. dollars for the three and six months ended June 30, 2023. See Note 2 for additional disclosure regarding our accounting for foreign currency. See Note 7 for additional disclosure regarding the amounts of outstanding debt denominated in each foreign currency at June 30, 2023. See our consolidated schedule of investments for additional disclosure regarding the foreign currency amounts (in both par and fair value) of our non-U.S. dollar denominated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7"/>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Arial" w:cs="Arial" w:eastAsia="Arial" w:hAnsi="Arial"/>
          <w:sz w:val="17"/>
          <w:szCs w:val="17"/>
          <w:i w:val="1"/>
          <w:iCs w:val="1"/>
          <w:color w:val="auto"/>
        </w:rPr>
        <w:t>Key Components of Our Results of Operations —Leverage</w:t>
      </w:r>
      <w:r>
        <w:rPr>
          <w:rFonts w:ascii="Arial" w:cs="Arial" w:eastAsia="Arial" w:hAnsi="Arial"/>
          <w:sz w:val="17"/>
          <w:szCs w:val="17"/>
          <w:color w:val="auto"/>
        </w:rPr>
        <w:t>” above. As of June 30, 2023, our asset coverage ratio was 180.9%.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6" w:name="page37"/>
    <w:bookmarkEnd w:id="36"/>
    <w:p>
      <w:pPr>
        <w:ind w:right="160" w:firstLine="255"/>
        <w:spacing w:after="0" w:line="259" w:lineRule="auto"/>
        <w:rPr>
          <w:sz w:val="20"/>
          <w:szCs w:val="20"/>
          <w:color w:val="auto"/>
        </w:rPr>
      </w:pPr>
      <w:r>
        <w:rPr>
          <w:rFonts w:ascii="Arial" w:cs="Arial" w:eastAsia="Arial" w:hAnsi="Arial"/>
          <w:sz w:val="18"/>
          <w:szCs w:val="18"/>
          <w:color w:val="auto"/>
        </w:rPr>
        <w:t>Cash and cash equivalents as of June 30, 2023 taken together with cash available under our Credit Facilities, and cash available from undrawn Capital Commitments, is expected to be sufficient for our investing activities and to conduct our operations in the near term. As of June 30, 2023, we had approximately $715.0 million and $214.5 million of availability on our Subscription Facility and Revolving Credit Facility, respectively, subject to asset coverage limitations.</w:t>
      </w:r>
    </w:p>
    <w:p>
      <w:pPr>
        <w:spacing w:after="0" w:line="187" w:lineRule="exact"/>
        <w:rPr>
          <w:sz w:val="20"/>
          <w:szCs w:val="20"/>
          <w:color w:val="auto"/>
        </w:rPr>
      </w:pPr>
    </w:p>
    <w:p>
      <w:pPr>
        <w:ind w:right="60" w:firstLine="255"/>
        <w:spacing w:after="0" w:line="301" w:lineRule="auto"/>
        <w:rPr>
          <w:sz w:val="20"/>
          <w:szCs w:val="20"/>
          <w:color w:val="auto"/>
        </w:rPr>
      </w:pPr>
      <w:r>
        <w:rPr>
          <w:rFonts w:ascii="Arial" w:cs="Arial" w:eastAsia="Arial" w:hAnsi="Arial"/>
          <w:sz w:val="16"/>
          <w:szCs w:val="16"/>
          <w:color w:val="auto"/>
        </w:rPr>
        <w:t>As of June 30, 2023, we had $288.2 million in cash and cash equivalents. For the six months ended June 30, 2023, cash used in operating activities was $(881.2) million, primarily attributable to funding portfolio investments of $(968.3) million, repayments on investments of $38.7 million and net change in unrealized gains on investments of $(14.6) million. Cash provided by financing activities was $894.8 million during the period due to borrowings of $1,469.3 million and proceeds from the capital call of $325.0 million, which were partially offset by paydowns on debt of $(888.0)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total Shares issued and proceeds received related to the Company’s capital drawdowns delivered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Subscription Agreements for the six months ended June 30, 2023:</w:t>
      </w: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Common Share Issuance Date</w:t>
            </w:r>
          </w:p>
        </w:tc>
        <w:tc>
          <w:tcPr>
            <w:tcW w:w="160" w:type="dxa"/>
            <w:vAlign w:val="bottom"/>
          </w:tcPr>
          <w:p>
            <w:pPr>
              <w:spacing w:after="0"/>
              <w:rPr>
                <w:sz w:val="14"/>
                <w:szCs w:val="14"/>
                <w:color w:val="auto"/>
              </w:rPr>
            </w:pPr>
          </w:p>
        </w:tc>
        <w:tc>
          <w:tcPr>
            <w:tcW w:w="162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 of Common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ind w:right="137"/>
              <w:spacing w:after="0"/>
              <w:rPr>
                <w:sz w:val="20"/>
                <w:szCs w:val="20"/>
                <w:color w:val="auto"/>
              </w:rPr>
            </w:pPr>
            <w:r>
              <w:rPr>
                <w:rFonts w:ascii="Arial" w:cs="Arial" w:eastAsia="Arial" w:hAnsi="Arial"/>
                <w:sz w:val="14"/>
                <w:szCs w:val="14"/>
                <w:b w:val="1"/>
                <w:bCs w:val="1"/>
                <w:color w:val="auto"/>
                <w:w w:val="91"/>
              </w:rPr>
              <w:t>Proceeds Received ($ in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Shares Issued</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March 21, 2023</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9,643,813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June 28, 2023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2,798,480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12,442,293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During the six months ended June 30, 2023, we also issued 371,108 shares to investors who have not opted out of our dividend reinvestment plan for proceeds of $9.6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Facility</w:t>
      </w:r>
    </w:p>
    <w:p>
      <w:pPr>
        <w:spacing w:after="0" w:line="117" w:lineRule="exact"/>
        <w:rPr>
          <w:sz w:val="20"/>
          <w:szCs w:val="20"/>
          <w:color w:val="auto"/>
        </w:rPr>
      </w:pPr>
    </w:p>
    <w:p>
      <w:pPr>
        <w:ind w:right="360" w:firstLine="255"/>
        <w:spacing w:after="0" w:line="308" w:lineRule="auto"/>
        <w:rPr>
          <w:sz w:val="20"/>
          <w:szCs w:val="20"/>
          <w:color w:val="auto"/>
        </w:rPr>
      </w:pPr>
      <w:r>
        <w:rPr>
          <w:rFonts w:ascii="Arial" w:cs="Arial" w:eastAsia="Arial" w:hAnsi="Arial"/>
          <w:sz w:val="17"/>
          <w:szCs w:val="17"/>
          <w:color w:val="auto"/>
        </w:rPr>
        <w:t>On September 1, 2022, (the “Closing Date”), the Company entered into a revolving credit agreement (the “Subscription Facility”) with Wells Fargo Bank, National Association, as administrative agent (the “Administrative Agent”), letter of credit issuer, lead arranger and as a lender.</w:t>
      </w:r>
    </w:p>
    <w:p>
      <w:pPr>
        <w:spacing w:after="0" w:line="146"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As of September 30, 2022, aggregate commitments under the facility were $400 million. Pursuant to an amendment to the Subscription Facility dated as of December 21, 2022 (the “Subscription Facility First Amendment”), the aggregate commitments under the Subscription Facility were increased to $700 million, with the increased amount being brought in by the joinder of State Street Bank and Trust Company as a new lender, subject to availability under the borrowing base, which is based on unfunded capital commitments. Pursuant to lender joinder agreements dated January 18, 2023 and January 27, 2023, aggregate commitments under the Subscription Facility were increased to $800 million and $850 million, respectively. Pursuant to lender joinder agreements dated March 28, 2023, the aggregate commitments under the facility were increased to $1.3 billion. Pursuant to a lender joinder agreement dated April 27, 2023, the aggregate commitments under the facility were increased to $1.35 billion (the “Maximum Commitment”).</w:t>
      </w:r>
    </w:p>
    <w:p>
      <w:pPr>
        <w:spacing w:after="0" w:line="166"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The Subscription Facility will mature upon the earliest of: (i) August 30, 2024 (the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Stated Maturity Date may be extended by up to 364 days, subject to satisfaction of customary conditions.</w:t>
      </w:r>
    </w:p>
    <w:p>
      <w:pPr>
        <w:spacing w:after="0" w:line="176"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165" w:lineRule="exact"/>
        <w:rPr>
          <w:sz w:val="20"/>
          <w:szCs w:val="20"/>
          <w:color w:val="auto"/>
        </w:rPr>
      </w:pPr>
    </w:p>
    <w:p>
      <w:pPr>
        <w:ind w:right="220" w:firstLine="255"/>
        <w:spacing w:after="0" w:line="342" w:lineRule="auto"/>
        <w:rPr>
          <w:sz w:val="20"/>
          <w:szCs w:val="20"/>
          <w:color w:val="auto"/>
        </w:rPr>
      </w:pPr>
      <w:r>
        <w:rPr>
          <w:rFonts w:ascii="Arial" w:cs="Arial" w:eastAsia="Arial" w:hAnsi="Arial"/>
          <w:sz w:val="16"/>
          <w:szCs w:val="16"/>
          <w:color w:val="auto"/>
        </w:rPr>
        <w:t>We may borrow amounts in U.S. dollars or certain other permitted currencies. As of June 30, 2023, we had outstanding debt denominated in British pounds of GBP 10.3 million, and Euro of EUR 13.4 million on our Subscription Facility, included in the outstanding principal amount in the table above.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firstLine="255"/>
        <w:spacing w:after="0" w:line="263" w:lineRule="auto"/>
        <w:rPr>
          <w:sz w:val="20"/>
          <w:szCs w:val="20"/>
          <w:color w:val="auto"/>
        </w:rPr>
      </w:pPr>
      <w:r>
        <w:rPr>
          <w:rFonts w:ascii="Arial" w:cs="Arial" w:eastAsia="Arial" w:hAnsi="Arial"/>
          <w:sz w:val="18"/>
          <w:szCs w:val="18"/>
          <w:color w:val="auto"/>
        </w:rPr>
        <w:t>The Subscription Facility also provides for the issuance of letters of credit up to an aggregate amount of 10% of the Maximum Commitment. As of June 30, 2023, we had no outstanding letters of credit issued through the Subscription Facility. The amount available for borrowing under the Subscription Facility is reduced by any letters of credit issued through the Subscription Facility.</w:t>
      </w:r>
    </w:p>
    <w:p>
      <w:pPr>
        <w:spacing w:after="0" w:line="184"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The Subscription Facility includes customary events of default, as well as customary covenants, including restrictions on certain distributions and financial covenants.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aggregate commitments under the facility were $600 million and included an uncommitted accordion feature that allows us, under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circumstances, to increase the size of the facility up to $1 billion. On February 28, 2023, the aggregate commitments under the facility were upsized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On July 27, 2023, the aggregate commitments under the facility were upsized to $725 million. The Revolving Credit Facility will mature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January 19, 2028 (the “Revolving Credit Facility Maturity Date”). We may borrow amounts in U.S. dollars or certain other permitted currencies.</w:t>
      </w:r>
    </w:p>
    <w:p>
      <w:pPr>
        <w:spacing w:after="0" w:line="222"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76"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We may borrow amounts in U.S. dollars or certain other permitted currencies. As of June 30, 2023, we had outstanding debt denominated in Euro of EUR 4.1 million on its Revolving Credit Facility, included in the outstanding principal amount in the table above.</w:t>
      </w:r>
    </w:p>
    <w:p>
      <w:pPr>
        <w:spacing w:after="0" w:line="170"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$175 million. As of June 30, 2023,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2023 and December 31, 2022:</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2023</w:t>
            </w: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1"/>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137"/>
              <w:spacing w:after="0" w:line="141" w:lineRule="exact"/>
              <w:rPr>
                <w:sz w:val="20"/>
                <w:szCs w:val="20"/>
                <w:color w:val="auto"/>
              </w:rPr>
            </w:pPr>
            <w:r>
              <w:rPr>
                <w:rFonts w:ascii="Arial" w:cs="Arial" w:eastAsia="Arial" w:hAnsi="Arial"/>
                <w:sz w:val="14"/>
                <w:szCs w:val="14"/>
                <w:b w:val="1"/>
                <w:bCs w:val="1"/>
                <w:color w:val="auto"/>
                <w:w w:val="96"/>
              </w:rPr>
              <w:t>Aggregate Principal</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319"/>
              <w:spacing w:after="0" w:line="141" w:lineRule="exact"/>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97"/>
              <w:spacing w:after="0" w:line="141"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377"/>
              <w:spacing w:after="0" w:line="14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r>
      <w:tr>
        <w:trPr>
          <w:trHeight w:val="204"/>
        </w:trPr>
        <w:tc>
          <w:tcPr>
            <w:tcW w:w="2340" w:type="dxa"/>
            <w:vAlign w:val="bottom"/>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8"/>
              </w:rPr>
              <w:t>Amount Committed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7"/>
              <w:spacing w:after="0" w:line="204" w:lineRule="exact"/>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9"/>
                <w:szCs w:val="19"/>
                <w:b w:val="1"/>
                <w:bCs w:val="1"/>
                <w:color w:val="auto"/>
                <w:vertAlign w:val="superscript"/>
              </w:rPr>
              <w:t>(1)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7"/>
              <w:spacing w:after="0" w:line="204"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9"/>
                <w:szCs w:val="19"/>
                <w:b w:val="1"/>
                <w:bCs w:val="1"/>
                <w:color w:val="auto"/>
                <w:vertAlign w:val="superscript"/>
              </w:rPr>
              <w:t>(2)</w:t>
            </w:r>
          </w:p>
        </w:tc>
        <w:tc>
          <w:tcPr>
            <w:tcW w:w="120" w:type="dxa"/>
            <w:vAlign w:val="bottom"/>
          </w:tcPr>
          <w:p>
            <w:pPr>
              <w:spacing w:after="0"/>
              <w:rPr>
                <w:sz w:val="17"/>
                <w:szCs w:val="17"/>
                <w:color w:val="auto"/>
              </w:rPr>
            </w:pPr>
          </w:p>
        </w:tc>
      </w:tr>
      <w:tr>
        <w:trPr>
          <w:trHeight w:val="237"/>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Subscription Facility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FF0FC"/>
          </w:tcPr>
          <w:p>
            <w:pPr>
              <w:spacing w:after="0"/>
              <w:rPr>
                <w:sz w:val="20"/>
                <w:szCs w:val="20"/>
                <w:color w:val="auto"/>
              </w:rPr>
            </w:pPr>
          </w:p>
        </w:tc>
      </w:tr>
      <w:tr>
        <w:trPr>
          <w:trHeight w:val="237"/>
        </w:trPr>
        <w:tc>
          <w:tcPr>
            <w:tcW w:w="23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20"/>
                <w:szCs w:val="20"/>
                <w:color w:val="auto"/>
              </w:rPr>
            </w:pPr>
          </w:p>
        </w:tc>
      </w:tr>
      <w:tr>
        <w:trPr>
          <w:trHeight w:val="278"/>
        </w:trPr>
        <w:tc>
          <w:tcPr>
            <w:tcW w:w="2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-24765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76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hanging="512"/>
        <w:spacing w:after="0" w:line="273"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Subscription Facility, Revolving Credit Facility and asset coverage requirements.</w:t>
      </w:r>
    </w:p>
    <w:p>
      <w:pPr>
        <w:spacing w:after="0" w:line="1"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carrying values of the Subscription Facility and Revolving Credit Facility are presented net of deferred financing costs of $5.3 million and $4.9 million, respectively.</w:t>
      </w:r>
    </w:p>
    <w:p>
      <w:pPr>
        <w:spacing w:after="0" w:line="229"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1"/>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59"/>
              <w:spacing w:after="0" w:line="141" w:lineRule="exact"/>
              <w:rPr>
                <w:sz w:val="20"/>
                <w:szCs w:val="20"/>
                <w:color w:val="auto"/>
              </w:rPr>
            </w:pPr>
            <w:r>
              <w:rPr>
                <w:rFonts w:ascii="Arial" w:cs="Arial" w:eastAsia="Arial" w:hAnsi="Arial"/>
                <w:sz w:val="14"/>
                <w:szCs w:val="14"/>
                <w:b w:val="1"/>
                <w:bCs w:val="1"/>
                <w:color w:val="auto"/>
                <w:w w:val="93"/>
              </w:rPr>
              <w:t>Aggregate Principal</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301"/>
              <w:spacing w:after="0" w:line="141" w:lineRule="exact"/>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ind w:right="439"/>
              <w:spacing w:after="0" w:line="141"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399"/>
              <w:spacing w:after="0" w:line="14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r>
      <w:tr>
        <w:trPr>
          <w:trHeight w:val="204"/>
        </w:trPr>
        <w:tc>
          <w:tcPr>
            <w:tcW w:w="25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5"/>
              </w:rPr>
              <w:t>Amount Committed</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9"/>
              <w:spacing w:after="0" w:line="204" w:lineRule="exact"/>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9"/>
                <w:szCs w:val="19"/>
                <w:b w:val="1"/>
                <w:bCs w:val="1"/>
                <w:color w:val="auto"/>
                <w:vertAlign w:val="superscript"/>
              </w:rPr>
              <w:t>(1)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9"/>
              <w:spacing w:after="0" w:line="204"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9"/>
                <w:szCs w:val="19"/>
                <w:b w:val="1"/>
                <w:bCs w:val="1"/>
                <w:color w:val="auto"/>
                <w:vertAlign w:val="superscript"/>
              </w:rPr>
              <w:t>(2)</w:t>
            </w:r>
          </w:p>
        </w:tc>
        <w:tc>
          <w:tcPr>
            <w:tcW w:w="120" w:type="dxa"/>
            <w:vAlign w:val="bottom"/>
          </w:tcPr>
          <w:p>
            <w:pPr>
              <w:spacing w:after="0"/>
              <w:rPr>
                <w:sz w:val="17"/>
                <w:szCs w:val="17"/>
                <w:color w:val="auto"/>
              </w:rPr>
            </w:pPr>
          </w:p>
        </w:tc>
      </w:tr>
      <w:tr>
        <w:trPr>
          <w:trHeight w:val="236"/>
        </w:trPr>
        <w:tc>
          <w:tcPr>
            <w:tcW w:w="2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Subscription Facility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2500" w:type="dxa"/>
            <w:vAlign w:val="bottom"/>
          </w:tcPr>
          <w:p>
            <w:pPr>
              <w:ind w:left="20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700.0</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538.0</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20"/>
                <w:szCs w:val="20"/>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-187960</wp:posOffset>
            </wp:positionV>
            <wp:extent cx="7683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685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-187960</wp:posOffset>
            </wp:positionV>
            <wp:extent cx="7747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Subscription Facility and asset coverage requirements.</w:t>
      </w:r>
    </w:p>
    <w:p>
      <w:pPr>
        <w:spacing w:after="0" w:line="46" w:lineRule="exact"/>
        <w:rPr>
          <w:rFonts w:ascii="Arial" w:cs="Arial" w:eastAsia="Arial" w:hAnsi="Arial"/>
          <w:sz w:val="16"/>
          <w:szCs w:val="16"/>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carrying value of the Subscription Facility is presented net deferred financing costs of $3.9 million.</w:t>
      </w:r>
    </w:p>
    <w:p>
      <w:pPr>
        <w:spacing w:after="0" w:line="211" w:lineRule="exact"/>
        <w:rPr>
          <w:sz w:val="20"/>
          <w:szCs w:val="20"/>
          <w:color w:val="auto"/>
        </w:rPr>
      </w:pPr>
    </w:p>
    <w:p>
      <w:pPr>
        <w:ind w:right="640" w:firstLine="255"/>
        <w:spacing w:after="0" w:line="277" w:lineRule="auto"/>
        <w:rPr>
          <w:sz w:val="20"/>
          <w:szCs w:val="20"/>
          <w:color w:val="auto"/>
        </w:rPr>
      </w:pPr>
      <w:r>
        <w:rPr>
          <w:rFonts w:ascii="Arial" w:cs="Arial" w:eastAsia="Arial" w:hAnsi="Arial"/>
          <w:sz w:val="18"/>
          <w:szCs w:val="18"/>
          <w:color w:val="auto"/>
        </w:rPr>
        <w:t>As of June 30, 2023, we were in compliance with the terms of our debt arrangements. We intend to continue to utilize our credit facility to fund investments and for other general corporate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2023 and December 31, 2022 we had the following commitments to fund investments in current portfolio companies:</w:t>
      </w:r>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tcPr>
          <w:p>
            <w:pPr>
              <w:spacing w:after="0"/>
              <w:rPr>
                <w:sz w:val="20"/>
                <w:szCs w:val="20"/>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Alaska Bidco Oy - Delayed Draw &amp; Revolver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Arrow Buyer, Inc. - Delayed Draw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Avalara, Inc. -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Banyan Software Holdings, LLC - Delayed Draw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BTRS Holdings, Inc. - Delayed Draw &amp;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Coupa Holdings, LLC - Delayed Draw &amp;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 Parent, Inc. -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Edge Bidco B.V - Delayed Draw &amp;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Erling Lux Bidco SARL - Delayed Draw &amp;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Galileo Parent, Inc. -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Hirevue, Inc. - Revolver</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Hornetsecurity Holding GmbH - Delayed Draw &amp; Revolver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Laramie Energy, LLC - Delayed Draw</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OutSystems Luxco SARL - Delayed Draw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Ping Identity Holding Corp. - Revolver</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500" w:type="dxa"/>
            <w:vAlign w:val="bottom"/>
          </w:tcPr>
          <w:p>
            <w:pPr>
              <w:ind w:left="200"/>
              <w:spacing w:after="0" w:line="236"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-187960</wp:posOffset>
            </wp:positionV>
            <wp:extent cx="685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jc w:val="both"/>
        <w:ind w:left="520" w:right="24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As of June 30, 2023, we did not have any unfunded commitments to fund new investments to new borrowers that were not current portfolio companies as of such date.</w:t>
      </w:r>
    </w:p>
    <w:p>
      <w:pPr>
        <w:spacing w:after="0" w:line="170" w:lineRule="exact"/>
        <w:rPr>
          <w:sz w:val="20"/>
          <w:szCs w:val="20"/>
          <w:color w:val="auto"/>
        </w:rPr>
      </w:pPr>
    </w:p>
    <w:p>
      <w:pPr>
        <w:ind w:right="400" w:firstLine="255"/>
        <w:spacing w:after="0" w:line="342" w:lineRule="auto"/>
        <w:rPr>
          <w:sz w:val="20"/>
          <w:szCs w:val="20"/>
          <w:color w:val="auto"/>
        </w:rPr>
      </w:pPr>
      <w:r>
        <w:rPr>
          <w:rFonts w:ascii="Arial" w:cs="Arial" w:eastAsia="Arial" w:hAnsi="Arial"/>
          <w:sz w:val="16"/>
          <w:szCs w:val="16"/>
          <w:color w:val="auto"/>
        </w:rPr>
        <w:t>From time to time, we may become a party to certain legal proceedings incidental to the normal course of our business. As of June 30, 2023, management is not aware of any material pending or threatened litigation that would require accounting recognition or financial statement disclosure.</w:t>
      </w:r>
    </w:p>
    <w:p>
      <w:pPr>
        <w:spacing w:after="0" w:line="124"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2023 is as follows:</w:t>
      </w:r>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88"/>
              </w:rPr>
              <w:t>Less than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1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1 year</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1-3 years</w:t>
            </w:r>
          </w:p>
        </w:tc>
        <w:tc>
          <w:tcPr>
            <w:tcW w:w="24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After 5 years</w:t>
            </w:r>
          </w:p>
        </w:tc>
        <w:tc>
          <w:tcPr>
            <w:tcW w:w="100" w:type="dxa"/>
            <w:vAlign w:val="bottom"/>
          </w:tcPr>
          <w:p>
            <w:pPr>
              <w:spacing w:after="0"/>
              <w:rPr>
                <w:sz w:val="16"/>
                <w:szCs w:val="16"/>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Subscription Facility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77"/>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Contractual Obligations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1,120.5</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60" w:firstLine="255"/>
        <w:spacing w:after="0" w:line="342" w:lineRule="auto"/>
        <w:rPr>
          <w:sz w:val="20"/>
          <w:szCs w:val="20"/>
          <w:color w:val="auto"/>
        </w:rPr>
      </w:pPr>
      <w:r>
        <w:rPr>
          <w:rFonts w:ascii="Arial" w:cs="Arial" w:eastAsia="Arial" w:hAnsi="Arial"/>
          <w:sz w:val="16"/>
          <w:szCs w:val="16"/>
          <w:color w:val="auto"/>
        </w:rPr>
        <w:t>We intend to elect to be regulated and qualify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220" w:hanging="257"/>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20" w:right="280" w:hanging="257"/>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As a RIC, we (but not our shareholders) generally will not be subject to U.S. federal income tax on investment company taxable income and net capital gains that we distribute to our shareholders.</w:t>
      </w:r>
    </w:p>
    <w:p>
      <w:pPr>
        <w:spacing w:after="0" w:line="170" w:lineRule="exact"/>
        <w:rPr>
          <w:sz w:val="20"/>
          <w:szCs w:val="20"/>
          <w:color w:val="auto"/>
        </w:rPr>
      </w:pPr>
    </w:p>
    <w:p>
      <w:pPr>
        <w:jc w:val="both"/>
        <w:ind w:right="24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jc w:val="both"/>
        <w:ind w:right="14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20" w:hanging="257"/>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7"/>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jc w:val="both"/>
        <w:ind w:right="240" w:firstLine="255"/>
        <w:spacing w:after="0" w:line="263" w:lineRule="auto"/>
        <w:rPr>
          <w:sz w:val="20"/>
          <w:szCs w:val="20"/>
          <w:color w:val="auto"/>
        </w:rPr>
      </w:pPr>
      <w:r>
        <w:rPr>
          <w:rFonts w:ascii="Arial" w:cs="Arial" w:eastAsia="Arial" w:hAnsi="Arial"/>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84"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8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shares of Common Shares will be subject to the same U.S. federal, state and local tax consequences as if they received cash distributions.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Investment Advisory Agreement;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Administration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255"/>
        <w:spacing w:after="0" w:line="296"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disclosed in “Item 1A. Risk Factors” of our Annual Report on Form 10-K for the fiscal year ended December 31, 2022, filed with the SEC on February 17, 2023, and elsewhere in our filings with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 and in combination of:</w:t>
      </w:r>
    </w:p>
    <w:p>
      <w:pPr>
        <w:spacing w:after="0" w:line="62" w:lineRule="exact"/>
        <w:rPr>
          <w:sz w:val="20"/>
          <w:szCs w:val="20"/>
          <w:color w:val="auto"/>
        </w:rPr>
      </w:pPr>
    </w:p>
    <w:p>
      <w:pPr>
        <w:ind w:left="520" w:hanging="25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value of the portfolio company’s net debt and equity);</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280" w:hanging="257"/>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40" w:hanging="257"/>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380" w:hanging="257"/>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60" w:hanging="257"/>
        <w:spacing w:after="0" w:line="26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2023,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180" w:firstLine="255"/>
        <w:spacing w:after="0" w:line="254" w:lineRule="auto"/>
        <w:rPr>
          <w:sz w:val="20"/>
          <w:szCs w:val="20"/>
          <w:color w:val="auto"/>
        </w:rPr>
      </w:pPr>
      <w:r>
        <w:rPr>
          <w:rFonts w:ascii="Arial" w:cs="Arial" w:eastAsia="Arial" w:hAnsi="Arial"/>
          <w:sz w:val="18"/>
          <w:szCs w:val="18"/>
          <w:color w:val="auto"/>
        </w:rPr>
        <w:t xml:space="preserve">We apply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20" w:hanging="257"/>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520" w:right="580" w:hanging="257"/>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8"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our consolidated financial statements included in this Form 10-Q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4"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100" w:firstLine="255"/>
        <w:spacing w:after="0" w:line="259" w:lineRule="auto"/>
        <w:rPr>
          <w:sz w:val="20"/>
          <w:szCs w:val="20"/>
          <w:color w:val="auto"/>
        </w:rPr>
      </w:pPr>
      <w:r>
        <w:rPr>
          <w:rFonts w:ascii="Arial" w:cs="Arial" w:eastAsia="Arial" w:hAnsi="Arial"/>
          <w:sz w:val="18"/>
          <w:szCs w:val="18"/>
          <w:color w:val="auto"/>
        </w:rPr>
        <w:t>We have elected to be treated as a BDC under the 1940 Act. We also intend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p>
    <w:p>
      <w:pPr>
        <w:spacing w:after="0" w:line="18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For the three and six months ended June 30, 2023, the Company recorded a net expense of $0.4 million and $0.7 million, respectively, for U.S. federal excise tax and other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2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400"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As of June 30, 2023, 100% of our debt investments based on fair value in our portfolio bore interest at floating rates, with 100% of these subject to interest rate floors. Our credit facility also bears interest at floating rates.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3" w:name="page44"/>
    <w:bookmarkEnd w:id="43"/>
    <w:p>
      <w:pPr>
        <w:jc w:val="both"/>
        <w:ind w:right="100" w:firstLine="255"/>
        <w:spacing w:after="0" w:line="263" w:lineRule="auto"/>
        <w:rPr>
          <w:sz w:val="20"/>
          <w:szCs w:val="20"/>
          <w:color w:val="auto"/>
        </w:rPr>
      </w:pPr>
      <w:r>
        <w:rPr>
          <w:rFonts w:ascii="Arial" w:cs="Arial" w:eastAsia="Arial" w:hAnsi="Arial"/>
          <w:sz w:val="18"/>
          <w:szCs w:val="18"/>
          <w:color w:val="auto"/>
        </w:rPr>
        <w:t>Assuming that our consolidated balance sheet as of June 30,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300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Basis Point Change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Interest Income</w:t>
            </w:r>
          </w:p>
        </w:tc>
        <w:tc>
          <w:tcPr>
            <w:tcW w:w="140" w:type="dxa"/>
            <w:vAlign w:val="bottom"/>
          </w:tcPr>
          <w:p>
            <w:pPr>
              <w:spacing w:after="0"/>
              <w:rPr>
                <w:sz w:val="16"/>
                <w:szCs w:val="16"/>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 Expense</w:t>
            </w:r>
          </w:p>
        </w:tc>
        <w:tc>
          <w:tcPr>
            <w:tcW w:w="340" w:type="dxa"/>
            <w:vAlign w:val="bottom"/>
          </w:tcPr>
          <w:p>
            <w:pPr>
              <w:spacing w:after="0"/>
              <w:rPr>
                <w:sz w:val="16"/>
                <w:szCs w:val="16"/>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Net Interest Income</w:t>
            </w:r>
          </w:p>
        </w:tc>
      </w:tr>
      <w:tr>
        <w:trPr>
          <w:trHeight w:val="237"/>
        </w:trPr>
        <w:tc>
          <w:tcPr>
            <w:tcW w:w="3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Up 300 basis points</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20"/>
                <w:szCs w:val="20"/>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r>
      <w:tr>
        <w:trPr>
          <w:trHeight w:val="24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 100 basis points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21"/>
                <w:szCs w:val="21"/>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Down 25 basis points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4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Down 50 basis points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(4.3 )</w:t>
            </w:r>
          </w:p>
        </w:tc>
      </w:tr>
    </w:tbl>
    <w:p>
      <w:pPr>
        <w:spacing w:after="0" w:line="20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400"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40"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44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For information regarding factors that could affect our results of operations, financial condition and liquidity, see the risk factors discussed in Part I, “Item 1A. Risk Factors” in our Annual Report on Form 10-K for the fiscal year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Refer to our Current Reports on Form 8-K filed with SEC on June 30, 2023 for information about unregistered sales of our equity securities during the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80" w:hanging="517"/>
        <w:spacing w:after="0"/>
        <w:tabs>
          <w:tab w:leader="none" w:pos="7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gridSpan w:val="4"/>
          </w:tcPr>
          <w:p>
            <w:pPr>
              <w:spacing w:after="0"/>
              <w:rPr>
                <w:rFonts w:ascii="Arial" w:cs="Arial" w:eastAsia="Arial" w:hAnsi="Arial"/>
                <w:sz w:val="18"/>
                <w:szCs w:val="18"/>
                <w:color w:val="0000FF"/>
              </w:rPr>
            </w:pPr>
            <w:hyperlink r:id="rId285">
              <w:r>
                <w:rPr>
                  <w:rFonts w:ascii="Arial" w:cs="Arial" w:eastAsia="Arial" w:hAnsi="Arial"/>
                  <w:sz w:val="18"/>
                  <w:szCs w:val="18"/>
                  <w:color w:val="0000FF"/>
                </w:rPr>
                <w:t xml:space="preserve">Second Amended and Restated Declaration of Trust </w:t>
              </w:r>
            </w:hyperlink>
            <w:r>
              <w:rPr>
                <w:rFonts w:ascii="Arial" w:cs="Arial" w:eastAsia="Arial" w:hAnsi="Arial"/>
                <w:sz w:val="24"/>
                <w:szCs w:val="24"/>
                <w:color w:val="000000"/>
                <w:vertAlign w:val="superscript"/>
              </w:rPr>
              <w:t>(1)</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80" w:type="dxa"/>
            <w:vAlign w:val="bottom"/>
            <w:tcBorders>
              <w:left w:val="single" w:sz="8" w:color="0000FF"/>
            </w:tcBorders>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10100" w:type="dxa"/>
            <w:vAlign w:val="bottom"/>
            <w:gridSpan w:val="4"/>
          </w:tcPr>
          <w:p>
            <w:pPr>
              <w:spacing w:after="0"/>
              <w:rPr>
                <w:rFonts w:ascii="Arial" w:cs="Arial" w:eastAsia="Arial" w:hAnsi="Arial"/>
                <w:sz w:val="18"/>
                <w:szCs w:val="18"/>
                <w:color w:val="0000FF"/>
              </w:rPr>
            </w:pPr>
            <w:hyperlink r:id="rId286">
              <w:r>
                <w:rPr>
                  <w:rFonts w:ascii="Arial" w:cs="Arial" w:eastAsia="Arial" w:hAnsi="Arial"/>
                  <w:sz w:val="18"/>
                  <w:szCs w:val="18"/>
                  <w:color w:val="0000FF"/>
                </w:rPr>
                <w:t xml:space="preserve">Bylaws </w:t>
              </w:r>
            </w:hyperlink>
            <w:r>
              <w:rPr>
                <w:rFonts w:ascii="Arial" w:cs="Arial" w:eastAsia="Arial" w:hAnsi="Arial"/>
                <w:sz w:val="24"/>
                <w:szCs w:val="24"/>
                <w:color w:val="000000"/>
                <w:vertAlign w:val="superscript"/>
              </w:rPr>
              <w:t>(2)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gridSpan w:val="4"/>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302 of the Sarbanes-Oxley Act</w:t>
            </w: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5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5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4"/>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302 of the Sarbanes-Oxley Act</w:t>
            </w:r>
          </w:p>
        </w:tc>
      </w:tr>
      <w:tr>
        <w:trPr>
          <w:trHeight w:val="20"/>
        </w:trPr>
        <w:tc>
          <w:tcPr>
            <w:tcW w:w="1060" w:type="dxa"/>
            <w:vAlign w:val="bottom"/>
          </w:tcPr>
          <w:p>
            <w:pPr>
              <w:spacing w:after="0" w:line="20" w:lineRule="exact"/>
              <w:rPr>
                <w:sz w:val="1"/>
                <w:szCs w:val="1"/>
                <w:color w:val="auto"/>
              </w:rPr>
            </w:pPr>
          </w:p>
        </w:tc>
        <w:tc>
          <w:tcPr>
            <w:tcW w:w="100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80" w:type="dxa"/>
            <w:vAlign w:val="bottom"/>
            <w:tcBorders>
              <w:left w:val="single" w:sz="8" w:color="0000FF"/>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60" w:hanging="1039"/>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3810</wp:posOffset>
            </wp:positionV>
            <wp:extent cx="63595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359525" cy="8255"/>
                    </a:xfrm>
                    <a:prstGeom prst="rect">
                      <a:avLst/>
                    </a:prstGeom>
                    <a:noFill/>
                  </pic:spPr>
                </pic:pic>
              </a:graphicData>
            </a:graphic>
          </wp:anchor>
        </w:drawing>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18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86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60" w:hanging="1039"/>
        <w:spacing w:after="0"/>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Registration Statement on Form 10 (File No. 000-56455), filed on August 22, 2022.</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3.2 to the Company’s Registration Statement on Form 10 (File No. 000-56455), filed on June 28, 2022.</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Lending Partners</w:t>
      </w:r>
    </w:p>
    <w:p>
      <w:pPr>
        <w:spacing w:after="0" w:line="306" w:lineRule="exact"/>
        <w:rPr>
          <w:sz w:val="20"/>
          <w:szCs w:val="20"/>
          <w:color w:val="auto"/>
        </w:rPr>
      </w:pPr>
    </w:p>
    <w:p>
      <w:pPr>
        <w:ind w:left="20"/>
        <w:spacing w:after="0"/>
        <w:tabs>
          <w:tab w:leader="none" w:pos="6600" w:val="left"/>
          <w:tab w:leader="none" w:pos="714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23495</wp:posOffset>
            </wp:positionV>
            <wp:extent cx="25977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spacing w:after="0" w:line="3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Joshua Easterly</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ind w:left="20"/>
        <w:spacing w:after="0"/>
        <w:tabs>
          <w:tab w:leader="none" w:pos="6600" w:val="left"/>
          <w:tab w:leader="none" w:pos="714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23495</wp:posOffset>
            </wp:positionV>
            <wp:extent cx="25977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spacing w:after="0" w:line="3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Ian Simmonds</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1140" w:hanging="877"/>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Lending Partners (the “registrant”);</w:t>
      </w:r>
    </w:p>
    <w:p>
      <w:pPr>
        <w:spacing w:after="0" w:line="117" w:lineRule="exact"/>
        <w:rPr>
          <w:rFonts w:ascii="Arial" w:cs="Arial" w:eastAsia="Arial" w:hAnsi="Arial"/>
          <w:sz w:val="18"/>
          <w:szCs w:val="18"/>
          <w:color w:val="auto"/>
        </w:rPr>
      </w:pPr>
    </w:p>
    <w:p>
      <w:pPr>
        <w:ind w:left="780" w:right="320" w:hanging="517"/>
        <w:spacing w:after="0" w:line="263"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80" w:right="480" w:hanging="517"/>
        <w:spacing w:after="0" w:line="342" w:lineRule="auto"/>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780" w:hanging="517"/>
        <w:spacing w:after="0" w:line="291" w:lineRule="auto"/>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280" w:right="120" w:hanging="509"/>
        <w:spacing w:after="0" w:line="263" w:lineRule="auto"/>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80" w:right="220" w:hanging="509"/>
        <w:spacing w:after="0" w:line="342" w:lineRule="auto"/>
        <w:tabs>
          <w:tab w:leader="none" w:pos="12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80" w:hanging="509"/>
        <w:spacing w:after="0" w:line="263" w:lineRule="auto"/>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780" w:right="700" w:hanging="517"/>
        <w:spacing w:after="0" w:line="263"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75" w:lineRule="exact"/>
        <w:rPr>
          <w:rFonts w:ascii="Arial" w:cs="Arial" w:eastAsia="Arial" w:hAnsi="Arial"/>
          <w:sz w:val="18"/>
          <w:szCs w:val="18"/>
          <w:color w:val="auto"/>
        </w:rPr>
      </w:pPr>
    </w:p>
    <w:p>
      <w:pPr>
        <w:ind w:left="1280" w:right="460" w:hanging="509"/>
        <w:spacing w:after="0" w:line="342" w:lineRule="auto"/>
        <w:tabs>
          <w:tab w:leader="none" w:pos="12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140" w:hanging="509"/>
        <w:spacing w:after="0" w:line="277" w:lineRule="auto"/>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Joshua Easterly</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1140" w:hanging="87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Lending Partners (the “registrant”);</w:t>
      </w:r>
    </w:p>
    <w:p>
      <w:pPr>
        <w:spacing w:after="0" w:line="117" w:lineRule="exact"/>
        <w:rPr>
          <w:rFonts w:ascii="Arial" w:cs="Arial" w:eastAsia="Arial" w:hAnsi="Arial"/>
          <w:sz w:val="18"/>
          <w:szCs w:val="18"/>
          <w:color w:val="auto"/>
        </w:rPr>
      </w:pPr>
    </w:p>
    <w:p>
      <w:pPr>
        <w:ind w:left="780" w:right="320" w:hanging="517"/>
        <w:spacing w:after="0" w:line="263"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80" w:right="480" w:hanging="517"/>
        <w:spacing w:after="0" w:line="342"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780" w:hanging="517"/>
        <w:spacing w:after="0" w:line="291"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280" w:right="120" w:hanging="509"/>
        <w:spacing w:after="0" w:line="263"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80" w:right="220" w:hanging="509"/>
        <w:spacing w:after="0" w:line="342" w:lineRule="auto"/>
        <w:tabs>
          <w:tab w:leader="none" w:pos="12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80" w:hanging="509"/>
        <w:spacing w:after="0" w:line="263"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780" w:right="700" w:hanging="517"/>
        <w:spacing w:after="0" w:line="263"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75" w:lineRule="exact"/>
        <w:rPr>
          <w:rFonts w:ascii="Arial" w:cs="Arial" w:eastAsia="Arial" w:hAnsi="Arial"/>
          <w:sz w:val="18"/>
          <w:szCs w:val="18"/>
          <w:color w:val="auto"/>
        </w:rPr>
      </w:pPr>
    </w:p>
    <w:p>
      <w:pPr>
        <w:ind w:left="1280" w:right="460" w:hanging="509"/>
        <w:spacing w:after="0" w:line="342" w:lineRule="auto"/>
        <w:tabs>
          <w:tab w:leader="none" w:pos="12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140" w:hanging="509"/>
        <w:spacing w:after="0" w:line="277"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Ian Simmonds</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connection with the quarterly report on Form 10-Q of Sixth Street Lending Partners (the “Company”) for the quarterly period ended June 30,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60" w:hanging="243"/>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60" w:hanging="243"/>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Joshua Easterly</w:t>
            </w:r>
          </w:p>
        </w:tc>
      </w:tr>
      <w:tr>
        <w:trPr>
          <w:trHeight w:val="242"/>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43"/>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880" w:type="dxa"/>
            <w:vAlign w:val="bottom"/>
          </w:tcPr>
          <w:p>
            <w:pPr>
              <w:ind w:left="120"/>
              <w:spacing w:after="0"/>
              <w:rPr>
                <w:sz w:val="20"/>
                <w:szCs w:val="20"/>
                <w:color w:val="auto"/>
              </w:rPr>
            </w:pPr>
            <w:r>
              <w:rPr>
                <w:rFonts w:ascii="Arial" w:cs="Arial" w:eastAsia="Arial" w:hAnsi="Arial"/>
                <w:sz w:val="18"/>
                <w:szCs w:val="18"/>
                <w:color w:val="auto"/>
              </w:rPr>
              <w:t>August 4, 2023</w:t>
            </w:r>
          </w:p>
        </w:tc>
      </w:tr>
      <w:tr>
        <w:trPr>
          <w:trHeight w:val="520"/>
        </w:trPr>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Ian Simmonds</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3880" w:type="dxa"/>
            <w:vAlign w:val="bottom"/>
          </w:tcPr>
          <w:p>
            <w:pPr>
              <w:ind w:left="120"/>
              <w:spacing w:after="0"/>
              <w:rPr>
                <w:sz w:val="20"/>
                <w:szCs w:val="20"/>
                <w:color w:val="auto"/>
              </w:rPr>
            </w:pPr>
            <w:r>
              <w:rPr>
                <w:rFonts w:ascii="Arial" w:cs="Arial" w:eastAsia="Arial" w:hAnsi="Arial"/>
                <w:sz w:val="18"/>
                <w:szCs w:val="18"/>
                <w:color w:val="auto"/>
              </w:rPr>
              <w:t>Ian Simmonds</w:t>
            </w:r>
          </w:p>
        </w:tc>
      </w:tr>
      <w:tr>
        <w:trPr>
          <w:trHeight w:val="242"/>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43"/>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880" w:type="dxa"/>
            <w:vAlign w:val="bottom"/>
          </w:tcPr>
          <w:p>
            <w:pPr>
              <w:ind w:left="120"/>
              <w:spacing w:after="0"/>
              <w:rPr>
                <w:sz w:val="20"/>
                <w:szCs w:val="20"/>
                <w:color w:val="auto"/>
              </w:rPr>
            </w:pPr>
            <w:r>
              <w:rPr>
                <w:rFonts w:ascii="Arial" w:cs="Arial" w:eastAsia="Arial" w:hAnsi="Arial"/>
                <w:sz w:val="18"/>
                <w:szCs w:val="18"/>
                <w:color w:val="auto"/>
              </w:rPr>
              <w:t>August 4, 2023</w:t>
            </w:r>
          </w:p>
        </w:tc>
      </w:tr>
    </w:tbl>
    <w:p>
      <w:pPr>
        <w:spacing w:after="0" w:line="215"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6"/>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45"/>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0"/>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32"/>
    </w:lvl>
  </w:abstractNum>
  <w:abstractNum w:abstractNumId="38">
    <w:nsid w:val="153EA438"/>
    <w:multiLevelType w:val="hybridMultilevel"/>
    <w:lvl w:ilvl="0">
      <w:lvlJc w:val="left"/>
      <w:lvlText w:val="%1"/>
      <w:numFmt w:val="decimal"/>
      <w:start w:val="1"/>
    </w:lvl>
    <w:lvl w:ilvl="1">
      <w:lvlJc w:val="left"/>
      <w:lvlText w:val="%2"/>
      <w:numFmt w:val="decimal"/>
      <w:start w:val="104"/>
    </w:lvl>
  </w:abstractNum>
  <w:abstractNum w:abstractNumId="39">
    <w:nsid w:val="3855585C"/>
    <w:multiLevelType w:val="hybridMultilevel"/>
    <w:lvl w:ilvl="0">
      <w:lvlJc w:val="left"/>
      <w:lvlText w:val="(%1)"/>
      <w:numFmt w:val="decimal"/>
      <w:start w:val="1"/>
    </w:lvl>
    <w:lvl w:ilvl="1">
      <w:lvlJc w:val="left"/>
      <w:lvlText w:val="%2"/>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85" Type="http://schemas.openxmlformats.org/officeDocument/2006/relationships/hyperlink" Target="https://www.sec.gov/Archives/edgar/data/1925309/000119312522226504/d260658dex31.htm" TargetMode="External"/><Relationship Id="rId286" Type="http://schemas.openxmlformats.org/officeDocument/2006/relationships/hyperlink" Target="https://www.sec.gov/Archives/edgar/data/1925309/000119312522183512/d26065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2023-08-04T15:17:13Z</dcterms:created>
  <dcterms:modified xsi:type="dcterms:W3CDTF">2023-08-04T15:17:13Z</dcterms:modified>
</cp:coreProperties>
</file>