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814-01543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88-1710161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2100 McKinney Avenue, Suite 1500</w:t>
      </w:r>
    </w:p>
    <w:p>
      <w:pPr>
        <w:spacing w:after="0" w:line="43"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75201</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324" w:space="720"/>
            <w:col w:w="298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9, 2024, Sixth Street Lending Partners (the “Company”) entered into a purchase agreement (the “Purchase Agreement”) by and among the Company, Sixth Street Lending Partners Advisers, LLC (the “Adviser”) and BofA Securities, Inc., as representative of the several initial purchasers named in Schedule 1 thereto (the “Initial Purchasers”), in connection with the issuance and sale of $600.0 million aggregate principal amount of the Company’s 5.750% Notes due 2030 (the “Notes”) in a private offering to qualified institutional buyers in accordance with Rule 144A under the Securities Act of 1933, as amended (the “Securities Act”), and to non-U.S. persons in transactions outside the United States in reliance on Regulation S under the Securities Act.</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Notes will be issued at 99.841% of their par value with a coupon at 5.750%. Interest on the Notes will be payable semi-annually on January 15 and July 15 of each year commencing on January 15, 2025. The Notes will mature on January 15, 2030. The offering is expected to close, subject to customary closing conditions, on September 16, 2024. The Purchase Agreement contains customary representations, warranties, conditions to closing, indemnification rights and obligations of the parties and termination provisions. Pursuant to the Purchase Agreement, on or prior to the closing of the offering, the Company will enter into a registration rights agreement with BofA Securities, Inc. with respect to the Notes.</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intends to use the net proceeds of the offering of the Notes to pay down a portion of the outstanding indebtedness on its revolving credit facility and/or its subscription facility.</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neither an offer to sell nor a solicitation of an offer to buy any securities of the Company or its subsidiaries.</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does not purport to be complete and is qualified in its entirety by reference to the full text of the Purchase Agreement, filed as Exhibit 10.1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9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Purchase Agreement dated September 9, 2024, by and among Sixth Street Lending Partners, Sixth Street Lending Partners Advisers, LLC</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and BofA Securities, Inc., as representative of the several initial purchasers named therein.</w:t>
            </w: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6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(Registrant)</w:t>
      </w:r>
    </w:p>
    <w:p>
      <w:pPr>
        <w:spacing w:after="0" w:line="207"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September 13,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00"/>
          </w:cols>
          <w:pgMar w:left="440" w:top="293" w:right="459" w:bottom="1440" w:gutter="0" w:footer="0" w:header="0"/>
        </w:sectPr>
      </w:pPr>
    </w:p>
    <w:bookmarkStart w:id="3" w:name="page4"/>
    <w:bookmarkEnd w:id="3"/>
    <w:p>
      <w:pPr>
        <w:ind w:left="10100"/>
        <w:spacing w:after="0"/>
        <w:rPr>
          <w:sz w:val="20"/>
          <w:szCs w:val="20"/>
          <w:color w:val="auto"/>
        </w:rPr>
      </w:pPr>
      <w:r>
        <w:rPr>
          <w:rFonts w:ascii="Times New Roman" w:cs="Times New Roman" w:eastAsia="Times New Roman" w:hAnsi="Times New Roman"/>
          <w:sz w:val="18"/>
          <w:szCs w:val="18"/>
          <w:b w:val="1"/>
          <w:bCs w:val="1"/>
          <w:i w:val="1"/>
          <w:i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$600,000,000</w:t>
      </w:r>
    </w:p>
    <w:p>
      <w:pPr>
        <w:spacing w:after="0" w:line="22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5.750%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 Delaware statutory trust (the “Company”), proposes to issue and sell to the several Initial Purchasers listed in Schedule 1 hereto (the “Initial Purchasers”), for whom you are acting as representative (the “Representative”), $600,000,000 aggregate principal amount of 5.750% Notes due 2030 (the “Notes”).</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issued under an indenture dated March 11, 2024 (the “Base Indenture”), as supplemented by the Third Supplemental Indenture, to be dated as of September 16, 2024 (the “Third Supplemental Indenture”; the Base Indenture, as supplemented by the Third Supplemental Indenture, the “Indenture”) between the Company and U.S. Bank Trust Company, National Association, as trustee (the “Trustee”). The Notes will be issued in book-entry form to Cede &amp; Co. as nominee of the Depository Trust Company (“DTC”) pursuant to a blanket letter of representations, dated as of March 11, 2024, between the Company and DTC.</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Initial Purchasers propose to make an offering of the Notes as soon as the Representative deems advisable after this Agreement has been executed and delivered.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several Initial Purchasers concerning the purchase and sale of the Notes, as follows:</w:t>
      </w:r>
    </w:p>
    <w:p>
      <w:pPr>
        <w:spacing w:after="0" w:line="225" w:lineRule="exact"/>
        <w:rPr>
          <w:sz w:val="20"/>
          <w:szCs w:val="20"/>
          <w:color w:val="auto"/>
        </w:rPr>
      </w:pPr>
    </w:p>
    <w:p>
      <w:pPr>
        <w:ind w:right="180" w:firstLine="436"/>
        <w:spacing w:after="0" w:line="258"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The Notes will be offered and sold to the Initial Purchasers without being registered under the Securities Act of 1933, as amended (the “Securities Act”), in reliance upon an exemption therefrom. The Company has prepared a preliminary offering memorandum, dated September 9, 2024 (the “Preliminary Offering Memorandum”) and will prepare an offering memorandum dated the date hereof (the “Offering Memorandum”) setting forth information concerning the Company and the Notes. Copies of the Preliminary Offering Memorandum have been, and copies of the Offering Memorandum will be,</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by the Company to the Initial Purchasers pursuant to the terms of this Agreement. The Company hereby confirms that it has authorized the use of the Preliminary Offering Memorandum, the Pricing Disclosure Package (as defined below) and the Offering Memorandum in connection with the offering and resale of the Notes by the Initial Purchasers in the manner contemplated by this Agreement. Capitalized terms used but not defined herein shall have the meanings given to such terms in the Offering Memorandum.</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 No. 814-01543) (the “Notification of Election”) was filed, pursuant to Section 54(a) of the Investment Company Act of 1940, as amended, and the rules and regulations of the Securities and Exchange Commission (the “Commission”) thereunder (collectively, the “Investment Company Act”) with the Commission on June 28, 2022.</w:t>
      </w:r>
    </w:p>
    <w:p>
      <w:pPr>
        <w:spacing w:after="0" w:line="180"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an Investment Advisory and Management Agreement, dated as of June 28, 2022 (the “Investment Management Agreement”), with Sixth Street Lending Partners Advisers, LLC, a Delaware limited liability company registered as an investment adviser (the “Adviser”) under the Investment Advisers Act of 1940, as amended, and the rules and regulations thereunder (the “Advisers Act”).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also entered into an Administration Agreement, dated as of June 28, 2022 (the “Administration Agreement”) with the Adviser.</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At or prior to the Applicable Time (as defined below), the Company had prepared the Preliminary Offering Memorandum, which together with the information set forth on Schedule 2 hereto comprises the “Pricing Disclosure Package.”</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Any reference herein to the terms “Preliminary Offering Memorandum,” “Pricing Disclosure Package” and “Offering Memorandum” shall be deemed to refer to and include all documents incorporated by reference therein.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3:30 P.M., New York City time, on September 9, 2024.</w:t>
      </w:r>
    </w:p>
    <w:p>
      <w:pPr>
        <w:spacing w:after="0" w:line="225" w:lineRule="exact"/>
        <w:rPr>
          <w:sz w:val="20"/>
          <w:szCs w:val="20"/>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Notes by the Initial Purchasers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issue and sell the Notes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aggregate principal amount of Notes set forth opposite such Initial Purchaser’s name in Schedule 1 hereto at the price (the “Purchase Price”) set forth in Schedule 1 hereto.</w:t>
      </w:r>
    </w:p>
    <w:p>
      <w:pPr>
        <w:spacing w:after="0" w:line="179"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Initial Purchasers intend to offer the Notes for resale on the terms set forth in the Pricing Disclosure Package and the Offering Memorandum, as in the judgment of the Representative is advisable. The Company acknowledges and agrees that the Initial Purchasers may offer and sell Notes to or through any affiliate of an Initial Purchaser.</w:t>
      </w:r>
    </w:p>
    <w:p>
      <w:pPr>
        <w:sectPr>
          <w:pgSz w:w="11900" w:h="16838" w:orient="portrait"/>
          <w:cols w:equalWidth="0" w:num="1">
            <w:col w:w="11020"/>
          </w:cols>
          <w:pgMar w:left="440" w:top="270" w:right="439" w:bottom="1440" w:gutter="0" w:footer="0" w:header="0"/>
        </w:sectPr>
      </w:pPr>
    </w:p>
    <w:bookmarkStart w:id="5" w:name="page6"/>
    <w:bookmarkEnd w:id="5"/>
    <w:p>
      <w:pPr>
        <w:ind w:right="160" w:firstLine="436"/>
        <w:spacing w:after="0" w:line="281" w:lineRule="auto"/>
        <w:tabs>
          <w:tab w:leader="none" w:pos="68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for the Notes shall be made by wire transfer in immediately available funds to the account specified by the Company to the Representative, at the offices of Ropes &amp; Gray LLP, 1211 Avenue of the Americas, New York, NY 10036, at 10:00 A.M., New York City time, on September 16, 2024, or at such other time or place on the same or such other date, not later than the fifth business day thereafter, as the Representative and the Company may agree upon in writing. The time and date of such payment for the Notes is referred to herein as the “Closing Date.”</w:t>
      </w:r>
    </w:p>
    <w:p>
      <w:pPr>
        <w:spacing w:after="0" w:line="16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Payment for the Notes shall be made against delivery to the Representative for the respective accounts of the several Initial Purchasers of the Notes to be purchased on such date with any transfer taxes payable in connection with the sale of such Notes duly paid by the Company. Delivery of the Notes shall be made through the facilities of DTC unless the Representative shall otherwise instruct.</w:t>
      </w:r>
    </w:p>
    <w:p>
      <w:pPr>
        <w:spacing w:after="0" w:line="176" w:lineRule="exact"/>
        <w:rPr>
          <w:sz w:val="20"/>
          <w:szCs w:val="20"/>
          <w:color w:val="auto"/>
        </w:rPr>
      </w:pPr>
    </w:p>
    <w:p>
      <w:pPr>
        <w:ind w:firstLine="436"/>
        <w:spacing w:after="0" w:line="254" w:lineRule="auto"/>
        <w:tabs>
          <w:tab w:leader="none" w:pos="6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Initial Purchasers are acting solely in the capacity of an arm’s-length contractual counterparty to the Company with respect to the offering of Notes contemplated hereby (including in connection with determining the terms of the offering) and not as a financial advisor or a fiduciary to, or an agent of, the Company or any other person. Additionally, neither the Representative nor any other Initial Purchaser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Initial Purchasers shall have no responsibility or liability to the Company with respect thereto. Any review by the Initial Purchasers of the Company, the transactions contemplated hereby or other matters relating to such transactions will be performed solely for the benefit of the Initial Purchasers and shall not be on behalf of the Company.</w:t>
      </w:r>
    </w:p>
    <w:p>
      <w:pPr>
        <w:spacing w:after="0" w:line="189"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by the Initial Purchasers</w:t>
      </w:r>
      <w:r>
        <w:rPr>
          <w:rFonts w:ascii="Times New Roman" w:cs="Times New Roman" w:eastAsia="Times New Roman" w:hAnsi="Times New Roman"/>
          <w:sz w:val="18"/>
          <w:szCs w:val="18"/>
          <w:color w:val="auto"/>
        </w:rPr>
        <w:t>. The Company understands that the Initial Purchasers intend to offer the Notes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resale on the terms set forth in the Pricing Disclosure Package and the Offering Memorandum. Each Initial Purchaser, severally and not jointly, represents and warrants with the Company as of the date hereof, as of the Applicable Time, as of the Closing Date referred to in Section 2(c) hereof, as follows that:</w:t>
      </w:r>
    </w:p>
    <w:p>
      <w:pPr>
        <w:spacing w:after="0" w:line="73"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07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institutional buyer (a “QIB”) within the meaning of Rule 144A under the Securities Act (“Rule 144A”) and an accredited investor within the meaning of Rule 501(a) under the Securities Act with such knowledge and experience in financial and business matters as are necessary to evaluate the merits and risks of an investment in the Notes;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9" w:lineRule="auto"/>
        <w:tabs>
          <w:tab w:leader="none" w:pos="1128"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it, nor any person acting on its behalf, has solicited offers for, or offered or sold, and neither it, nor any person acting on its behalf, will not solicit offers for, or offer or sell, the Notes by means of any form of general solicitation or general advertising within the meaning of Rule 502(c) of Regulation D or in any manner involving a public offering within the meaning of Section 4(a)(2) of the Securities Act; and</w:t>
      </w:r>
    </w:p>
    <w:p>
      <w:pPr>
        <w:sectPr>
          <w:pgSz w:w="11900" w:h="16838" w:orient="portrait"/>
          <w:cols w:equalWidth="0" w:num="1">
            <w:col w:w="10980"/>
          </w:cols>
          <w:pgMar w:left="440" w:top="270" w:right="479" w:bottom="1440" w:gutter="0" w:footer="0" w:header="0"/>
        </w:sectPr>
      </w:pPr>
    </w:p>
    <w:bookmarkStart w:id="6" w:name="page7"/>
    <w:bookmarkEnd w:id="6"/>
    <w:p>
      <w:pPr>
        <w:ind w:left="4" w:right="100" w:firstLine="419"/>
        <w:spacing w:after="0" w:line="261" w:lineRule="auto"/>
        <w:tabs>
          <w:tab w:leader="none" w:pos="74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has not solicited offers for, or offered or sold, and will not solicit offers for, or offer or sell, the Notes as part of their distribution of securities in connection with the Offering except to persons whom it reasonably believes to be QIBs in transactions pursuant to Rule 144A and in connection with each such sale, it has taken or will take reasonable steps to ensure that the purchaser of the Notes is aware that such sale is being made in reliance on Rule 144A.</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Initial Purchaser that:</w:t>
      </w:r>
    </w:p>
    <w:p>
      <w:pPr>
        <w:spacing w:after="0" w:line="223" w:lineRule="exact"/>
        <w:rPr>
          <w:sz w:val="20"/>
          <w:szCs w:val="20"/>
          <w:color w:val="auto"/>
        </w:rPr>
      </w:pPr>
    </w:p>
    <w:p>
      <w:pPr>
        <w:ind w:left="-436" w:right="80" w:firstLine="436"/>
        <w:spacing w:after="0" w:line="257"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Offering Memorandum. </w:t>
      </w:r>
      <w:r>
        <w:rPr>
          <w:rFonts w:ascii="Times New Roman" w:cs="Times New Roman" w:eastAsia="Times New Roman" w:hAnsi="Times New Roman"/>
          <w:sz w:val="18"/>
          <w:szCs w:val="18"/>
          <w:color w:val="auto"/>
        </w:rPr>
        <w:t>The Preliminary Offering Memorandum, as of its date, did not contain any untrue statement of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any Preliminary Offering Memorandum, it being understood and agreed that the only such information furnished by any Initial Purchaser consists of the information described as such in Section 8(b) hereof.</w:t>
      </w:r>
    </w:p>
    <w:p>
      <w:pPr>
        <w:spacing w:after="0" w:line="182" w:lineRule="exact"/>
        <w:rPr>
          <w:rFonts w:ascii="Times New Roman" w:cs="Times New Roman" w:eastAsia="Times New Roman" w:hAnsi="Times New Roman"/>
          <w:sz w:val="18"/>
          <w:szCs w:val="18"/>
          <w:color w:val="auto"/>
        </w:rPr>
      </w:pPr>
    </w:p>
    <w:p>
      <w:pPr>
        <w:ind w:left="-436" w:right="20" w:firstLine="436"/>
        <w:spacing w:after="0" w:line="253"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Pricing Disclosure Package and Marketing Materials</w:t>
      </w:r>
      <w:r>
        <w:rPr>
          <w:rFonts w:ascii="Times New Roman" w:cs="Times New Roman" w:eastAsia="Times New Roman" w:hAnsi="Times New Roman"/>
          <w:sz w:val="18"/>
          <w:szCs w:val="18"/>
          <w:color w:val="auto"/>
        </w:rPr>
        <w:t>. The Pricing Disclosure Package and any Marketing Materials (as defined below)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Applicable Time did not, and the Pricing Disclosure Package and any Marketing Materials (together with any amendment or supplement thereto) as of the Closing Date, will not contain any untrue statement of a material fact or omit to state a material fact necessary in order to make the statements therein, in the light of the circumstances under which they were made, not misleading, and as of the Applicable Time, the Marketing Materials do not conflict with the information contained in the Preliminary Offering Memorandum, the Pricing Disclosure Package or the Offering Memorandum;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such Pricing Disclosure Package or such Marketing Materials, it being understood and agreed that the only such information furnished by any Initial Purchaser consists of the information described as such in Section 8(b) hereof. As used in this subsection and elsewhere in this Agreement, “Marketing Materials” means the materials, if any, made available by the Company or with the Company’s consent during certain meetings (including materials made available as part of any “road show”) in connection with the marketing of the offering of the Notes.</w:t>
      </w:r>
    </w:p>
    <w:p>
      <w:pPr>
        <w:spacing w:after="0" w:line="191" w:lineRule="exact"/>
        <w:rPr>
          <w:rFonts w:ascii="Times New Roman" w:cs="Times New Roman" w:eastAsia="Times New Roman" w:hAnsi="Times New Roman"/>
          <w:sz w:val="18"/>
          <w:szCs w:val="18"/>
          <w:color w:val="auto"/>
        </w:rPr>
      </w:pPr>
    </w:p>
    <w:p>
      <w:pPr>
        <w:ind w:left="-436" w:firstLine="436"/>
        <w:spacing w:after="0" w:line="275" w:lineRule="auto"/>
        <w:tabs>
          <w:tab w:leader="none" w:pos="24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Offering Memorandum. </w:t>
      </w:r>
      <w:r>
        <w:rPr>
          <w:rFonts w:ascii="Times New Roman" w:cs="Times New Roman" w:eastAsia="Times New Roman" w:hAnsi="Times New Roman"/>
          <w:sz w:val="17"/>
          <w:szCs w:val="17"/>
          <w:color w:val="auto"/>
        </w:rPr>
        <w:t>The Offering Memorandum and any amendment or supplement thereto as of the Closing Date will not contain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makes no representation and warranty with respect to any statements or omissions made in reliance upon and in conformity with information relating to any Initial Purchaser furnished to the Company in writing by such Initial Purchaser through the Representative expressly for use in the Offering Memorandum and any amendment or supplement thereto, it being understood and agreed that the only such information furnished by any Initial Purchaser consists of the information described as such in Section 8(b) hereof.</w:t>
      </w:r>
    </w:p>
    <w:p>
      <w:pPr>
        <w:sectPr>
          <w:pgSz w:w="11900" w:h="16838" w:orient="portrait"/>
          <w:cols w:equalWidth="0" w:num="1">
            <w:col w:w="10564"/>
          </w:cols>
          <w:pgMar w:left="876" w:top="270" w:right="459" w:bottom="1440" w:gutter="0" w:footer="0" w:header="0"/>
        </w:sectPr>
      </w:pPr>
    </w:p>
    <w:bookmarkStart w:id="7" w:name="page8"/>
    <w:bookmarkEnd w:id="7"/>
    <w:p>
      <w:pPr>
        <w:ind w:left="4" w:right="60" w:firstLine="436"/>
        <w:spacing w:after="0" w:line="284"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Emerging Growth Company</w:t>
      </w:r>
      <w:r>
        <w:rPr>
          <w:rFonts w:ascii="Times New Roman" w:cs="Times New Roman" w:eastAsia="Times New Roman" w:hAnsi="Times New Roman"/>
          <w:sz w:val="18"/>
          <w:szCs w:val="18"/>
          <w:color w:val="auto"/>
        </w:rPr>
        <w:t>. As of the date hereof and the Closing Date, as the case may be, the Company is an “emerging growth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defined in Section 2(a)(19) of the Securities Act (an “Emerging Growth Company”).</w:t>
      </w:r>
    </w:p>
    <w:p>
      <w:pPr>
        <w:spacing w:after="0" w:line="158"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incorporated by reference in the Pricing Disclosure Package and the Offering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or incorporated by reference in the Pricing Disclosure Package and the Offering Memorandum present fairly in all material respects the information required to be stated therein; and any other financial information included or incorporated by reference in the Pricing Disclosure Package and the Offering Memorandum has been derived from the accounting records and other books and records of the Company and its consolidated subsidiaries and presents fairly in all material respects the information shown thereby.</w:t>
      </w:r>
    </w:p>
    <w:p>
      <w:pPr>
        <w:spacing w:after="0" w:line="188" w:lineRule="exact"/>
        <w:rPr>
          <w:rFonts w:ascii="Times New Roman" w:cs="Times New Roman" w:eastAsia="Times New Roman" w:hAnsi="Times New Roman"/>
          <w:sz w:val="18"/>
          <w:szCs w:val="18"/>
          <w:color w:val="auto"/>
        </w:rPr>
      </w:pPr>
    </w:p>
    <w:p>
      <w:pPr>
        <w:ind w:left="4" w:right="20" w:firstLine="436"/>
        <w:spacing w:after="0" w:line="277" w:lineRule="auto"/>
        <w:tabs>
          <w:tab w:leader="none" w:pos="66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Pricing Disclosure Package and the Offering Memorandum, since the date of the most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recent financial statements of the Company included or incorporated by reference in the Pricing Disclosure Package and the Offering Memorandum,</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w:t>
      </w:r>
    </w:p>
    <w:p>
      <w:pPr>
        <w:ind w:left="4" w:hanging="4"/>
        <w:spacing w:after="0" w:line="25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7"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9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w:t>
      </w:r>
    </w:p>
    <w:p>
      <w:pPr>
        <w:sectPr>
          <w:pgSz w:w="11900" w:h="16838" w:orient="portrait"/>
          <w:cols w:equalWidth="0" w:num="1">
            <w:col w:w="10984"/>
          </w:cols>
          <w:pgMar w:left="436" w:top="268" w:right="479" w:bottom="1440" w:gutter="0" w:footer="0" w:header="0"/>
        </w:sectPr>
      </w:pPr>
    </w:p>
    <w:bookmarkStart w:id="8" w:name="page9"/>
    <w:bookmarkEnd w:id="8"/>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Notes, the Investment Management Agreement and the Administration Agreement (a “Material Adverse Effect”). The subsidiaries listed in Schedule 3 to this Agreement are the only subsidiaries of the Company.</w:t>
      </w:r>
    </w:p>
    <w:p>
      <w:pPr>
        <w:spacing w:after="0" w:line="185" w:lineRule="exact"/>
        <w:rPr>
          <w:sz w:val="20"/>
          <w:szCs w:val="20"/>
          <w:color w:val="auto"/>
        </w:rPr>
      </w:pPr>
    </w:p>
    <w:p>
      <w:pPr>
        <w:ind w:right="20" w:firstLine="436"/>
        <w:spacing w:after="0" w:line="253" w:lineRule="auto"/>
        <w:tabs>
          <w:tab w:leader="none" w:pos="6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As of June 30, 2024, the Company had the authorized and outstanding capital stock and material indebtedness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Pricing Disclosure Package and the Offering Memorandum in “Capitalization” under the heading “Actual”;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Offering Memorandum,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Pricing Disclosure Package and the Offering Memorandum; and all the outstanding shares of capital stock or other equity interests of each subsidiary owned, directly or indirectly, by the Company have been duly authorized and validly issued, are fully paid and non-assessable (except as otherwise described in the Pricing Disclosure Package and the Offering Memorandum), and are owned directly or indirectly by the Company, free and clear of any lien, charge, encumbrance, security interest, restriction on voting or transfer or any other claim of any third party, except as described in the Pricing Disclosure Package and the Offering Memorandum.</w:t>
      </w:r>
    </w:p>
    <w:p>
      <w:pPr>
        <w:spacing w:after="0" w:line="18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The Company has not granted, and has no policy or expectation of granting stock options.</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corporate power and authority to execute and deliver this Agreement, the Indenture and the Notes, and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applicable time had corporate power and authority to execute and deliver the Investment Management Agreement and the Administration Agreement and to perform its obligations hereunder and thereunder; and all action required to be taken for the due and proper authorization, execution and delivery by it of this Agreement, the Indenture, the Notes and each of the Investment Management Agreement and the Administration Agreement, and the consummation by it of the transactions contemplated hereby and thereby has been duly and validly taken.</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Company.</w:t>
      </w:r>
    </w:p>
    <w:p>
      <w:pPr>
        <w:sectPr>
          <w:pgSz w:w="11900" w:h="16838" w:orient="portrait"/>
          <w:cols w:equalWidth="0" w:num="1">
            <w:col w:w="11000"/>
          </w:cols>
          <w:pgMar w:left="440" w:top="270" w:right="459" w:bottom="1440" w:gutter="0" w:footer="0" w:header="0"/>
        </w:sectPr>
      </w:pPr>
    </w:p>
    <w:bookmarkStart w:id="9" w:name="page10"/>
    <w:bookmarkEnd w:id="9"/>
    <w:p>
      <w:pPr>
        <w:ind w:left="-436" w:right="40" w:firstLine="436"/>
        <w:spacing w:after="0" w:line="261"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 Management Agreement and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436" w:right="280" w:firstLine="436"/>
        <w:spacing w:after="0" w:line="267" w:lineRule="auto"/>
        <w:tabs>
          <w:tab w:leader="none" w:pos="3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 The Base Indenture has been duly authorized, executed and delivered by the Company and constitutes a valid and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3" w:lineRule="exact"/>
        <w:rPr>
          <w:rFonts w:ascii="Times New Roman" w:cs="Times New Roman" w:eastAsia="Times New Roman" w:hAnsi="Times New Roman"/>
          <w:sz w:val="18"/>
          <w:szCs w:val="18"/>
          <w:color w:val="auto"/>
        </w:rPr>
      </w:pPr>
    </w:p>
    <w:p>
      <w:pPr>
        <w:ind w:left="-436" w:right="140" w:firstLine="436"/>
        <w:spacing w:after="0" w:line="26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w:t>
      </w:r>
      <w:r>
        <w:rPr>
          <w:rFonts w:ascii="Times New Roman" w:cs="Times New Roman" w:eastAsia="Times New Roman" w:hAnsi="Times New Roman"/>
          <w:sz w:val="18"/>
          <w:szCs w:val="18"/>
          <w:color w:val="auto"/>
        </w:rPr>
        <w:t>. The Third Supplemental Indenture has been duly authorized, and, on the Closing Date, will be duly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by the Company and when executed and delivered by the Trustee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left="-436" w:right="20" w:firstLine="436"/>
        <w:spacing w:after="0" w:line="257"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Notes. </w:t>
      </w:r>
      <w:r>
        <w:rPr>
          <w:rFonts w:ascii="Times New Roman" w:cs="Times New Roman" w:eastAsia="Times New Roman" w:hAnsi="Times New Roman"/>
          <w:sz w:val="18"/>
          <w:szCs w:val="18"/>
          <w:color w:val="auto"/>
        </w:rPr>
        <w:t>The Notes to be issued and sold by the Company hereunder have been duly authorized and, on the Closing Date, will be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the Company and when authenticated by the Trustee as provided herein and in the Indenture relating thereto, against payment of the consideration set forth herein,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be entitled to the benefits of the Indenture relating thereto; and the Notes and the Indenture conform in all material respects to the statements relating thereto contained in the Pricing Disclosure Package and the Offering Memorandum.</w:t>
      </w:r>
    </w:p>
    <w:p>
      <w:pPr>
        <w:spacing w:after="0" w:line="182" w:lineRule="exact"/>
        <w:rPr>
          <w:rFonts w:ascii="Times New Roman" w:cs="Times New Roman" w:eastAsia="Times New Roman" w:hAnsi="Times New Roman"/>
          <w:sz w:val="18"/>
          <w:szCs w:val="18"/>
          <w:color w:val="auto"/>
        </w:rPr>
      </w:pPr>
    </w:p>
    <w:p>
      <w:pPr>
        <w:ind w:left="-436" w:firstLine="436"/>
        <w:spacing w:after="0" w:line="255"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The Registration Rights Agreement to be dated as of the Closing Date (the “Registration Rights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in the form attached hereto as Exhibit A, has been duly authorized, and as of the Closing Date, will have been duly executed and delivered by the Company, and, when duly executed and delivered in accordance with its terms by each of the other parties thereto, will constitute a valid and legally binding instrument, enforceable against the Company in accordance with its terms, subject, as to enforcement, to applicable bankruptcy, reorganization, insolvency, moratorium or other laws affecting creditors’ rights generally (including, without limitation, laws with respect to fraudulent conveyance) and to general principles of equity and public policy (regardless of whether enforcement is considered in a proceeding in equity or law) (collectively, the “Enforceability Exceptions”); and the Registration Rights Agreement will conform in all material respects to the descriptions thereof in the Pricing Disclosure Package and the Offering Memorandum.</w:t>
      </w:r>
    </w:p>
    <w:p>
      <w:pPr>
        <w:sectPr>
          <w:pgSz w:w="11900" w:h="16838" w:orient="portrait"/>
          <w:cols w:equalWidth="0" w:num="1">
            <w:col w:w="10544"/>
          </w:cols>
          <w:pgMar w:left="876" w:top="268" w:right="479" w:bottom="1440" w:gutter="0" w:footer="0" w:header="0"/>
        </w:sectPr>
      </w:pPr>
    </w:p>
    <w:bookmarkStart w:id="10" w:name="page11"/>
    <w:bookmarkEnd w:id="10"/>
    <w:p>
      <w:pPr>
        <w:ind w:left="-436" w:right="260" w:firstLine="436"/>
        <w:spacing w:after="0" w:line="258"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 Offer. </w:t>
      </w:r>
      <w:r>
        <w:rPr>
          <w:rFonts w:ascii="Times New Roman" w:cs="Times New Roman" w:eastAsia="Times New Roman" w:hAnsi="Times New Roman"/>
          <w:sz w:val="18"/>
          <w:szCs w:val="18"/>
          <w:color w:val="auto"/>
        </w:rPr>
        <w:t>The 5.750% Notes due 2030 to be offered in exchange for the Notes pursuant to the Registration Rights Agreement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authorized by the Company and if and when issued and authenticated in accordance with the terms of the Indenture and delivered in accordance with the exchange offer provided for in the Registration Rights Agreement will be validly issued and delivered and will constitute valid and binding obligations of the Company entitled to the benefits of the Indenture, enforceable against the Company in accordance with their terms, subject, as to enforcement, to the Enforceability Exceptions, and will be entitled to the benefits provided by the Indenture.</w:t>
      </w:r>
    </w:p>
    <w:p>
      <w:pPr>
        <w:spacing w:after="0" w:line="183" w:lineRule="exact"/>
        <w:rPr>
          <w:rFonts w:ascii="Times New Roman" w:cs="Times New Roman" w:eastAsia="Times New Roman" w:hAnsi="Times New Roman"/>
          <w:sz w:val="18"/>
          <w:szCs w:val="18"/>
          <w:color w:val="auto"/>
        </w:rPr>
      </w:pPr>
    </w:p>
    <w:p>
      <w:pPr>
        <w:jc w:val="both"/>
        <w:ind w:left="-436" w:right="80" w:firstLine="436"/>
        <w:spacing w:after="0" w:line="258" w:lineRule="auto"/>
        <w:tabs>
          <w:tab w:leader="none" w:pos="2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144A Eligibility</w:t>
      </w:r>
      <w:r>
        <w:rPr>
          <w:rFonts w:ascii="Times New Roman" w:cs="Times New Roman" w:eastAsia="Times New Roman" w:hAnsi="Times New Roman"/>
          <w:sz w:val="18"/>
          <w:szCs w:val="18"/>
          <w:color w:val="auto"/>
        </w:rPr>
        <w:t>. On the Closing Date, the Notes will not be of the same class as securities listed on a national exchange registered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6 of the Securities Exchange Act of 1934, as amended (the “Exchange Act”), or quoted in an automated inter-dealer quotation system; and each of the Pricing Disclosure Package, as of the Applicable Time, and the Offering Memorandum, as of its date, contains or will contain all the information that, if requested by a prospective purchaser of the Notes, would be required to be provided to such prospective purchaser pursuant to Rule 144A(d)(4) under the Securities Act.</w:t>
      </w:r>
    </w:p>
    <w:p>
      <w:pPr>
        <w:spacing w:after="0" w:line="183" w:lineRule="exact"/>
        <w:rPr>
          <w:rFonts w:ascii="Times New Roman" w:cs="Times New Roman" w:eastAsia="Times New Roman" w:hAnsi="Times New Roman"/>
          <w:sz w:val="18"/>
          <w:szCs w:val="18"/>
          <w:color w:val="auto"/>
        </w:rPr>
      </w:pPr>
    </w:p>
    <w:p>
      <w:pPr>
        <w:jc w:val="both"/>
        <w:ind w:left="-436" w:right="60" w:firstLine="436"/>
        <w:spacing w:after="0" w:line="290" w:lineRule="auto"/>
        <w:tabs>
          <w:tab w:leader="none" w:pos="23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Integration</w:t>
      </w:r>
      <w:r>
        <w:rPr>
          <w:rFonts w:ascii="Times New Roman" w:cs="Times New Roman" w:eastAsia="Times New Roman" w:hAnsi="Times New Roman"/>
          <w:sz w:val="17"/>
          <w:szCs w:val="17"/>
          <w:color w:val="auto"/>
        </w:rPr>
        <w:t>. Neither the Company nor any of its affiliates (as defined in Rule 501(b) of Regulation D under the Securities Act (“Regulation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 has, directly or through any agent, sold, 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55" w:lineRule="exact"/>
        <w:rPr>
          <w:rFonts w:ascii="Times New Roman" w:cs="Times New Roman" w:eastAsia="Times New Roman" w:hAnsi="Times New Roman"/>
          <w:sz w:val="17"/>
          <w:szCs w:val="17"/>
          <w:color w:val="auto"/>
        </w:rPr>
      </w:pPr>
    </w:p>
    <w:p>
      <w:pPr>
        <w:ind w:left="-436" w:right="40" w:firstLine="436"/>
        <w:spacing w:after="0" w:line="256"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 Written Communications</w:t>
      </w:r>
      <w:r>
        <w:rPr>
          <w:rFonts w:ascii="Times New Roman" w:cs="Times New Roman" w:eastAsia="Times New Roman" w:hAnsi="Times New Roman"/>
          <w:sz w:val="18"/>
          <w:szCs w:val="18"/>
          <w:color w:val="auto"/>
        </w:rPr>
        <w:t>. None of the Company or any of its affiliates or any other person acting on its or their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Initial 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4(a)(2) of the Securities Act. The Company (including its agents and representatives, other than the Initial Purchasers in their capacity as such) has not made, used, prepared, authorized, approved or referred to and will not prepare, make, use, authorize, approve or refer to any “written communication” (as defined in Rule 405 under the Securities Act) that constitutes an offer to sell or solicitation of an offer to buy the Notes other than the Pricing Disclosure Package, the Offering Memorandum and the Marketing Materials.</w:t>
      </w:r>
    </w:p>
    <w:p>
      <w:pPr>
        <w:spacing w:after="0" w:line="182" w:lineRule="exact"/>
        <w:rPr>
          <w:rFonts w:ascii="Times New Roman" w:cs="Times New Roman" w:eastAsia="Times New Roman" w:hAnsi="Times New Roman"/>
          <w:sz w:val="18"/>
          <w:szCs w:val="18"/>
          <w:color w:val="auto"/>
        </w:rPr>
      </w:pPr>
    </w:p>
    <w:p>
      <w:pPr>
        <w:ind w:left="-436" w:firstLine="436"/>
        <w:spacing w:after="0" w:line="281"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Securities Law Exemptions</w:t>
      </w:r>
      <w:r>
        <w:rPr>
          <w:rFonts w:ascii="Times New Roman" w:cs="Times New Roman" w:eastAsia="Times New Roman" w:hAnsi="Times New Roman"/>
          <w:sz w:val="17"/>
          <w:szCs w:val="17"/>
          <w:color w:val="auto"/>
        </w:rPr>
        <w:t>. Assuming the accuracy of the representations and warranties of the Initial Purchasers contained in Section 2(e)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their compliance with their agreements set forth therein, it is not necessary, in connection with the issuance and sale of the Notes to the Initial Purchasers and the offer, resale and delivery of the Notes by the Initial Purchasers in the manner contemplated by this Agreement, the Pricing Disclosure Package and the Offering Memorandum, to register the Notes under the Securities Act or to qualify the Indenture under the Trust Indenture Act.</w:t>
      </w:r>
    </w:p>
    <w:p>
      <w:pPr>
        <w:spacing w:after="0" w:line="164" w:lineRule="exact"/>
        <w:rPr>
          <w:rFonts w:ascii="Times New Roman" w:cs="Times New Roman" w:eastAsia="Times New Roman" w:hAnsi="Times New Roman"/>
          <w:sz w:val="17"/>
          <w:szCs w:val="17"/>
          <w:color w:val="auto"/>
        </w:rPr>
      </w:pPr>
    </w:p>
    <w:p>
      <w:pPr>
        <w:ind w:left="-436" w:right="160" w:firstLine="436"/>
        <w:spacing w:after="0" w:line="267"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Descriptions of Investment Management Agreement and Administration Agreement</w:t>
      </w:r>
      <w:r>
        <w:rPr>
          <w:rFonts w:ascii="Times New Roman" w:cs="Times New Roman" w:eastAsia="Times New Roman" w:hAnsi="Times New Roman"/>
          <w:sz w:val="18"/>
          <w:szCs w:val="18"/>
          <w:color w:val="auto"/>
        </w:rPr>
        <w:t>. Both the Investment Management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 conform in all material respects to the descriptions thereof contained or incorporated by reference in the Pricing Disclosure Package and the Offering Memorandum.</w:t>
      </w:r>
    </w:p>
    <w:p>
      <w:pPr>
        <w:sectPr>
          <w:pgSz w:w="11900" w:h="16838" w:orient="portrait"/>
          <w:cols w:equalWidth="0" w:num="1">
            <w:col w:w="10564"/>
          </w:cols>
          <w:pgMar w:left="876" w:top="268" w:right="459" w:bottom="1440" w:gutter="0" w:footer="0" w:header="0"/>
        </w:sectPr>
      </w:pPr>
    </w:p>
    <w:bookmarkStart w:id="11" w:name="page12"/>
    <w:bookmarkEnd w:id="11"/>
    <w:p>
      <w:pPr>
        <w:ind w:left="-436" w:firstLine="436"/>
        <w:spacing w:after="0" w:line="255" w:lineRule="auto"/>
        <w:tabs>
          <w:tab w:leader="none" w:pos="2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Violation or Default. </w:t>
      </w:r>
      <w:r>
        <w:rPr>
          <w:rFonts w:ascii="Times New Roman" w:cs="Times New Roman" w:eastAsia="Times New Roman" w:hAnsi="Times New Roman"/>
          <w:sz w:val="18"/>
          <w:szCs w:val="18"/>
          <w:color w:val="auto"/>
        </w:rPr>
        <w:t>Neither the Company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184" w:lineRule="exact"/>
        <w:rPr>
          <w:rFonts w:ascii="Times New Roman" w:cs="Times New Roman" w:eastAsia="Times New Roman" w:hAnsi="Times New Roman"/>
          <w:sz w:val="18"/>
          <w:szCs w:val="18"/>
          <w:color w:val="auto"/>
        </w:rPr>
      </w:pPr>
    </w:p>
    <w:p>
      <w:pPr>
        <w:ind w:left="-436" w:firstLine="436"/>
        <w:spacing w:after="0" w:line="253"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and the Indenture, the issuance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consummation of the transactions contemplated by this Agreement and the Indenture and the performance by the Company of the 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191" w:lineRule="exact"/>
        <w:rPr>
          <w:rFonts w:ascii="Times New Roman" w:cs="Times New Roman" w:eastAsia="Times New Roman" w:hAnsi="Times New Roman"/>
          <w:sz w:val="18"/>
          <w:szCs w:val="18"/>
          <w:color w:val="auto"/>
        </w:rPr>
      </w:pPr>
    </w:p>
    <w:p>
      <w:pPr>
        <w:ind w:left="-436" w:right="80" w:firstLine="436"/>
        <w:spacing w:after="0" w:line="255"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Company of this Agreement and the Indenture, the issuance and sale of the Notes and the consummation of the transactions contemplated by this Agreement and the Indenture or the performance by the Company of the Investment Management Agreement and the Administration Agreement, except for (i) such consents, approvals, authorizations, orders, licenses, registrations or qualifications as have already been obtained or made, (ii) such consents, approvals, authorizations, orders and registrations or qualifications as may be required under applicable state securities laws in connection with the purchase and distribution of the Notes by the Initial Purchasers and (iii) where the failure to obtain any such consent, approval, authorization, order, license, registration or qualification would not reasonably be expected, individually or in the aggregate, to have a Material Adverse Effect.</w:t>
      </w:r>
    </w:p>
    <w:p>
      <w:pPr>
        <w:sectPr>
          <w:pgSz w:w="11900" w:h="16838" w:orient="portrait"/>
          <w:cols w:equalWidth="0" w:num="1">
            <w:col w:w="10564"/>
          </w:cols>
          <w:pgMar w:left="876" w:top="268" w:right="459" w:bottom="1440" w:gutter="0" w:footer="0" w:header="0"/>
        </w:sectPr>
      </w:pPr>
    </w:p>
    <w:bookmarkStart w:id="12" w:name="page13"/>
    <w:bookmarkEnd w:id="12"/>
    <w:p>
      <w:pPr>
        <w:ind w:left="-436" w:firstLine="436"/>
        <w:spacing w:after="0" w:line="253" w:lineRule="auto"/>
        <w:tabs>
          <w:tab w:leader="none" w:pos="2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Legal Proceedings. </w:t>
      </w:r>
      <w:r>
        <w:rPr>
          <w:rFonts w:ascii="Times New Roman" w:cs="Times New Roman" w:eastAsia="Times New Roman" w:hAnsi="Times New Roman"/>
          <w:sz w:val="18"/>
          <w:szCs w:val="18"/>
          <w:color w:val="auto"/>
        </w:rPr>
        <w:t>Except as described in the Pricing Disclosure Package and the Offering Memorandum, there are no legal,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 and (ii) there are no contracts or other documents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90" w:lineRule="exact"/>
        <w:rPr>
          <w:sz w:val="20"/>
          <w:szCs w:val="20"/>
          <w:color w:val="auto"/>
        </w:rPr>
      </w:pPr>
    </w:p>
    <w:p>
      <w:pPr>
        <w:ind w:left="-436" w:right="20" w:firstLine="436"/>
        <w:spacing w:after="0" w:line="261"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Notification of Election</w:t>
      </w:r>
      <w:r>
        <w:rPr>
          <w:rFonts w:ascii="Times New Roman" w:cs="Times New Roman" w:eastAsia="Times New Roman" w:hAnsi="Times New Roman"/>
          <w:sz w:val="18"/>
          <w:szCs w:val="18"/>
          <w:color w:val="auto"/>
        </w:rPr>
        <w:t>. When the Notification of Election was filed with the Commission, it (i) contained all statements required to be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436" w:right="20" w:firstLine="436"/>
        <w:spacing w:after="0" w:line="255" w:lineRule="auto"/>
        <w:tabs>
          <w:tab w:leader="none" w:pos="3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Election to be Treated as a Business Development Company</w:t>
      </w:r>
      <w:r>
        <w:rPr>
          <w:rFonts w:ascii="Times New Roman" w:cs="Times New Roman" w:eastAsia="Times New Roman" w:hAnsi="Times New Roman"/>
          <w:sz w:val="18"/>
          <w:szCs w:val="18"/>
          <w:color w:val="auto"/>
        </w:rPr>
        <w:t>. (A) The Company has duly elected to be treated by the Commission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Company Act as a business development company, such election is effective and the Company has not withdrawn such election and, to the Company’s knowledge, the Commission has not ordered such election to be withdrawn nor, to our knowledge have proceedings to effectuate such withdrawal been initiated or threatened by the Commission; (B) the provisions of the certificate of incorporation and by-laws of the Company and the investment objectives, policies and restrictions of the Company described in the Offering Memorandum, assuming they are implemented as described, will comply in all material respects with the requirements of the Investment Company Act; and (C) as of the time of each sale of Notes and as of the Closing Date, the operations of the Company are in compliance in all material respects with the provisions of the Investment Company Act applicable to business development companies.</w:t>
      </w:r>
    </w:p>
    <w:p>
      <w:pPr>
        <w:spacing w:after="0" w:line="184" w:lineRule="exact"/>
        <w:rPr>
          <w:rFonts w:ascii="Times New Roman" w:cs="Times New Roman" w:eastAsia="Times New Roman" w:hAnsi="Times New Roman"/>
          <w:sz w:val="18"/>
          <w:szCs w:val="18"/>
          <w:color w:val="auto"/>
        </w:rPr>
      </w:pPr>
    </w:p>
    <w:p>
      <w:pPr>
        <w:ind w:left="-436" w:right="60" w:firstLine="436"/>
        <w:spacing w:after="0" w:line="267" w:lineRule="auto"/>
        <w:tabs>
          <w:tab w:leader="none" w:pos="3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KPMG LLP, who have certified certain financial statements of the Company and its subsidiaries, is an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ectPr>
          <w:pgSz w:w="11900" w:h="16838" w:orient="portrait"/>
          <w:cols w:equalWidth="0" w:num="1">
            <w:col w:w="10564"/>
          </w:cols>
          <w:pgMar w:left="876" w:top="268" w:right="459" w:bottom="1440" w:gutter="0" w:footer="0" w:header="0"/>
        </w:sectPr>
      </w:pPr>
    </w:p>
    <w:bookmarkStart w:id="13" w:name="page14"/>
    <w:bookmarkEnd w:id="13"/>
    <w:p>
      <w:pPr>
        <w:ind w:left="4" w:right="40" w:firstLine="436"/>
        <w:spacing w:after="0" w:line="257" w:lineRule="auto"/>
        <w:tabs>
          <w:tab w:leader="none" w:pos="78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Real and Personal Property</w:t>
      </w:r>
      <w:r>
        <w:rPr>
          <w:rFonts w:ascii="Times New Roman" w:cs="Times New Roman" w:eastAsia="Times New Roman" w:hAnsi="Times New Roman"/>
          <w:sz w:val="18"/>
          <w:szCs w:val="18"/>
          <w:color w:val="auto"/>
        </w:rPr>
        <w:t>. Except as would not reasonably be expected, individually or in the aggregate,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3(ee)) that are material to the business of the Company and its subsidiaries, in each case free and clear of all liens, encumbrances, claims and defects and imperfections of title except (i) as otherwise described in the Pricing Disclosure Package and the Offering Memorandum or (ii) those that do not materially interfere with the use made and proposed to be made of such property by the Company and its subsidiaries.</w:t>
      </w:r>
    </w:p>
    <w:p>
      <w:pPr>
        <w:spacing w:after="0" w:line="182"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Title to Intellectual Property</w:t>
      </w:r>
      <w:r>
        <w:rPr>
          <w:rFonts w:ascii="Times New Roman" w:cs="Times New Roman" w:eastAsia="Times New Roman" w:hAnsi="Times New Roman"/>
          <w:sz w:val="17"/>
          <w:szCs w:val="17"/>
          <w:color w:val="auto"/>
        </w:rPr>
        <w:t>. Except as would not reasonably be expected, individually or in the aggregate, to have a Material Adverse Effect,</w:t>
      </w:r>
    </w:p>
    <w:p>
      <w:pPr>
        <w:spacing w:after="0" w:line="40" w:lineRule="exact"/>
        <w:rPr>
          <w:rFonts w:ascii="Times New Roman" w:cs="Times New Roman" w:eastAsia="Times New Roman" w:hAnsi="Times New Roman"/>
          <w:sz w:val="17"/>
          <w:szCs w:val="17"/>
          <w:color w:val="auto"/>
        </w:rPr>
      </w:pPr>
    </w:p>
    <w:p>
      <w:pPr>
        <w:ind w:left="4" w:right="80" w:hanging="4"/>
        <w:spacing w:after="0" w:line="252" w:lineRule="auto"/>
        <w:tabs>
          <w:tab w:leader="none" w:pos="2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7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Undisclosed Relationships</w:t>
      </w:r>
      <w:r>
        <w:rPr>
          <w:rFonts w:ascii="Times New Roman" w:cs="Times New Roman" w:eastAsia="Times New Roman" w:hAnsi="Times New Roman"/>
          <w:sz w:val="18"/>
          <w:szCs w:val="18"/>
          <w:color w:val="auto"/>
        </w:rPr>
        <w:t>. No relationship, direct or indirect, exists between or among the Company or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customers or suppliers of the Company or any of its subsidiaries, on the other, that would be required to be described in the Pricing Disclosure Package or the Offering Memorandum if the offering of the Notes was pursuant to a registration under the Securities Act that is not so described in the Pricing Disclosure Package and the Offering Memorandum.</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Company is not and its subsidiaries are not, and, after giving effect to the offering and sale of the Notes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Pricing Disclosure Package and the Offering Memorandum,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57" w:lineRule="auto"/>
        <w:tabs>
          <w:tab w:leader="none" w:pos="7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paid (or caused to be paid) all federal, state, local and foreign taxes required by law to be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Pricing Disclosure Package and the Offering Memorandum,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ectPr>
          <w:pgSz w:w="11900" w:h="16838" w:orient="portrait"/>
          <w:cols w:equalWidth="0" w:num="1">
            <w:col w:w="11004"/>
          </w:cols>
          <w:pgMar w:left="436" w:top="268" w:right="459" w:bottom="1440" w:gutter="0" w:footer="0" w:header="0"/>
        </w:sectPr>
      </w:pPr>
    </w:p>
    <w:bookmarkStart w:id="14" w:name="page15"/>
    <w:bookmarkEnd w:id="14"/>
    <w:p>
      <w:pPr>
        <w:ind w:left="-436" w:firstLine="436"/>
        <w:spacing w:after="0" w:line="254"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Licenses and Permits. </w:t>
      </w:r>
      <w:r>
        <w:rPr>
          <w:rFonts w:ascii="Times New Roman" w:cs="Times New Roman" w:eastAsia="Times New Roman" w:hAnsi="Times New Roman"/>
          <w:sz w:val="18"/>
          <w:szCs w:val="18"/>
          <w:color w:val="auto"/>
        </w:rPr>
        <w:t>The Company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 Material Adverse Effect; and except as otherwise disclosed in the Pricing Disclosure Package and the Offering Memorandum,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7"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maintains an effective system of “disclosure controls and procedures” (as defined in Rule 13a-15(e)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3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maintains a system of “internal control over financial reporting” (as defined in Rule 13a-15(f)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 (iii) 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w:t>
      </w:r>
    </w:p>
    <w:p>
      <w:pPr>
        <w:sectPr>
          <w:pgSz w:w="11900" w:h="16838" w:orient="portrait"/>
          <w:cols w:equalWidth="0" w:num="1">
            <w:col w:w="10524"/>
          </w:cols>
          <w:pgMar w:left="876" w:top="268" w:right="499" w:bottom="1440" w:gutter="0" w:footer="0" w:header="0"/>
        </w:sectPr>
      </w:pPr>
    </w:p>
    <w:bookmarkStart w:id="15" w:name="page16"/>
    <w:bookmarkEnd w:id="15"/>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action is taken with respect to any differences. Except as otherwise disclosed in the Pricing Disclosure Package and the Offering Memorandum, there are no material weaknesses in the Company’s internal controls (it being understood that the Company is not required as of the date hereof to comply with the auditor attestation requirements under Section 404 of the Sarbanes-Oxley Act (as defined below)).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87" w:lineRule="exact"/>
        <w:rPr>
          <w:sz w:val="20"/>
          <w:szCs w:val="20"/>
          <w:color w:val="auto"/>
        </w:rPr>
      </w:pPr>
    </w:p>
    <w:p>
      <w:pPr>
        <w:ind w:left="4" w:right="140" w:firstLine="436"/>
        <w:spacing w:after="0" w:line="267" w:lineRule="auto"/>
        <w:tabs>
          <w:tab w:leader="none" w:pos="70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eXtensible Business Reporting Language. </w:t>
      </w:r>
      <w:r>
        <w:rPr>
          <w:rFonts w:ascii="Times New Roman" w:cs="Times New Roman" w:eastAsia="Times New Roman" w:hAnsi="Times New Roman"/>
          <w:sz w:val="18"/>
          <w:szCs w:val="18"/>
          <w:color w:val="auto"/>
        </w:rPr>
        <w:t>To the Company’s knowledge, the interactive data in eXtensible Business Reporting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Pricing Disclosure Package and the Offering Memorandum fairly presents the information called for in all material respects and has been prepared in accordance with the Commission’s rules and guidelines applicable thereto.</w:t>
      </w:r>
    </w:p>
    <w:p>
      <w:pPr>
        <w:spacing w:after="0" w:line="173" w:lineRule="exact"/>
        <w:rPr>
          <w:rFonts w:ascii="Times New Roman" w:cs="Times New Roman" w:eastAsia="Times New Roman" w:hAnsi="Times New Roman"/>
          <w:sz w:val="18"/>
          <w:szCs w:val="18"/>
          <w:color w:val="auto"/>
        </w:rPr>
      </w:pPr>
    </w:p>
    <w:p>
      <w:pPr>
        <w:ind w:left="4" w:right="140" w:firstLine="436"/>
        <w:spacing w:after="0" w:line="273" w:lineRule="auto"/>
        <w:tabs>
          <w:tab w:leader="none" w:pos="889"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The Company and its subsidiaries have insurance covering their respective properties, operations, personnel and businesses,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186" w:lineRule="exact"/>
        <w:rPr>
          <w:rFonts w:ascii="Times New Roman" w:cs="Times New Roman" w:eastAsia="Times New Roman" w:hAnsi="Times New Roman"/>
          <w:sz w:val="18"/>
          <w:szCs w:val="18"/>
          <w:color w:val="auto"/>
        </w:rPr>
      </w:pPr>
    </w:p>
    <w:p>
      <w:pPr>
        <w:ind w:left="4" w:right="60" w:firstLine="436"/>
        <w:spacing w:after="0" w:line="254" w:lineRule="auto"/>
        <w:tabs>
          <w:tab w:leader="none" w:pos="78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20" w:hanging="4"/>
        <w:spacing w:after="0" w:line="252" w:lineRule="auto"/>
        <w:tabs>
          <w:tab w:leader="none" w:pos="31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ectPr>
          <w:pgSz w:w="11900" w:h="16838" w:orient="portrait"/>
          <w:cols w:equalWidth="0" w:num="1">
            <w:col w:w="10984"/>
          </w:cols>
          <w:pgMar w:left="436" w:top="270" w:right="479" w:bottom="1440" w:gutter="0" w:footer="0" w:header="0"/>
        </w:sectPr>
      </w:pPr>
    </w:p>
    <w:bookmarkStart w:id="16" w:name="page17"/>
    <w:bookmarkEnd w:id="16"/>
    <w:p>
      <w:pPr>
        <w:ind w:left="-436" w:firstLine="436"/>
        <w:spacing w:after="0" w:line="256"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The operations of the Company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182" w:lineRule="exact"/>
        <w:rPr>
          <w:rFonts w:ascii="Times New Roman" w:cs="Times New Roman" w:eastAsia="Times New Roman" w:hAnsi="Times New Roman"/>
          <w:sz w:val="18"/>
          <w:szCs w:val="18"/>
          <w:color w:val="auto"/>
        </w:rPr>
      </w:pPr>
    </w:p>
    <w:p>
      <w:pPr>
        <w:ind w:left="-436" w:firstLine="436"/>
        <w:spacing w:after="0" w:line="252"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Cuba, Iran, North Korea, Syria, and the occupied Donetsk, Luhansk, Crimea, Zaporizhzhia and Kerson regions of Ukraine,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95" w:lineRule="exact"/>
        <w:rPr>
          <w:rFonts w:ascii="Times New Roman" w:cs="Times New Roman" w:eastAsia="Times New Roman" w:hAnsi="Times New Roman"/>
          <w:sz w:val="18"/>
          <w:szCs w:val="18"/>
          <w:color w:val="auto"/>
        </w:rPr>
      </w:pPr>
    </w:p>
    <w:p>
      <w:pPr>
        <w:ind w:left="-436" w:right="160" w:firstLine="436"/>
        <w:spacing w:after="0" w:line="258" w:lineRule="auto"/>
        <w:tabs>
          <w:tab w:leader="none" w:pos="3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Pricing Disclosure Package and the Offering Memorandum.</w:t>
      </w:r>
    </w:p>
    <w:p>
      <w:pPr>
        <w:sectPr>
          <w:pgSz w:w="11900" w:h="16838" w:orient="portrait"/>
          <w:cols w:equalWidth="0" w:num="1">
            <w:col w:w="10564"/>
          </w:cols>
          <w:pgMar w:left="876" w:top="268" w:right="459" w:bottom="1440" w:gutter="0" w:footer="0" w:header="0"/>
        </w:sectPr>
      </w:pPr>
    </w:p>
    <w:bookmarkStart w:id="17" w:name="page18"/>
    <w:bookmarkEnd w:id="17"/>
    <w:p>
      <w:pPr>
        <w:ind w:left="-436" w:right="140" w:firstLine="436"/>
        <w:spacing w:after="0" w:line="267" w:lineRule="auto"/>
        <w:tabs>
          <w:tab w:leader="none" w:pos="28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any of its subsidiaries or any Initial Purchaser for a brokerage commission, finder’s fee or like payment in connection with the offering and sale of the Notes.</w:t>
      </w:r>
    </w:p>
    <w:p>
      <w:pPr>
        <w:spacing w:after="0" w:line="173" w:lineRule="exact"/>
        <w:rPr>
          <w:rFonts w:ascii="Times New Roman" w:cs="Times New Roman" w:eastAsia="Times New Roman" w:hAnsi="Times New Roman"/>
          <w:sz w:val="18"/>
          <w:szCs w:val="18"/>
          <w:color w:val="auto"/>
        </w:rPr>
      </w:pPr>
    </w:p>
    <w:p>
      <w:pPr>
        <w:ind w:left="-436" w:right="20" w:firstLine="436"/>
        <w:spacing w:after="0" w:line="284" w:lineRule="auto"/>
        <w:tabs>
          <w:tab w:leader="none" w:pos="30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Company has not taken, directly or indirectly, without giving effect to any activities by the Initial Purchasers,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Notes.</w:t>
      </w:r>
    </w:p>
    <w:p>
      <w:pPr>
        <w:spacing w:after="0" w:line="158" w:lineRule="exact"/>
        <w:rPr>
          <w:rFonts w:ascii="Times New Roman" w:cs="Times New Roman" w:eastAsia="Times New Roman" w:hAnsi="Times New Roman"/>
          <w:sz w:val="18"/>
          <w:szCs w:val="18"/>
          <w:color w:val="auto"/>
        </w:rPr>
      </w:pPr>
    </w:p>
    <w:p>
      <w:pPr>
        <w:ind w:left="-436" w:firstLine="436"/>
        <w:spacing w:after="0" w:line="267"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the Pricing Disclosure Package or the Offering Memorandum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436" w:right="280" w:firstLine="436"/>
        <w:spacing w:after="0" w:line="267"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 statistical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market-related data included in the Pricing Disclosure Package and the Offering Memorandum is not based on or derived from sources that are reasonably reliable and accurate in all material respects.</w:t>
      </w:r>
    </w:p>
    <w:p>
      <w:pPr>
        <w:spacing w:after="0" w:line="173" w:lineRule="exact"/>
        <w:rPr>
          <w:rFonts w:ascii="Times New Roman" w:cs="Times New Roman" w:eastAsia="Times New Roman" w:hAnsi="Times New Roman"/>
          <w:sz w:val="18"/>
          <w:szCs w:val="18"/>
          <w:color w:val="auto"/>
        </w:rPr>
      </w:pPr>
    </w:p>
    <w:p>
      <w:pPr>
        <w:ind w:left="-436" w:firstLine="436"/>
        <w:spacing w:after="0" w:line="26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67" w:lineRule="auto"/>
        <w:tabs>
          <w:tab w:leader="none" w:pos="42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38a-1 Compliance</w:t>
      </w:r>
      <w:r>
        <w:rPr>
          <w:rFonts w:ascii="Times New Roman" w:cs="Times New Roman" w:eastAsia="Times New Roman" w:hAnsi="Times New Roman"/>
          <w:sz w:val="18"/>
          <w:szCs w:val="18"/>
          <w:color w:val="auto"/>
        </w:rPr>
        <w:t>. The Company has adopted and implemented written policies and procedures reasonably designed to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173" w:lineRule="exact"/>
        <w:rPr>
          <w:rFonts w:ascii="Times New Roman" w:cs="Times New Roman" w:eastAsia="Times New Roman" w:hAnsi="Times New Roman"/>
          <w:sz w:val="18"/>
          <w:szCs w:val="18"/>
          <w:color w:val="auto"/>
        </w:rPr>
      </w:pPr>
    </w:p>
    <w:p>
      <w:pPr>
        <w:jc w:val="both"/>
        <w:ind w:left="-436" w:right="40" w:firstLine="436"/>
        <w:spacing w:after="0" w:line="261"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 manner so as to enable the Company to continue to qualify as a regulated investment company under Subchapter M of the Code. The Company intends to direct the investment of the proceeds of the offering of the Notes in such a manner as to comply with the requirements of Subchapter M of the Code.</w:t>
      </w:r>
    </w:p>
    <w:p>
      <w:pPr>
        <w:spacing w:after="0" w:line="179" w:lineRule="exact"/>
        <w:rPr>
          <w:rFonts w:ascii="Times New Roman" w:cs="Times New Roman" w:eastAsia="Times New Roman" w:hAnsi="Times New Roman"/>
          <w:sz w:val="18"/>
          <w:szCs w:val="18"/>
          <w:color w:val="auto"/>
        </w:rPr>
      </w:pPr>
    </w:p>
    <w:p>
      <w:pPr>
        <w:ind w:left="-436" w:right="60" w:firstLine="436"/>
        <w:spacing w:after="0" w:line="267" w:lineRule="auto"/>
        <w:tabs>
          <w:tab w:leader="none" w:pos="34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w:t>
      </w:r>
      <w:r>
        <w:rPr>
          <w:rFonts w:ascii="Times New Roman" w:cs="Times New Roman" w:eastAsia="Times New Roman" w:hAnsi="Times New Roman"/>
          <w:sz w:val="18"/>
          <w:szCs w:val="18"/>
          <w:color w:val="auto"/>
        </w:rPr>
        <w:t>(A) To the Company’s knowledge, since the Company’s inception in 2022, there has been no material security breach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compromise of or relating to the Company’s or its subsidiaries’ information technology and computer systems, networks, hardware, software, data and databases (including the data and information of their respective</w:t>
      </w:r>
    </w:p>
    <w:p>
      <w:pPr>
        <w:sectPr>
          <w:pgSz w:w="11900" w:h="16838" w:orient="portrait"/>
          <w:cols w:equalWidth="0" w:num="1">
            <w:col w:w="10564"/>
          </w:cols>
          <w:pgMar w:left="876" w:top="268" w:right="459" w:bottom="1440" w:gutter="0" w:footer="0" w:header="0"/>
        </w:sectPr>
      </w:pPr>
    </w:p>
    <w:bookmarkStart w:id="18" w:name="page19"/>
    <w:bookmarkEnd w:id="18"/>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customers, employees, suppliers, vendors and any third party data maintained, processed or stored by the Company and its subsidiaries, and any such data processed or stored by third parties on behalf of the Company and its subsidiaries) (collectively, “IT Systems and Data”); (B) in the last three years, neither the Company nor its subsidiaries have been notified of, and have no knowledge of any material event or condition that would reasonably be expected to result in, any such material security breach or other material compromise to their IT Systems and Data and (C) the Company and its subsidiaries have implemented controls, policies, procedures, and technological safeguards reasonably designed to maintain and protect the integrity, continuous operation, redundancy and security of their IT Systems and Data reasonably consistent with industry standards and practices, or as required by applicable regulatory standards. The Company and its subsidiaries are presently in material compliance with all applicable laws or statutes and all applicable judgments, orders, rules and regulations of any court or arbitrator or governmental or regulatory authority and internal policies relating to the privacy and security of IT Systems and Data.</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and warrants to, and agrees with, each Initial Purchaser that:</w:t>
      </w:r>
    </w:p>
    <w:p>
      <w:pPr>
        <w:spacing w:after="0" w:line="223" w:lineRule="exact"/>
        <w:rPr>
          <w:sz w:val="20"/>
          <w:szCs w:val="20"/>
          <w:color w:val="auto"/>
        </w:rPr>
      </w:pPr>
    </w:p>
    <w:p>
      <w:pPr>
        <w:ind w:left="4" w:firstLine="436"/>
        <w:spacing w:after="0" w:line="277" w:lineRule="auto"/>
        <w:tabs>
          <w:tab w:leader="none" w:pos="689"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Material Adverse Change. </w:t>
      </w:r>
      <w:r>
        <w:rPr>
          <w:rFonts w:ascii="Times New Roman" w:cs="Times New Roman" w:eastAsia="Times New Roman" w:hAnsi="Times New Roman"/>
          <w:sz w:val="17"/>
          <w:szCs w:val="17"/>
          <w:color w:val="auto"/>
        </w:rPr>
        <w:t>Except as disclosed in the Pricing Disclosure Package and the Offering Memorandum, since the date of the most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recent financial statements of the Company included or incorporated by reference in the Pricing Disclosure Package and the Offering Memorandum,</w:t>
      </w:r>
    </w:p>
    <w:p>
      <w:pPr>
        <w:spacing w:after="0" w:line="1" w:lineRule="exact"/>
        <w:rPr>
          <w:rFonts w:ascii="Times New Roman" w:cs="Times New Roman" w:eastAsia="Times New Roman" w:hAnsi="Times New Roman"/>
          <w:sz w:val="17"/>
          <w:szCs w:val="17"/>
          <w:color w:val="auto"/>
        </w:rPr>
      </w:pPr>
    </w:p>
    <w:p>
      <w:pPr>
        <w:ind w:left="4" w:right="180" w:hanging="4"/>
        <w:spacing w:after="0" w:line="253" w:lineRule="auto"/>
        <w:tabs>
          <w:tab w:leader="none" w:pos="21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184"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Adviser and each of its subsidiaries have been duly organized and are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ectPr>
          <w:pgSz w:w="11900" w:h="16838" w:orient="portrait"/>
          <w:cols w:equalWidth="0" w:num="1">
            <w:col w:w="10984"/>
          </w:cols>
          <w:pgMar w:left="436" w:top="270" w:right="479" w:bottom="1440" w:gutter="0" w:footer="0" w:header="0"/>
        </w:sectPr>
      </w:pPr>
    </w:p>
    <w:bookmarkStart w:id="19" w:name="page20"/>
    <w:bookmarkEnd w:id="19"/>
    <w:p>
      <w:pPr>
        <w:ind w:right="60" w:firstLine="436"/>
        <w:spacing w:after="0" w:line="258"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as an Investment Adviser</w:t>
      </w:r>
      <w:r>
        <w:rPr>
          <w:rFonts w:ascii="Times New Roman" w:cs="Times New Roman" w:eastAsia="Times New Roman" w:hAnsi="Times New Roman"/>
          <w:sz w:val="18"/>
          <w:szCs w:val="18"/>
          <w:color w:val="auto"/>
        </w:rPr>
        <w:t>. The Adviser is duly registered with the Commission as an investment adviser under the Advisers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Adviser is not prohibited by the Advisers Act or the Investment Company Act from acting under the Investment Management Agreement as an investment adviser to the Company, as contemplated by the Pricing Disclosure Package and the Offering Memorandum.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Adviser.</w:t>
      </w:r>
    </w:p>
    <w:p>
      <w:pPr>
        <w:spacing w:after="0" w:line="225" w:lineRule="exact"/>
        <w:rPr>
          <w:rFonts w:ascii="Times New Roman" w:cs="Times New Roman" w:eastAsia="Times New Roman" w:hAnsi="Times New Roman"/>
          <w:sz w:val="18"/>
          <w:szCs w:val="18"/>
          <w:color w:val="auto"/>
        </w:rPr>
      </w:pPr>
    </w:p>
    <w:p>
      <w:pPr>
        <w:ind w:right="320" w:firstLine="436"/>
        <w:spacing w:after="0" w:line="261" w:lineRule="auto"/>
        <w:tabs>
          <w:tab w:leader="none" w:pos="6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Management Agreement and the Administration Agreement. </w:t>
      </w:r>
      <w:r>
        <w:rPr>
          <w:rFonts w:ascii="Times New Roman" w:cs="Times New Roman" w:eastAsia="Times New Roman" w:hAnsi="Times New Roman"/>
          <w:sz w:val="18"/>
          <w:szCs w:val="18"/>
          <w:color w:val="auto"/>
        </w:rPr>
        <w:t>The Investment Management Agreement and the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Adviser nor any of its subsidiaries is (i) in violation of its charter or by-laws or similar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18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Adviser of this Agreement and the performance by the Adviser of the</w:t>
      </w:r>
    </w:p>
    <w:p>
      <w:pPr>
        <w:spacing w:after="0" w:line="29"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ectPr>
          <w:pgSz w:w="11900" w:h="16838" w:orient="portrait"/>
          <w:cols w:equalWidth="0" w:num="1">
            <w:col w:w="11000"/>
          </w:cols>
          <w:pgMar w:left="440" w:top="268" w:right="459" w:bottom="1440" w:gutter="0" w:footer="0" w:header="0"/>
        </w:sectPr>
      </w:pPr>
    </w:p>
    <w:bookmarkStart w:id="20" w:name="page21"/>
    <w:bookmarkEnd w:id="20"/>
    <w:p>
      <w:pPr>
        <w:ind w:left="-436" w:firstLine="436"/>
        <w:spacing w:after="0" w:line="257"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Consents Required. </w:t>
      </w:r>
      <w:r>
        <w:rPr>
          <w:rFonts w:ascii="Times New Roman" w:cs="Times New Roman" w:eastAsia="Times New Roman" w:hAnsi="Times New Roman"/>
          <w:sz w:val="18"/>
          <w:szCs w:val="18"/>
          <w:color w:val="auto"/>
        </w:rPr>
        <w:t>No consent, approval, authorization, order, license, registration or qualification of or with any court or arbitrator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182"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Pricing Disclosure Package and the Offering Memorandum, there are no legal,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would be required to be described in the Pricing Disclosure Package or the Offering Memorandum if the offering of the Notes was pursuant to a registration under the Securities Act that are not so described in the Pricing Disclosure Package and the Offering Memorandum.</w:t>
      </w:r>
    </w:p>
    <w:p>
      <w:pPr>
        <w:spacing w:after="0" w:line="185"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Adviser and its subsidiaries possess all licenses, certificates, permits and other authorizations issued by, and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Pricing Disclosure Package and the Offering Memorandum, except where the failure to possess or make the same would not reasonably be expected, individually or in the aggregate, to have an Adviser Material Adverse Effect; and except as described in the Pricing Disclosure Package and the Offering Memorandum,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188" w:lineRule="exact"/>
        <w:rPr>
          <w:rFonts w:ascii="Times New Roman" w:cs="Times New Roman" w:eastAsia="Times New Roman" w:hAnsi="Times New Roman"/>
          <w:sz w:val="18"/>
          <w:szCs w:val="18"/>
          <w:color w:val="auto"/>
        </w:rPr>
      </w:pPr>
    </w:p>
    <w:p>
      <w:pPr>
        <w:jc w:val="both"/>
        <w:ind w:left="-436" w:right="20" w:firstLine="436"/>
        <w:spacing w:after="0" w:line="267"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Description of the Adviser</w:t>
      </w:r>
      <w:r>
        <w:rPr>
          <w:rFonts w:ascii="Times New Roman" w:cs="Times New Roman" w:eastAsia="Times New Roman" w:hAnsi="Times New Roman"/>
          <w:sz w:val="18"/>
          <w:szCs w:val="18"/>
          <w:color w:val="auto"/>
        </w:rPr>
        <w:t>. The description of the Adviser and its respective principals and business in the Pricing Disclosure Package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Memorandum does not and will not contain an untrue statement of a material fact or omit to state a material fact required to be stated therein or necessary to make the statements therein, in the light of the circumstances under which they were made, not misleading.</w:t>
      </w:r>
    </w:p>
    <w:p>
      <w:pPr>
        <w:sectPr>
          <w:pgSz w:w="11900" w:h="16838" w:orient="portrait"/>
          <w:cols w:equalWidth="0" w:num="1">
            <w:col w:w="10564"/>
          </w:cols>
          <w:pgMar w:left="876" w:top="268" w:right="459" w:bottom="1440" w:gutter="0" w:footer="0" w:header="0"/>
        </w:sectPr>
      </w:pPr>
    </w:p>
    <w:bookmarkStart w:id="21" w:name="page22"/>
    <w:bookmarkEnd w:id="21"/>
    <w:p>
      <w:pPr>
        <w:ind w:left="4" w:right="20" w:firstLine="436"/>
        <w:spacing w:after="0" w:line="267" w:lineRule="auto"/>
        <w:tabs>
          <w:tab w:leader="none" w:pos="65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in the Pricing Disclosure Package, the Offering Memorandum, and under this Agreement, the Investment Management Agreement and the Administration Agreement.</w:t>
      </w:r>
    </w:p>
    <w:p>
      <w:pPr>
        <w:spacing w:after="0" w:line="17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Adviser maintains a system of internal accounting controls sufficient to provide reasonable assurance that</w:t>
      </w:r>
    </w:p>
    <w:p>
      <w:pPr>
        <w:spacing w:after="0" w:line="29" w:lineRule="exact"/>
        <w:rPr>
          <w:rFonts w:ascii="Times New Roman" w:cs="Times New Roman" w:eastAsia="Times New Roman" w:hAnsi="Times New Roman"/>
          <w:sz w:val="18"/>
          <w:szCs w:val="18"/>
          <w:color w:val="auto"/>
        </w:rPr>
      </w:pPr>
    </w:p>
    <w:p>
      <w:pPr>
        <w:ind w:left="4" w:right="40" w:hanging="4"/>
        <w:spacing w:after="0" w:line="250" w:lineRule="auto"/>
        <w:tabs>
          <w:tab w:leader="none" w:pos="2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of the Company and its subsidiaries is permitted only in accordance with its management’s general or specific authorization; and</w:t>
      </w:r>
    </w:p>
    <w:p>
      <w:pPr>
        <w:spacing w:after="0" w:line="9" w:lineRule="exact"/>
        <w:rPr>
          <w:rFonts w:ascii="Times New Roman" w:cs="Times New Roman" w:eastAsia="Times New Roman" w:hAnsi="Times New Roman"/>
          <w:sz w:val="18"/>
          <w:szCs w:val="18"/>
          <w:color w:val="auto"/>
        </w:rPr>
      </w:pPr>
    </w:p>
    <w:p>
      <w:pPr>
        <w:ind w:left="4" w:right="340" w:hanging="4"/>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existing assets at reasonable intervals and appropriate action is taken with respect to any differences.</w:t>
      </w:r>
    </w:p>
    <w:p>
      <w:pPr>
        <w:spacing w:after="0" w:line="179"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Adviser nor any of its subsidiaries nor any director, officer, or employee of the Adviser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1" w:lineRule="exact"/>
        <w:rPr>
          <w:rFonts w:ascii="Times New Roman" w:cs="Times New Roman" w:eastAsia="Times New Roman" w:hAnsi="Times New Roman"/>
          <w:sz w:val="18"/>
          <w:szCs w:val="18"/>
          <w:color w:val="auto"/>
        </w:rPr>
      </w:pPr>
    </w:p>
    <w:p>
      <w:pPr>
        <w:ind w:left="4" w:right="100" w:hanging="4"/>
        <w:spacing w:after="0" w:line="253" w:lineRule="auto"/>
        <w:tabs>
          <w:tab w:leader="none" w:pos="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186"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Money Laundering Laws</w:t>
      </w:r>
      <w:r>
        <w:rPr>
          <w:rFonts w:ascii="Times New Roman" w:cs="Times New Roman" w:eastAsia="Times New Roman" w:hAnsi="Times New Roman"/>
          <w:sz w:val="18"/>
          <w:szCs w:val="18"/>
          <w:color w:val="auto"/>
        </w:rPr>
        <w:t>. The operations of the Adviser and its subsidiaries are and have been conducted at all times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183" w:lineRule="exact"/>
        <w:rPr>
          <w:rFonts w:ascii="Times New Roman" w:cs="Times New Roman" w:eastAsia="Times New Roman" w:hAnsi="Times New Roman"/>
          <w:sz w:val="18"/>
          <w:szCs w:val="18"/>
          <w:color w:val="auto"/>
        </w:rPr>
      </w:pPr>
    </w:p>
    <w:p>
      <w:pPr>
        <w:ind w:left="4" w:firstLine="436"/>
        <w:spacing w:after="0" w:line="267" w:lineRule="auto"/>
        <w:tabs>
          <w:tab w:leader="none" w:pos="6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Adviser nor any of its subsidiaries, directors, officers or employees,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any agent, or affiliate or other person associated with or acting on behalf of the Adviser or any of its subsidiaries is currently the subject or the target of any Sanctions, nor is the Adviser, any of its subsidiaries</w:t>
      </w:r>
    </w:p>
    <w:p>
      <w:pPr>
        <w:sectPr>
          <w:pgSz w:w="11900" w:h="16838" w:orient="portrait"/>
          <w:cols w:equalWidth="0" w:num="1">
            <w:col w:w="11004"/>
          </w:cols>
          <w:pgMar w:left="436" w:top="268" w:right="459" w:bottom="1440" w:gutter="0" w:footer="0" w:header="0"/>
        </w:sectPr>
      </w:pPr>
    </w:p>
    <w:bookmarkStart w:id="22" w:name="page23"/>
    <w:bookmarkEnd w:id="22"/>
    <w:p>
      <w:pPr>
        <w:ind w:left="4"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located, organized or resident in a Sanctioned Territory.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174" w:lineRule="exact"/>
        <w:rPr>
          <w:sz w:val="20"/>
          <w:szCs w:val="20"/>
          <w:color w:val="auto"/>
        </w:rPr>
      </w:pPr>
    </w:p>
    <w:p>
      <w:pPr>
        <w:ind w:left="4" w:right="200" w:firstLine="436"/>
        <w:spacing w:after="0" w:line="284"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The Adviser has not taken, directly or indirectly, without giving effect to any activities by the Initial Purchasers,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or that would reasonably be expected to cause or result in any stabilization or manipulation of the price of the Notes.</w:t>
      </w:r>
    </w:p>
    <w:p>
      <w:pPr>
        <w:spacing w:after="0" w:line="158" w:lineRule="exact"/>
        <w:rPr>
          <w:rFonts w:ascii="Times New Roman" w:cs="Times New Roman" w:eastAsia="Times New Roman" w:hAnsi="Times New Roman"/>
          <w:sz w:val="18"/>
          <w:szCs w:val="18"/>
          <w:color w:val="auto"/>
        </w:rPr>
      </w:pPr>
    </w:p>
    <w:p>
      <w:pPr>
        <w:ind w:left="4" w:firstLine="436"/>
        <w:spacing w:after="0" w:line="267" w:lineRule="auto"/>
        <w:tabs>
          <w:tab w:leader="none" w:pos="66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Adviser nor any of its affiliates (as defined in Rule 501(b) of Regulation D) has, directly or through any agent,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for sale, solicited offers to buy or otherwise negotiated in respect of, any security (as defined in the Securities Act), that is or will be integrated with the sale of the Notes in a manner that would require registration of the Notes under the Securities Act.</w:t>
      </w:r>
    </w:p>
    <w:p>
      <w:pPr>
        <w:spacing w:after="0" w:line="1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w:t>
      </w:r>
      <w:r>
        <w:rPr>
          <w:rFonts w:ascii="Times New Roman" w:cs="Times New Roman" w:eastAsia="Times New Roman" w:hAnsi="Times New Roman"/>
          <w:sz w:val="18"/>
          <w:szCs w:val="18"/>
          <w:color w:val="auto"/>
        </w:rPr>
        <w:t>. Neither the Adviser nor any of its affiliates or any other person acting on their behalf (other than the Initial</w:t>
      </w:r>
    </w:p>
    <w:p>
      <w:pPr>
        <w:spacing w:after="0" w:line="29" w:lineRule="exact"/>
        <w:rPr>
          <w:rFonts w:ascii="Times New Roman" w:cs="Times New Roman" w:eastAsia="Times New Roman" w:hAnsi="Times New Roman"/>
          <w:sz w:val="18"/>
          <w:szCs w:val="18"/>
          <w:color w:val="auto"/>
        </w:rPr>
      </w:pPr>
    </w:p>
    <w:p>
      <w:pPr>
        <w:ind w:left="4" w:right="1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Purchasers, as to which no representation is made) has solicited offers for, or offered or sold, the Notes by means of any form of general solicitation or general advertising within the meaning of Rule 502(c) of Regulation D or in any manner involving a public offering within the meaning of Section 4(a)</w:t>
      </w: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w:t>
      </w:r>
    </w:p>
    <w:p>
      <w:pPr>
        <w:spacing w:after="0" w:line="204"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5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Key Employees. </w:t>
      </w:r>
      <w:r>
        <w:rPr>
          <w:rFonts w:ascii="Times New Roman" w:cs="Times New Roman" w:eastAsia="Times New Roman" w:hAnsi="Times New Roman"/>
          <w:sz w:val="18"/>
          <w:szCs w:val="18"/>
          <w:color w:val="auto"/>
        </w:rPr>
        <w:t>The Adviser is not aware that (i) any of its executives, key employees or significant group of employees plans to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179"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Adviser or any of its subsidiaries exists or, to the knowledge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Initial Purchaser that:</w:t>
      </w:r>
    </w:p>
    <w:p>
      <w:pPr>
        <w:spacing w:after="0" w:line="223" w:lineRule="exact"/>
        <w:rPr>
          <w:sz w:val="20"/>
          <w:szCs w:val="20"/>
          <w:color w:val="auto"/>
        </w:rPr>
      </w:pPr>
    </w:p>
    <w:p>
      <w:pPr>
        <w:ind w:left="4" w:right="480" w:firstLine="436"/>
        <w:spacing w:after="0" w:line="267" w:lineRule="auto"/>
        <w:tabs>
          <w:tab w:leader="none" w:pos="6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has delivered to each Initial Purchaser, without charge, as many copies of the Preliminary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as such Initial Purchaser reasonably requested. The Company will furnish to each Initial Purchaser, without charge, such number of copies of the Offering Memorandum (as amended or supplemented) as such Initial Purchaser may reasonably request.</w:t>
      </w:r>
    </w:p>
    <w:p>
      <w:pPr>
        <w:spacing w:after="0" w:line="173"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w:t>
      </w:r>
      <w:r>
        <w:rPr>
          <w:rFonts w:ascii="Times New Roman" w:cs="Times New Roman" w:eastAsia="Times New Roman" w:hAnsi="Times New Roman"/>
          <w:sz w:val="18"/>
          <w:szCs w:val="18"/>
          <w:color w:val="auto"/>
        </w:rPr>
        <w:t>Before using, authorizing, approving, referring to or distributing any amendment or supplement to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or the Offering Memorandum, the Company will furnish to the Representative and counsel for the Initial Purchasers a copy of the proposed amendment or supplement for review and will not use, authorize, approve, refer to or distribute any such proposed amendment or supplement to which the Representative reasonably objects in a timely manner.</w:t>
      </w:r>
    </w:p>
    <w:p>
      <w:pPr>
        <w:sectPr>
          <w:pgSz w:w="11900" w:h="16838" w:orient="portrait"/>
          <w:cols w:equalWidth="0" w:num="1">
            <w:col w:w="11004"/>
          </w:cols>
          <w:pgMar w:left="436" w:top="270" w:right="459" w:bottom="1440" w:gutter="0" w:footer="0" w:header="0"/>
        </w:sectPr>
      </w:pPr>
    </w:p>
    <w:bookmarkStart w:id="23" w:name="page24"/>
    <w:bookmarkEnd w:id="23"/>
    <w:p>
      <w:pPr>
        <w:jc w:val="both"/>
        <w:ind w:left="-436" w:right="160" w:firstLine="436"/>
        <w:spacing w:after="0" w:line="267"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Marketing Materials</w:t>
      </w:r>
      <w:r>
        <w:rPr>
          <w:rFonts w:ascii="Times New Roman" w:cs="Times New Roman" w:eastAsia="Times New Roman" w:hAnsi="Times New Roman"/>
          <w:sz w:val="18"/>
          <w:szCs w:val="18"/>
          <w:color w:val="auto"/>
        </w:rPr>
        <w:t>. Before using, authorizing, approving, referring to or distributing any Marketing Materials, the Company will furnish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and counsel for the Initial Purchasers a copy of such materials for review and will not use, authorize, approve, refer to or distribute any such materials to which the Representative reasonably object in a timely manner.</w:t>
      </w:r>
    </w:p>
    <w:p>
      <w:pPr>
        <w:spacing w:after="0" w:line="173" w:lineRule="exact"/>
        <w:rPr>
          <w:rFonts w:ascii="Times New Roman" w:cs="Times New Roman" w:eastAsia="Times New Roman" w:hAnsi="Times New Roman"/>
          <w:sz w:val="18"/>
          <w:szCs w:val="18"/>
          <w:color w:val="auto"/>
        </w:rPr>
      </w:pPr>
    </w:p>
    <w:p>
      <w:pPr>
        <w:ind w:left="-436" w:right="40" w:firstLine="436"/>
        <w:spacing w:after="0" w:line="253"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of the issuance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or regulatory authority of any order preventing or suspending the use of the Pricing Disclosure Package, any Marketing Materials or the Offering Memorandum or the initiation or threatening of any proceeding for that purpose; (ii) of the occurrence of any event or development at any time prior to the completion of the offering of the Notes, as a result of which the Pricing Disclosure Package, any Marketing Materials or the Offering Memorandum, as then amended or supplemented, would include any untrue statement of a material fact or omit to state a material fact necessary in order to make the statements therein, in the light of the circumstances existing when the Pricing Disclosure Package, such Marketing Materials or the Offering Memorandum is delivered to a purchaser, not misleading; (iii) of the receipt of any oral or written comments from the Commission, whether or not related to the offering of the Notes; and (iv) of the receipt by the Company of any notice with respect to any suspension of the qualification of the Notes for offer and sale in any jurisdiction or the initiation or threatening of any proceeding for such purpose; and the Company will use commercially reasonable efforts to prevent the issuance of any such order preventing or suspending the use of any of the Pricing Disclosure Package, any Marketing Materials or the Offering Memorandum or suspending any such qualification of the Notes and, if any such order is issued, will use commercially reasonable efforts to obtain as soon as possible the withdrawal thereof.</w:t>
      </w:r>
    </w:p>
    <w:p>
      <w:pPr>
        <w:spacing w:after="0" w:line="189" w:lineRule="exact"/>
        <w:rPr>
          <w:rFonts w:ascii="Times New Roman" w:cs="Times New Roman" w:eastAsia="Times New Roman" w:hAnsi="Times New Roman"/>
          <w:sz w:val="18"/>
          <w:szCs w:val="18"/>
          <w:color w:val="auto"/>
        </w:rPr>
      </w:pPr>
    </w:p>
    <w:p>
      <w:pPr>
        <w:ind w:left="-436" w:firstLine="436"/>
        <w:spacing w:after="0" w:line="253" w:lineRule="auto"/>
        <w:tabs>
          <w:tab w:leader="none" w:pos="24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at any time prior to the completion of the offering of the Notes (i) any event or development shall occur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shall 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immediately notify the Initial Purchasers thereof and forthwith prepare and, subject to paragraph (b) above, furnish to the Initial Purchasers and to such dealers as the Representative may designate such amendments or supplements to the Offering Memorandum as may be necessary so that the statements in the Offering Memorandum as so amended or supplemented will not, in the light of the circumstances existing when the Offering Memorandum is delivered to a purchaser, be misleading or so that the Offering Memorandum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w:t>
      </w:r>
    </w:p>
    <w:p>
      <w:pPr>
        <w:sectPr>
          <w:pgSz w:w="11900" w:h="16838" w:orient="portrait"/>
          <w:cols w:equalWidth="0" w:num="1">
            <w:col w:w="10564"/>
          </w:cols>
          <w:pgMar w:left="876" w:top="268" w:right="459" w:bottom="1440" w:gutter="0" w:footer="0" w:header="0"/>
        </w:sectPr>
      </w:pPr>
    </w:p>
    <w:bookmarkStart w:id="24" w:name="page25"/>
    <w:bookmarkEnd w:id="24"/>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not misleading or (ii) it is necessary to amend or supplement the Pricing Disclosure Package to comply with law, the Company will immediately notify the Initial Purchasers thereof and forthwith prepare and, subject to paragraph (b) above, furnish to the Initial Purchasers and to such dealers as the Representative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181" w:lineRule="exact"/>
        <w:rPr>
          <w:sz w:val="20"/>
          <w:szCs w:val="20"/>
          <w:color w:val="auto"/>
        </w:rPr>
      </w:pPr>
    </w:p>
    <w:p>
      <w:pPr>
        <w:ind w:firstLine="436"/>
        <w:spacing w:after="0" w:line="261" w:lineRule="auto"/>
        <w:tabs>
          <w:tab w:leader="none" w:pos="6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Supplying Information</w:t>
      </w:r>
      <w:r>
        <w:rPr>
          <w:rFonts w:ascii="Times New Roman" w:cs="Times New Roman" w:eastAsia="Times New Roman" w:hAnsi="Times New Roman"/>
          <w:sz w:val="18"/>
          <w:szCs w:val="18"/>
          <w:color w:val="auto"/>
        </w:rPr>
        <w:t>. While the Notes remain outstanding and are “restricted securities” within the meaning of Rule 144(a)(3)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the Company will, during any period in which the Company is not subject to and in compliance with Section 13 or 15(d) of the Exchange Act, furnish to holders of the Notes, prospective purchasers of the Securities designated by such holders and securities analysts, in each case upon request, the information required to be delivered pursuant to Rule 144A(d)(4) under the Securities Act.</w:t>
      </w:r>
    </w:p>
    <w:p>
      <w:pPr>
        <w:spacing w:after="0" w:line="179" w:lineRule="exact"/>
        <w:rPr>
          <w:rFonts w:ascii="Times New Roman" w:cs="Times New Roman" w:eastAsia="Times New Roman" w:hAnsi="Times New Roman"/>
          <w:sz w:val="18"/>
          <w:szCs w:val="18"/>
          <w:color w:val="auto"/>
        </w:rPr>
      </w:pPr>
    </w:p>
    <w:p>
      <w:pPr>
        <w:ind w:right="180" w:firstLine="436"/>
        <w:spacing w:after="0" w:line="267"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Company nor any of its affiliates (as defined in Rule 501(b) of Regulation D) will, directly or through any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offer for sale, solicit offers to buy or otherwise negotiate in respect of, any security (as defined in the Securities Act), that is or will be integrated with the sale of the Notes in a manner that would require registration of the Notes under the Securities Act.</w:t>
      </w:r>
    </w:p>
    <w:p>
      <w:pPr>
        <w:spacing w:after="0" w:line="173"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General Solicitation</w:t>
      </w:r>
      <w:r>
        <w:rPr>
          <w:rFonts w:ascii="Times New Roman" w:cs="Times New Roman" w:eastAsia="Times New Roman" w:hAnsi="Times New Roman"/>
          <w:sz w:val="18"/>
          <w:szCs w:val="18"/>
          <w:color w:val="auto"/>
        </w:rPr>
        <w:t>. None of the Company or any of its affiliates or any other person acting on its or their behalf (other than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as to which no covenant is given) will solicit offers for, or offer or sell, the Notes by means of any form of general solicitation or general advertising within the meaning of Rule 502(c) of Regulation D or in any manner involving a public offering within the meaning of Section 4(a)(2) of the Securities Act.</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Resales by the Company</w:t>
      </w:r>
      <w:r>
        <w:rPr>
          <w:rFonts w:ascii="Times New Roman" w:cs="Times New Roman" w:eastAsia="Times New Roman" w:hAnsi="Times New Roman"/>
          <w:sz w:val="18"/>
          <w:szCs w:val="18"/>
          <w:color w:val="auto"/>
        </w:rPr>
        <w:t>. During the period from the Closing Date until one year after the Closing Date, the Company will not, and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 any of its subsidiaries to, resell any of the Notes that constitute “restricted securities” under Rule 144 under the Securities Act that have been reacquired by any of them, except for Notes purchased by the Company or any of its subsidiaries and resold in a transaction registered under the Securities Act.</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use commercially reasonable efforts, in cooperation with the Representative, to qualify the Notes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 and sale under the securities or Blue Sky laws of such jurisdictions as the Representative shall reasonably request and will continue such qualifications in effect so long as required for distribution of the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required to (i) qualify as a foreign corporation or other entity or as a dealer in securities in any such jurisdiction where it would not otherwise be required to so qualify or (ii) file any general consent to service of process in any such jurisdiction.</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 Statement. </w:t>
      </w:r>
      <w:r>
        <w:rPr>
          <w:rFonts w:ascii="Times New Roman" w:cs="Times New Roman" w:eastAsia="Times New Roman" w:hAnsi="Times New Roman"/>
          <w:sz w:val="18"/>
          <w:szCs w:val="18"/>
          <w:color w:val="auto"/>
        </w:rPr>
        <w:t>The Company will make generally available to its security holders and the Representative as soon as practicable an earning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that satisfies the provisions of Section 11(a) of the Securities Act and Rule 158 of the Commission promulgated thereunder covering a period of at least twelve months beginning with the first fiscal quarter of the Company occurring after the date of the Offering Memorandum;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ectPr>
          <w:pgSz w:w="11900" w:h="16838" w:orient="portrait"/>
          <w:cols w:equalWidth="0" w:num="1">
            <w:col w:w="11000"/>
          </w:cols>
          <w:pgMar w:left="440" w:top="270" w:right="459" w:bottom="1440" w:gutter="0" w:footer="0" w:header="0"/>
        </w:sectPr>
      </w:pPr>
    </w:p>
    <w:bookmarkStart w:id="25" w:name="page26"/>
    <w:bookmarkEnd w:id="25"/>
    <w:p>
      <w:pPr>
        <w:ind w:left="-436" w:right="100" w:firstLine="436"/>
        <w:spacing w:after="0" w:line="273" w:lineRule="auto"/>
        <w:tabs>
          <w:tab w:leader="none" w:pos="21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Clear Market. </w:t>
      </w:r>
      <w:r>
        <w:rPr>
          <w:rFonts w:ascii="Times New Roman" w:cs="Times New Roman" w:eastAsia="Times New Roman" w:hAnsi="Times New Roman"/>
          <w:sz w:val="17"/>
          <w:szCs w:val="17"/>
          <w:color w:val="auto"/>
        </w:rPr>
        <w:t>Through the Closing Date, the Company will not (i) offer, pledge, sell, contract to sell, sell any option or contract to 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any option or contract to sell, grant any option, right or warrant to purchase, or otherwise transfer or dispose of, directly or indirectly, or file with the Commission a registration statement under the Securities Act relating to, any debt securities issued or guaranteed by the Company or any securities convertible into or exercisable or exchangeable for debt securities issued or guaranteed by the Company, or publicly disclose the intention to make any such offer, sale, pledge, disposition or filing, or (ii) enter into any swap or other agreement that transfers, in whole or in part, any of the economic consequences of ownership of the debt securities issued or guaranteed by the Company or any such other securities, without the prior written consent of the Representative on behalf of the Initial Purchasers, other than the Notes to be sold hereunder for purposes of interest rate hedging.</w:t>
      </w:r>
    </w:p>
    <w:p>
      <w:pPr>
        <w:spacing w:after="0" w:line="171" w:lineRule="exact"/>
        <w:rPr>
          <w:rFonts w:ascii="Times New Roman" w:cs="Times New Roman" w:eastAsia="Times New Roman" w:hAnsi="Times New Roman"/>
          <w:sz w:val="17"/>
          <w:szCs w:val="17"/>
          <w:color w:val="auto"/>
        </w:rPr>
      </w:pPr>
    </w:p>
    <w:p>
      <w:pPr>
        <w:ind w:left="-436" w:right="440" w:firstLine="436"/>
        <w:spacing w:after="0" w:line="284" w:lineRule="auto"/>
        <w:tabs>
          <w:tab w:leader="none" w:pos="3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Notes in all material respects as described in the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Package and the Offering Memorandum under the heading “Use of Proceeds”.</w:t>
      </w:r>
    </w:p>
    <w:p>
      <w:pPr>
        <w:spacing w:after="0" w:line="158"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one year from the date of this Agreement, so long as the Notes are outstanding, the Company will furnish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Representative, as soon as commercially reasonable after the date they are available, copies of all reports or other communications (financial or other) furnished to holders of the Notes, and copies of any reports and financial statements furnished to or filed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 to the extent they are filed on EDGAR.</w:t>
      </w:r>
    </w:p>
    <w:p>
      <w:pPr>
        <w:spacing w:after="0" w:line="183" w:lineRule="exact"/>
        <w:rPr>
          <w:rFonts w:ascii="Times New Roman" w:cs="Times New Roman" w:eastAsia="Times New Roman" w:hAnsi="Times New Roman"/>
          <w:sz w:val="18"/>
          <w:szCs w:val="18"/>
          <w:color w:val="auto"/>
        </w:rPr>
      </w:pPr>
    </w:p>
    <w:p>
      <w:pPr>
        <w:ind w:left="-436" w:right="640" w:firstLine="436"/>
        <w:spacing w:after="0" w:line="284"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w:t>
      </w:r>
      <w:r>
        <w:rPr>
          <w:rFonts w:ascii="Times New Roman" w:cs="Times New Roman" w:eastAsia="Times New Roman" w:hAnsi="Times New Roman"/>
          <w:sz w:val="18"/>
          <w:szCs w:val="18"/>
          <w:color w:val="auto"/>
        </w:rPr>
        <w:t>. The Company will promptly notify the Representative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completion of the distribution of Notes within the meaning of the Securities Act.</w:t>
      </w:r>
    </w:p>
    <w:p>
      <w:pPr>
        <w:spacing w:after="0" w:line="158"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Development Company</w:t>
      </w:r>
      <w:r>
        <w:rPr>
          <w:rFonts w:ascii="Times New Roman" w:cs="Times New Roman" w:eastAsia="Times New Roman" w:hAnsi="Times New Roman"/>
          <w:sz w:val="18"/>
          <w:szCs w:val="18"/>
          <w:color w:val="auto"/>
        </w:rPr>
        <w:t>. The Company, during a period of twelve months from the date of the Offering Memorandum, will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commercially reasonable efforts to maintain its status as a business development company under the Investment Company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179" w:lineRule="exact"/>
        <w:rPr>
          <w:rFonts w:ascii="Times New Roman" w:cs="Times New Roman" w:eastAsia="Times New Roman" w:hAnsi="Times New Roman"/>
          <w:sz w:val="18"/>
          <w:szCs w:val="18"/>
          <w:color w:val="auto"/>
        </w:rPr>
      </w:pPr>
    </w:p>
    <w:p>
      <w:pPr>
        <w:ind w:left="-436" w:firstLine="436"/>
        <w:spacing w:after="0" w:line="267"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Regulated Investment Company. </w:t>
      </w:r>
      <w:r>
        <w:rPr>
          <w:rFonts w:ascii="Times New Roman" w:cs="Times New Roman" w:eastAsia="Times New Roman" w:hAnsi="Times New Roman"/>
          <w:sz w:val="18"/>
          <w:szCs w:val="18"/>
          <w:color w:val="auto"/>
        </w:rPr>
        <w:t>The Company will use commercially reasonable efforts to maintain in effect its qualification and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treated as a regulated investment company under Subchapter M of the Code for each taxable year during which it is a business development company under the Investment Company Act.</w:t>
      </w:r>
    </w:p>
    <w:p>
      <w:pPr>
        <w:sectPr>
          <w:pgSz w:w="11900" w:h="16838" w:orient="portrait"/>
          <w:cols w:equalWidth="0" w:num="1">
            <w:col w:w="10544"/>
          </w:cols>
          <w:pgMar w:left="876" w:top="268" w:right="479" w:bottom="1440" w:gutter="0" w:footer="0" w:header="0"/>
        </w:sectPr>
      </w:pPr>
    </w:p>
    <w:bookmarkStart w:id="26" w:name="page27"/>
    <w:bookmarkEnd w:id="26"/>
    <w:p>
      <w:pPr>
        <w:ind w:left="-436" w:firstLine="436"/>
        <w:spacing w:after="0" w:line="258" w:lineRule="auto"/>
        <w:tabs>
          <w:tab w:leader="none" w:pos="2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Compliance Reviews</w:t>
      </w:r>
      <w:r>
        <w:rPr>
          <w:rFonts w:ascii="Times New Roman" w:cs="Times New Roman" w:eastAsia="Times New Roman" w:hAnsi="Times New Roman"/>
          <w:sz w:val="18"/>
          <w:szCs w:val="18"/>
          <w:color w:val="auto"/>
        </w:rPr>
        <w:t>. The Company will retain qualified accountants and qualified tax experts (i) to test procedures and conduct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75" w:lineRule="exact"/>
        <w:rPr>
          <w:rFonts w:ascii="Times New Roman" w:cs="Times New Roman" w:eastAsia="Times New Roman" w:hAnsi="Times New Roman"/>
          <w:sz w:val="18"/>
          <w:szCs w:val="18"/>
          <w:color w:val="auto"/>
        </w:rPr>
      </w:pPr>
    </w:p>
    <w:p>
      <w:pPr>
        <w:ind w:left="-436" w:right="620" w:firstLine="436"/>
        <w:spacing w:after="0" w:line="284" w:lineRule="auto"/>
        <w:tabs>
          <w:tab w:leader="none" w:pos="2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Legends</w:t>
      </w:r>
      <w:r>
        <w:rPr>
          <w:rFonts w:ascii="Times New Roman" w:cs="Times New Roman" w:eastAsia="Times New Roman" w:hAnsi="Times New Roman"/>
          <w:sz w:val="18"/>
          <w:szCs w:val="18"/>
          <w:color w:val="auto"/>
        </w:rPr>
        <w:t>. Each of the Notes will bear, to the extent applicable, the legend contained in “Transfer Restrictions” in the Pricing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Offering Memorandum for the time period and upon the other terms stated therein.</w:t>
      </w:r>
    </w:p>
    <w:p>
      <w:pPr>
        <w:spacing w:after="0" w:line="52" w:lineRule="exact"/>
        <w:rPr>
          <w:sz w:val="20"/>
          <w:szCs w:val="20"/>
          <w:color w:val="auto"/>
        </w:rPr>
      </w:pPr>
    </w:p>
    <w:p>
      <w:pPr>
        <w:ind w:left="-436" w:right="200" w:firstLine="436"/>
        <w:spacing w:after="0" w:line="258" w:lineRule="auto"/>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Initial Purchasers</w:t>
      </w:r>
      <w:r>
        <w:rPr>
          <w:rFonts w:ascii="Times New Roman" w:cs="Times New Roman" w:eastAsia="Times New Roman" w:hAnsi="Times New Roman"/>
          <w:sz w:val="18"/>
          <w:szCs w:val="18"/>
          <w:color w:val="auto"/>
        </w:rPr>
        <w:t>. Each Initial Purchaser hereby represents, warrants and agrees that 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Notes, other than materials contained in the Pricing Disclosure Package, any Marketing Materials and the Offering Memorandum or any other offering materials prepared by or with the prior written consent of the Company.</w:t>
      </w:r>
    </w:p>
    <w:p>
      <w:pPr>
        <w:spacing w:after="0" w:line="75" w:lineRule="exact"/>
        <w:rPr>
          <w:rFonts w:ascii="Times New Roman" w:cs="Times New Roman" w:eastAsia="Times New Roman" w:hAnsi="Times New Roman"/>
          <w:sz w:val="18"/>
          <w:szCs w:val="18"/>
          <w:color w:val="auto"/>
        </w:rPr>
      </w:pPr>
    </w:p>
    <w:p>
      <w:pPr>
        <w:ind w:left="-436" w:right="260" w:firstLine="436"/>
        <w:spacing w:after="0" w:line="312" w:lineRule="auto"/>
        <w:tabs>
          <w:tab w:leader="none" w:pos="18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of Initial Purchasers’ Obligations.</w:t>
      </w:r>
      <w:r>
        <w:rPr>
          <w:rFonts w:ascii="Times New Roman" w:cs="Times New Roman" w:eastAsia="Times New Roman" w:hAnsi="Times New Roman"/>
          <w:sz w:val="17"/>
          <w:szCs w:val="17"/>
          <w:color w:val="auto"/>
        </w:rPr>
        <w:t xml:space="preserve"> The obligation of each Initial Purchaser to purchase the Notes on the Closing Date as provided herein is subject to the performance by the Company of its covenants and other obligations hereunder and to the following additional conditions:</w:t>
      </w:r>
    </w:p>
    <w:p>
      <w:pPr>
        <w:spacing w:after="0" w:line="30" w:lineRule="exact"/>
        <w:rPr>
          <w:sz w:val="20"/>
          <w:szCs w:val="20"/>
          <w:color w:val="auto"/>
        </w:rPr>
      </w:pPr>
    </w:p>
    <w:p>
      <w:pPr>
        <w:ind w:left="-436" w:firstLine="436"/>
        <w:spacing w:after="0" w:line="267"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w:t>
      </w:r>
      <w:r>
        <w:rPr>
          <w:rFonts w:ascii="Times New Roman" w:cs="Times New Roman" w:eastAsia="Times New Roman" w:hAnsi="Times New Roman"/>
          <w:sz w:val="18"/>
          <w:szCs w:val="18"/>
          <w:color w:val="auto"/>
        </w:rPr>
        <w:t>The representations and warranties of the Company and the Adviser contained herein shall be true and correct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hereof and on and as of the Closing Date; and the statements of the Company and its officers made in any certificates delivered pursuant to this Agreement shall be true and correct on and as of the Closing Date.</w:t>
      </w:r>
    </w:p>
    <w:p>
      <w:pPr>
        <w:spacing w:after="0" w:line="65"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3(f) and Section 4(a) hereof shall have occurred or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which event or condition is not described in the Pricing Disclosure Package (excluding any amendment or supplement thereto) and the Offering Memorandum (excluding any amendment or supplement thereto) and the effect of which in the judgment of the Representative makes it impracticable or inadvisable to proceed with the offering, sale or delivery of the Notes on the Closing Date, on the terms and in the manner contemplated by this Agreement, the Pricing Disclosure Package and the Offering Memorandum.</w:t>
      </w:r>
    </w:p>
    <w:p>
      <w:pPr>
        <w:spacing w:after="0" w:line="75" w:lineRule="exact"/>
        <w:rPr>
          <w:rFonts w:ascii="Times New Roman" w:cs="Times New Roman" w:eastAsia="Times New Roman" w:hAnsi="Times New Roman"/>
          <w:sz w:val="18"/>
          <w:szCs w:val="18"/>
          <w:color w:val="auto"/>
        </w:rPr>
      </w:pPr>
    </w:p>
    <w:p>
      <w:pPr>
        <w:ind w:left="-436" w:firstLine="436"/>
        <w:spacing w:after="0" w:line="255" w:lineRule="auto"/>
        <w:tabs>
          <w:tab w:leader="none" w:pos="24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Company’s Officer’s Certificate. </w:t>
      </w:r>
      <w:r>
        <w:rPr>
          <w:rFonts w:ascii="Times New Roman" w:cs="Times New Roman" w:eastAsia="Times New Roman" w:hAnsi="Times New Roman"/>
          <w:sz w:val="18"/>
          <w:szCs w:val="18"/>
          <w:color w:val="auto"/>
        </w:rPr>
        <w:t>The Representative shall have received on and as of the Closing Date a certificate, which shall be delivered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of the Company and not the signatories in their individual capacity, of the chief financial officer or chief accounting officer of the Company and one additional senior executive officer of the Company who is reasonably satisfactory to the Representative (i) confirming that such officers have carefully reviewed the Pricing Disclosure Package and the Offering Memorandum, (ii) confirming that, to the knowledge of such officers, the representations and warranties of the Company in Sections 3(b) and 3(c)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and (iv) with respect to the Company and its subsidiaries, to the effect set forth in paragraph (b) above.</w:t>
      </w:r>
    </w:p>
    <w:p>
      <w:pPr>
        <w:sectPr>
          <w:pgSz w:w="11900" w:h="16838" w:orient="portrait"/>
          <w:cols w:equalWidth="0" w:num="1">
            <w:col w:w="10564"/>
          </w:cols>
          <w:pgMar w:left="876" w:top="268" w:right="459" w:bottom="1440" w:gutter="0" w:footer="0" w:header="0"/>
        </w:sectPr>
      </w:pPr>
    </w:p>
    <w:bookmarkStart w:id="27" w:name="page28"/>
    <w:bookmarkEnd w:id="27"/>
    <w:p>
      <w:pPr>
        <w:jc w:val="both"/>
        <w:ind w:left="4" w:right="120" w:firstLine="436"/>
        <w:spacing w:after="0" w:line="271" w:lineRule="auto"/>
        <w:tabs>
          <w:tab w:leader="none" w:pos="699"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Adviser’s Officer’s Certificate. </w:t>
      </w:r>
      <w:r>
        <w:rPr>
          <w:rFonts w:ascii="Times New Roman" w:cs="Times New Roman" w:eastAsia="Times New Roman" w:hAnsi="Times New Roman"/>
          <w:sz w:val="17"/>
          <w:szCs w:val="17"/>
          <w:color w:val="auto"/>
        </w:rPr>
        <w:t>The Representative shall have received on and as of the Closing Date a certificate, which shall be delivered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behalf of the Adviser and not the signatories in their individual capacity, from the two appropriate senior officers of the Adviser reasonably satisfactory to the Representative (i) confirming that the representations and warranties of the Adviser in this Agreement are true and correct and that the Adviser has complied with all agreements and satisfied all conditions on its part to be performed or satisfied hereunder at or prior to the Closing Date,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Adviser and its subsidiaries, to the effect set forth in paragraph (b) above.</w:t>
      </w:r>
    </w:p>
    <w:p>
      <w:pPr>
        <w:spacing w:after="0" w:line="96"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8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On the date of this Agreement and on the Closing Date, KPMG LLP shall have furnished to the Representative, at the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 letters, dated the respective dates of delivery thereof and addressed to the Initial Purchasers, in form and substance reasonably satisfactory to the Representative, containing statements and information of the type customarily included in accountants’ “comfort letters” to Initial Purchasers with respect to the financial statements and certain financial information contained in the Pricing Disclosure Package and the Offering Memorandum; provided, that the letter delivered on the Closing Date shall use a “cut-off” date no more than three business days prior to such Closing Date.</w:t>
      </w:r>
    </w:p>
    <w:p>
      <w:pPr>
        <w:spacing w:after="0" w:line="74"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and Adviser. </w:t>
      </w:r>
      <w:r>
        <w:rPr>
          <w:rFonts w:ascii="Times New Roman" w:cs="Times New Roman" w:eastAsia="Times New Roman" w:hAnsi="Times New Roman"/>
          <w:sz w:val="18"/>
          <w:szCs w:val="18"/>
          <w:color w:val="auto"/>
        </w:rPr>
        <w:t>Simpson, Thacher &amp; Bartlett LLP, counsel for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Adviser, shall have furnished to the Representative, at the request of the Company and the Adviser, their written opinions and 10b-5 letter, dated the Closing Date and addressed to the Initial Purchasers, in form and substance reasonably satisfactory to the Representative. Morris, Nichols, Arsht &amp; Tunnell LLP, Delaware counsel for the Company and the Adviser, shall have furnished to the Representative, at the request of the Company and the Adviser, their written opinion, dated the Closing Date and addressed to the Initial Purchasers, in form and substance reasonably satisfactory to the Representative. In-house counsel to the Company and the Adviser, shall have furnished to the Representative, its written opinion, dated the Closing Date and addressed to the Initial Purchasers, in form and substance reasonably satisfactory to the Representative.</w:t>
      </w:r>
    </w:p>
    <w:p>
      <w:pPr>
        <w:spacing w:after="0" w:line="4" w:lineRule="exact"/>
        <w:rPr>
          <w:rFonts w:ascii="Times New Roman" w:cs="Times New Roman" w:eastAsia="Times New Roman" w:hAnsi="Times New Roman"/>
          <w:sz w:val="18"/>
          <w:szCs w:val="18"/>
          <w:color w:val="auto"/>
        </w:rPr>
      </w:pPr>
    </w:p>
    <w:p>
      <w:pPr>
        <w:ind w:left="4" w:firstLine="436"/>
        <w:spacing w:after="0" w:line="277" w:lineRule="auto"/>
        <w:tabs>
          <w:tab w:leader="none" w:pos="699"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Opinion and 10b-5 Statement of Counsel for the Initial Purchasers. </w:t>
      </w:r>
      <w:r>
        <w:rPr>
          <w:rFonts w:ascii="Times New Roman" w:cs="Times New Roman" w:eastAsia="Times New Roman" w:hAnsi="Times New Roman"/>
          <w:sz w:val="17"/>
          <w:szCs w:val="17"/>
          <w:color w:val="auto"/>
        </w:rPr>
        <w:t>The Representative shall have received on and as of the Closing Date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opinion and 10b-5 statement of Ropes &amp; Gray LLP, counsel for the Initial Purchasers, with respect to such matters as the Representative may reasonably request, and such counsel shall have received such documents and information as they may reasonably request to enable them to pass upon such matters.</w:t>
      </w:r>
    </w:p>
    <w:p>
      <w:pPr>
        <w:spacing w:after="0" w:line="58" w:lineRule="exact"/>
        <w:rPr>
          <w:rFonts w:ascii="Times New Roman" w:cs="Times New Roman" w:eastAsia="Times New Roman" w:hAnsi="Times New Roman"/>
          <w:sz w:val="17"/>
          <w:szCs w:val="17"/>
          <w:color w:val="auto"/>
        </w:rPr>
      </w:pPr>
    </w:p>
    <w:p>
      <w:pPr>
        <w:jc w:val="both"/>
        <w:ind w:left="4" w:right="60" w:firstLine="436"/>
        <w:spacing w:after="0" w:line="261" w:lineRule="auto"/>
        <w:tabs>
          <w:tab w:leader="none" w:pos="69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statute, rule, regulation or order shall have been enacted, adopted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any federal, state or foreign governmental or regulatory authority that would, as of the Closing Date, prevent the issuance or sale of the Notes; and no injunction or order of any federal, state or foreign court shall have been issued that would, as of the Closing Date, prevent the issuance or sale of the Notes.</w:t>
      </w:r>
    </w:p>
    <w:p>
      <w:pPr>
        <w:sectPr>
          <w:pgSz w:w="11900" w:h="16838" w:orient="portrait"/>
          <w:cols w:equalWidth="0" w:num="1">
            <w:col w:w="11004"/>
          </w:cols>
          <w:pgMar w:left="436" w:top="268" w:right="459" w:bottom="1440" w:gutter="0" w:footer="0" w:header="0"/>
        </w:sectPr>
      </w:pPr>
    </w:p>
    <w:bookmarkStart w:id="28" w:name="page29"/>
    <w:bookmarkEnd w:id="28"/>
    <w:p>
      <w:pPr>
        <w:jc w:val="both"/>
        <w:ind w:right="20" w:firstLine="436"/>
        <w:spacing w:after="0" w:line="261"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 shall have received on and as of the Closing Date reasonably satisfactory evidence of the good standing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 its subsidiaries in their respective jurisdictions of organization and their good standing as foreign entities in such other jurisdictions as the Representative may reasonably request, in each case in writing or any standard form of telecommunication from the appropriate governmental authorities of such jurisdictions.</w:t>
      </w:r>
    </w:p>
    <w:p>
      <w:pPr>
        <w:spacing w:after="0" w:line="71" w:lineRule="exact"/>
        <w:rPr>
          <w:rFonts w:ascii="Times New Roman" w:cs="Times New Roman" w:eastAsia="Times New Roman" w:hAnsi="Times New Roman"/>
          <w:sz w:val="18"/>
          <w:szCs w:val="18"/>
          <w:color w:val="auto"/>
        </w:rPr>
      </w:pPr>
    </w:p>
    <w:p>
      <w:pPr>
        <w:ind w:right="100" w:firstLine="436"/>
        <w:spacing w:after="0" w:line="284"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 Supplemental Indenture and Notes</w:t>
      </w:r>
      <w:r>
        <w:rPr>
          <w:rFonts w:ascii="Times New Roman" w:cs="Times New Roman" w:eastAsia="Times New Roman" w:hAnsi="Times New Roman"/>
          <w:sz w:val="18"/>
          <w:szCs w:val="18"/>
          <w:color w:val="auto"/>
        </w:rPr>
        <w:t>. On or prior to the Closing Date, the Company and the Trustee shall have executed and delivered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Supplemental Indenture and the Notes.</w:t>
      </w:r>
    </w:p>
    <w:p>
      <w:pPr>
        <w:spacing w:after="0" w:line="50" w:lineRule="exact"/>
        <w:rPr>
          <w:rFonts w:ascii="Times New Roman" w:cs="Times New Roman" w:eastAsia="Times New Roman" w:hAnsi="Times New Roman"/>
          <w:sz w:val="18"/>
          <w:szCs w:val="18"/>
          <w:color w:val="auto"/>
        </w:rPr>
      </w:pPr>
    </w:p>
    <w:p>
      <w:pPr>
        <w:ind w:right="360" w:firstLine="436"/>
        <w:spacing w:after="0" w:line="284"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Rights Agreement. </w:t>
      </w:r>
      <w:r>
        <w:rPr>
          <w:rFonts w:ascii="Times New Roman" w:cs="Times New Roman" w:eastAsia="Times New Roman" w:hAnsi="Times New Roman"/>
          <w:sz w:val="18"/>
          <w:szCs w:val="18"/>
          <w:color w:val="auto"/>
        </w:rPr>
        <w:t>On or prior to the Closing Date the Initial Purchasers shall have received a counterpart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Agreement that shall have been executed and delivered by a duly authorized officer of the Company.</w:t>
      </w:r>
    </w:p>
    <w:p>
      <w:pPr>
        <w:spacing w:after="0" w:line="50" w:lineRule="exact"/>
        <w:rPr>
          <w:rFonts w:ascii="Times New Roman" w:cs="Times New Roman" w:eastAsia="Times New Roman" w:hAnsi="Times New Roman"/>
          <w:sz w:val="18"/>
          <w:szCs w:val="18"/>
          <w:color w:val="auto"/>
        </w:rPr>
      </w:pPr>
    </w:p>
    <w:p>
      <w:pPr>
        <w:ind w:right="20" w:firstLine="436"/>
        <w:spacing w:after="0" w:line="257"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Downgrade</w:t>
      </w:r>
      <w:r>
        <w:rPr>
          <w:rFonts w:ascii="Times New Roman" w:cs="Times New Roman" w:eastAsia="Times New Roman" w:hAnsi="Times New Roman"/>
          <w:sz w:val="18"/>
          <w:szCs w:val="18"/>
          <w:color w:val="auto"/>
        </w:rPr>
        <w:t>. Subsequent to the earlier of (A) the Applicable Time and (B) the execution and delivery of this Agreement, if there are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74" w:lineRule="exact"/>
        <w:rPr>
          <w:rFonts w:ascii="Times New Roman" w:cs="Times New Roman" w:eastAsia="Times New Roman" w:hAnsi="Times New Roman"/>
          <w:sz w:val="18"/>
          <w:szCs w:val="18"/>
          <w:color w:val="auto"/>
        </w:rPr>
      </w:pPr>
    </w:p>
    <w:p>
      <w:pPr>
        <w:ind w:right="160" w:firstLine="436"/>
        <w:spacing w:after="0" w:line="284" w:lineRule="auto"/>
        <w:tabs>
          <w:tab w:leader="none" w:pos="7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prior to the Closing Date the Company shall have furnished to the Representative such further certificates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as the Representative may reasonably request.</w:t>
      </w:r>
    </w:p>
    <w:p>
      <w:pPr>
        <w:spacing w:after="0" w:line="5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54" w:lineRule="exact"/>
        <w:rPr>
          <w:sz w:val="20"/>
          <w:szCs w:val="20"/>
          <w:color w:val="auto"/>
        </w:rPr>
      </w:pPr>
    </w:p>
    <w:p>
      <w:pPr>
        <w:ind w:left="620" w:hanging="184"/>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5"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Initial Purchasers. </w:t>
      </w:r>
      <w:r>
        <w:rPr>
          <w:rFonts w:ascii="Times New Roman" w:cs="Times New Roman" w:eastAsia="Times New Roman" w:hAnsi="Times New Roman"/>
          <w:sz w:val="18"/>
          <w:szCs w:val="18"/>
          <w:color w:val="auto"/>
        </w:rPr>
        <w:t>The Company agrees to indemnify and hold harmless each Initial Purchaser, its affiliates,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 and each person, if any, who controls such Initial Purchaser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any untrue statement or alleged untrue statement of a material fact contained in the Offering Memorandum (or any amendment or supplement thereto), any road show as defined in Rule 433(h) under the Securities Act (a “road show”), any Marketing Materials or the Pricing Disclosure Package (including any Pricing Disclosure Package that has subsequently been amended), or caused by any omission or alleged omission to state therein a material fact</w:t>
      </w:r>
    </w:p>
    <w:p>
      <w:pPr>
        <w:sectPr>
          <w:pgSz w:w="11900" w:h="16838" w:orient="portrait"/>
          <w:cols w:equalWidth="0" w:num="1">
            <w:col w:w="10960"/>
          </w:cols>
          <w:pgMar w:left="440" w:top="268" w:right="499" w:bottom="1440" w:gutter="0" w:footer="0" w:header="0"/>
        </w:sectPr>
      </w:pPr>
    </w:p>
    <w:bookmarkStart w:id="29" w:name="page30"/>
    <w:bookmarkEnd w:id="29"/>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Initial Purchaser furnished to the Company in writing by such Initial Purchaser through the Representative expressly for use therein, it being understood and agreed that the only such information furnished by any Initial Purchaser consists of the information described as such in subsection (b) below.</w:t>
      </w:r>
    </w:p>
    <w:p>
      <w:pPr>
        <w:spacing w:after="0" w:line="73" w:lineRule="exact"/>
        <w:rPr>
          <w:sz w:val="20"/>
          <w:szCs w:val="20"/>
          <w:color w:val="auto"/>
        </w:rPr>
      </w:pPr>
    </w:p>
    <w:p>
      <w:pPr>
        <w:ind w:firstLine="436"/>
        <w:spacing w:after="0" w:line="253" w:lineRule="auto"/>
        <w:tabs>
          <w:tab w:leader="none" w:pos="6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w:t>
      </w:r>
      <w:r>
        <w:rPr>
          <w:rFonts w:ascii="Times New Roman" w:cs="Times New Roman" w:eastAsia="Times New Roman" w:hAnsi="Times New Roman"/>
          <w:sz w:val="18"/>
          <w:szCs w:val="18"/>
          <w:color w:val="auto"/>
        </w:rPr>
        <w:t>Each Initial Purchaser agrees, severally and not jointly, to indemnify and hold harmless the Company,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its officers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Initial Purchaser furnished to the Company in writing by such Initial Purchaser through the Representative expressly for use in the Offering Memorandum (or any amendment or supplement thereto), any road show, any Marketing Materials or any Pricing Disclosure Package (including any Pricing Disclosure Package that has subsequently been amended), it being understood and agreed upon that the only such information furnished by any Initial Purchaser consists of the following information in the Offering Memorandum furnished on behalf of each Initial Purchaser: the marketing names of the Initial Purchasers set forth on such front and back cover pages; the legal names of the Initial Purchasers set forth in the table under the caption “Plan of Distribution;” and, under the caption “Plan of Distribution,” the information in the first sentence of the fourth paragraph and the information regarding stabilizing transactions contained in the first and second sentences of the eleventh paragraph, the first sentence of the twelfth paragraph and the fourth sentence of the thirteenth paragraph.</w:t>
      </w:r>
    </w:p>
    <w:p>
      <w:pPr>
        <w:spacing w:after="0" w:line="81" w:lineRule="exact"/>
        <w:rPr>
          <w:rFonts w:ascii="Times New Roman" w:cs="Times New Roman" w:eastAsia="Times New Roman" w:hAnsi="Times New Roman"/>
          <w:sz w:val="18"/>
          <w:szCs w:val="18"/>
          <w:color w:val="auto"/>
        </w:rPr>
      </w:pPr>
    </w:p>
    <w:p>
      <w:pPr>
        <w:ind w:right="40" w:firstLine="436"/>
        <w:spacing w:after="0" w:line="253" w:lineRule="auto"/>
        <w:tabs>
          <w:tab w:leader="none" w:pos="6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brought 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w:t>
      </w:r>
    </w:p>
    <w:p>
      <w:pPr>
        <w:sectPr>
          <w:pgSz w:w="11900" w:h="16838" w:orient="portrait"/>
          <w:cols w:equalWidth="0" w:num="1">
            <w:col w:w="11000"/>
          </w:cols>
          <w:pgMar w:left="440" w:top="270" w:right="459" w:bottom="1440" w:gutter="0" w:footer="0" w:header="0"/>
        </w:sectPr>
      </w:pPr>
    </w:p>
    <w:bookmarkStart w:id="30" w:name="page31"/>
    <w:bookmarkEnd w:id="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Initial Purchaser, its affiliates, directors and officers and any control persons of such Initial Purchaser shall be designated in writing by the Representative and any such separate firm for the Company, its directors, its officers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78" w:lineRule="exact"/>
        <w:rPr>
          <w:sz w:val="20"/>
          <w:szCs w:val="20"/>
          <w:color w:val="auto"/>
        </w:rPr>
      </w:pPr>
    </w:p>
    <w:p>
      <w:pPr>
        <w:ind w:right="60" w:firstLine="436"/>
        <w:spacing w:after="0" w:line="254"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and (b) above is unavailable to an Indemnified Person or insufficient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Initial Purchasers on the other, from the offering of the Notes or (ii) if the allocation provided by clause (i) is not permitted by applicable law, in such proportion as is appropriate to reflect not only the relative benefits referred to in clause (i) but also the relative fault of the Company, on the one hand, and the Initial Purchasers on the other, in connection with the statements or omissions that resulted in such losses, claims, damages or liabilities, as well as any other relevant equitable considerations. The relative benefits received by the Company, on the one hand, and the Initial Purchasers on the other, shall be deemed to be in the same</w:t>
      </w:r>
    </w:p>
    <w:p>
      <w:pPr>
        <w:sectPr>
          <w:pgSz w:w="11900" w:h="16838" w:orient="portrait"/>
          <w:cols w:equalWidth="0" w:num="1">
            <w:col w:w="10980"/>
          </w:cols>
          <w:pgMar w:left="440" w:top="270" w:right="479" w:bottom="1440" w:gutter="0" w:footer="0" w:header="0"/>
        </w:sectPr>
      </w:pPr>
    </w:p>
    <w:bookmarkStart w:id="31" w:name="page32"/>
    <w:bookmarkEnd w:id="3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 proportions as the net proceeds (before deducting expenses) received by the Company from the sale of the Notes and the total related discounts and commissions received by the Initial Purchasers in connection therewith, in each case as set forth in the table on the cover of the Offering Memorandum, bear to the aggregate offering price of the Notes. The relative fault of the Company, on the one hand, and the Initial Purchasers on the other,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82" w:lineRule="exact"/>
        <w:rPr>
          <w:sz w:val="20"/>
          <w:szCs w:val="20"/>
          <w:color w:val="auto"/>
        </w:rPr>
      </w:pPr>
    </w:p>
    <w:p>
      <w:pPr>
        <w:ind w:right="60" w:firstLine="436"/>
        <w:spacing w:after="0" w:line="253"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and the Initial Purchasers agree that it would not be just and equitable if contribution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paragraph (d)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Initial Purchasers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Initial Purchaser be required to contribute any amount in excess of the amount by which the total related discounts and commissions received by such Initial Purchaser with respect to the offering of the Notes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Initial Purchasers’ obligations to contribute pursuant to paragraphs (d) and (e) of this Section 8 are several in proportion to their respective purchase obligations hereunder and not joint.</w:t>
      </w:r>
    </w:p>
    <w:p>
      <w:pPr>
        <w:spacing w:after="0" w:line="81" w:lineRule="exact"/>
        <w:rPr>
          <w:rFonts w:ascii="Times New Roman" w:cs="Times New Roman" w:eastAsia="Times New Roman" w:hAnsi="Times New Roman"/>
          <w:sz w:val="18"/>
          <w:szCs w:val="18"/>
          <w:color w:val="auto"/>
        </w:rPr>
      </w:pPr>
    </w:p>
    <w:p>
      <w:pPr>
        <w:ind w:firstLine="436"/>
        <w:spacing w:after="0" w:line="284"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8 paragraphs (a) through (e) are not exclusive and shall not limit any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remedies which may otherwise be available to any Indemnified Person at law or in equity.</w:t>
      </w:r>
    </w:p>
    <w:p>
      <w:pPr>
        <w:spacing w:after="0" w:line="52" w:lineRule="exact"/>
        <w:rPr>
          <w:sz w:val="20"/>
          <w:szCs w:val="20"/>
          <w:color w:val="auto"/>
        </w:rPr>
      </w:pPr>
    </w:p>
    <w:p>
      <w:pPr>
        <w:ind w:left="620" w:hanging="184"/>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117"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prior to the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Notes on the Closing Date, on the terms and in the manner contemplated by this Agreement, the Pricing Disclosure Package and the Offering Memorandum.</w:t>
      </w:r>
    </w:p>
    <w:p>
      <w:pPr>
        <w:sectPr>
          <w:pgSz w:w="11900" w:h="16838" w:orient="portrait"/>
          <w:cols w:equalWidth="0" w:num="1">
            <w:col w:w="10960"/>
          </w:cols>
          <w:pgMar w:left="440" w:top="270" w:right="499" w:bottom="1440" w:gutter="0" w:footer="0" w:header="0"/>
        </w:sectPr>
      </w:pPr>
    </w:p>
    <w:bookmarkStart w:id="32" w:name="page33"/>
    <w:bookmarkEnd w:id="32"/>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Initial Purchaser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53"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Initial Purchaser defaults on its obligation to purchase the Notes that it has agreed to purchase hereunder on such date, the non-defaulting Initial Purchasers may in their discretion arrange for the purchase of such Notes by other persons satisfactory to the Company on the terms contained in this Agreement. If, within 36 hours after any such default by any Initial Purchaser, the non-defaulting Initial Purchasers do not arrange for the purchase of such Notes, then the Company shall be entitled to a further period of 36 hours within which to procure other persons reasonably satisfactory to the non-defaulting Initial Purchasers to purchase such Notes on such terms. If other persons become obligated or agree to purchase the Notes of a defaulting Initial Purchaser, either the non-defaulting Initial Purchasers or the Company may postpone the Closing Date for up to five full business days in order to effect any changes that in the opinion of counsel for the Company or counsel for the Initial Purchasers may be necessary in the Offering Memorandum or in any other document or arrangement, and the Company agrees to promptly prepare any amendment or supplement to the Offering Memorandum that effects any such changes. As used in this Agreement, the term “Initial Purchaser” includes, for all purposes of this Agreement unless the context otherwise requires, any person not listed in Schedule 1 hereto that, pursuant to this Section 11, purchases Notes that a defaulting Initial Purchaser agreed but failed to purchase.</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Initial Purchaser or Initial Purchasers by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non-defaulting Initial Purchasers and the Company as provided in paragraph (a) above, the aggregate principal amount of Notes that remain unpurchased on the Closing Date does not exceed one-eleventh of the aggregate principal amount of Notes to be purchased on such date, then the Company shall have the right to require each non-defaulting Initial Purchaser to purchase the aggregate principal amount of Notes that such Initial Purchaser agreed to purchase hereunder on such date plus such Initial Purchaser’s pro rata share (based on the aggregate principal amount of Notes that such Initial Purchaser agreed to purchase on such date) of the Notes of such defaulting Initial Purchaser or Initial Purchasers for which such arrangements have not been made.</w:t>
      </w:r>
    </w:p>
    <w:p>
      <w:pPr>
        <w:spacing w:after="0" w:line="82" w:lineRule="exact"/>
        <w:rPr>
          <w:sz w:val="20"/>
          <w:szCs w:val="20"/>
          <w:color w:val="auto"/>
        </w:rPr>
      </w:pPr>
    </w:p>
    <w:p>
      <w:pPr>
        <w:ind w:right="20" w:firstLine="436"/>
        <w:spacing w:after="0" w:line="255"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Notes of a defaulting Initial Purchaser or Initial Purchasers by the non-defaulting Initial Purchasers and the Company as provided in paragraph (a) above, the aggregate principal amount of Notes that remain unpurchased on the Closing Date exceeds one-eleventh of the aggregate principal amount of Notes to be purchased on such date, or if the Company shall not exercise the right described in paragraph (b) above, then this Agreement shall terminate without liability on the part of the non-defaulting Initial Purchasers.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ectPr>
          <w:pgSz w:w="11900" w:h="16838" w:orient="portrait"/>
          <w:cols w:equalWidth="0" w:num="1">
            <w:col w:w="10960"/>
          </w:cols>
          <w:pgMar w:left="440" w:top="270" w:right="499" w:bottom="1440" w:gutter="0" w:footer="0" w:header="0"/>
        </w:sectPr>
      </w:pPr>
    </w:p>
    <w:bookmarkStart w:id="33" w:name="page34"/>
    <w:bookmarkEnd w:id="33"/>
    <w:p>
      <w:pPr>
        <w:ind w:right="140" w:firstLine="436"/>
        <w:spacing w:after="0" w:line="282"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contained herein shall relieve a defaulting Initial Purchaser of any liability it may have to the Company or any non-defaulting Initial Purchaser for damages caused by its default.</w:t>
      </w:r>
    </w:p>
    <w:p>
      <w:pPr>
        <w:spacing w:after="0" w:line="52" w:lineRule="exact"/>
        <w:rPr>
          <w:sz w:val="20"/>
          <w:szCs w:val="20"/>
          <w:color w:val="auto"/>
        </w:rPr>
      </w:pPr>
    </w:p>
    <w:p>
      <w:pPr>
        <w:ind w:left="700" w:hanging="264"/>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right="20" w:firstLine="436"/>
        <w:spacing w:after="0" w:line="253" w:lineRule="auto"/>
        <w:tabs>
          <w:tab w:leader="none" w:pos="68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Notes and any stamp, issuance, transfer or other similar taxes arising solely in connection with the transaction; (ii) the costs incident to the preparation and printing of the Preliminary Offering Memorandum, any Pricing Disclosure Package, any Marketing Materials and the Offering Memorandum (including all amendments and supplements thereto) and the distribution thereof; (iii) the fees and expenses of the Company’s counsel and independent accountants; (iv) the reasonable and documented fees and expenses incurred in connection with the registration or qualification of the Notes under the state or foreign securities or blue sky laws of such jurisdictions as the Representative may designate with the prior approval of the Company (such approval not to be unreasonably withheld, conditioned or delayed) (including the related reasonable and documented fees and expenses of counsel for the Initial Purchasers); (v) all expenses incurred by the Company in connection with any “road show” presentation to potential investors; and (vi) the fees and expenses of the Trustee with respect to the Notes. It is, however, understood that except as provided in this Section 12 or in Section 8 of this Agreement, the Initial Purchasers shall pay all of their own costs and expenses, including, without limitation, the fees and disbursements of their counsel, any advertising expenses connected with any offers they make.</w:t>
      </w:r>
    </w:p>
    <w:p>
      <w:pPr>
        <w:spacing w:after="0" w:line="8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10 (other than as a result of a termination pursuant to clauses (i), (iii) or (iv) of</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Section 10), (ii) the Company for any reason fails to tender the Notes for delivery to the Initial Purchasers (other than as a result of a termination pursuant to Section 11 or clauses (i), (iii) or (iv) of Section 10 or the default by one or more of the Initial Purchasers in its or their respective obligations hereunder) or (iii) the Initial Purchasers decline to purchase the Notes for any reason permitted under this Agreement, the Company agrees to reimburse the Initial Purchasers for all out-of-pocket costs and expenses (including the reasonable and documented fees and expenses of their counsel) reasonably incurred by the Initial Purchasers in connection with this Agreement and the offering contemplated hereby.</w:t>
      </w:r>
    </w:p>
    <w:p>
      <w:pPr>
        <w:spacing w:after="0" w:line="79" w:lineRule="exact"/>
        <w:rPr>
          <w:sz w:val="20"/>
          <w:szCs w:val="20"/>
          <w:color w:val="auto"/>
        </w:rPr>
      </w:pPr>
    </w:p>
    <w:p>
      <w:pPr>
        <w:ind w:firstLine="436"/>
        <w:spacing w:after="0" w:line="261" w:lineRule="auto"/>
        <w:tabs>
          <w:tab w:leader="none" w:pos="7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Notes from any Initial Purchaser shall be deemed to be a successor merely by reason of such purchase.</w:t>
      </w:r>
    </w:p>
    <w:p>
      <w:pPr>
        <w:sectPr>
          <w:pgSz w:w="11900" w:h="16838" w:orient="portrait"/>
          <w:cols w:equalWidth="0" w:num="1">
            <w:col w:w="10960"/>
          </w:cols>
          <w:pgMar w:left="440" w:top="270" w:right="499" w:bottom="1440" w:gutter="0" w:footer="0" w:header="0"/>
        </w:sectPr>
      </w:pPr>
    </w:p>
    <w:bookmarkStart w:id="34" w:name="page35"/>
    <w:bookmarkEnd w:id="34"/>
    <w:p>
      <w:pPr>
        <w:ind w:left="4" w:firstLine="436"/>
        <w:spacing w:after="0" w:line="261" w:lineRule="auto"/>
        <w:tabs>
          <w:tab w:leader="none" w:pos="7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Adviser and the Initial Purchasers contained in this Agreement or made by or on behalf of the Company, the Adviser or the Initial Purchasers pursuant to this Agreement or any certificate delivered pursuant hereto shall survive the delivery of and payment for the Notes and shall remain in full force and effect, regardless of any termination of this Agreement or any investigation made by or on behalf of the Company, the Adviser or the Initial Purchasers.</w:t>
      </w:r>
    </w:p>
    <w:p>
      <w:pPr>
        <w:spacing w:after="0" w:line="71" w:lineRule="exact"/>
        <w:rPr>
          <w:rFonts w:ascii="Times New Roman" w:cs="Times New Roman" w:eastAsia="Times New Roman" w:hAnsi="Times New Roman"/>
          <w:sz w:val="18"/>
          <w:szCs w:val="18"/>
          <w:color w:val="auto"/>
        </w:rPr>
      </w:pPr>
    </w:p>
    <w:p>
      <w:pPr>
        <w:jc w:val="both"/>
        <w:ind w:left="4" w:right="180" w:firstLine="436"/>
        <w:spacing w:after="0" w:line="266" w:lineRule="auto"/>
        <w:tabs>
          <w:tab w:leader="none" w:pos="7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6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p>
    <w:p>
      <w:pPr>
        <w:spacing w:after="0" w:line="117" w:lineRule="exact"/>
        <w:rPr>
          <w:sz w:val="20"/>
          <w:szCs w:val="20"/>
          <w:color w:val="auto"/>
        </w:rPr>
      </w:pPr>
    </w:p>
    <w:p>
      <w:pPr>
        <w:ind w:left="4" w:right="20" w:firstLine="436"/>
        <w:spacing w:after="0" w:line="261"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r are permitted to be exercised to no greater extent than such Default Rights could be exercised under the U.S. Special Resolution Regime if this Agreement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 w:firstLine="436"/>
        <w:spacing w:after="0" w:line="254"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16,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1004"/>
          </w:cols>
          <w:pgMar w:left="436" w:top="270" w:right="459" w:bottom="1440" w:gutter="0" w:footer="0" w:header="0"/>
        </w:sectPr>
      </w:pPr>
    </w:p>
    <w:bookmarkStart w:id="35" w:name="page36"/>
    <w:bookmarkEnd w:id="35"/>
    <w:p>
      <w:pPr>
        <w:ind w:left="700" w:hanging="264"/>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8"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Initial Purchasers shall be given to the Representative c/o BofA Securities, Inc., 114 W 47th St., NY8-114-07-01, New York, New York 10036, Facsimile: (646) 855-5958, Attention: High Grade Transaction Management/Legal. Notices to the Company or the Adviser shall be given to either of them at Sixth Street Lending Partners, 345 California Street, Suite 3300, San Francisco, California 94104 (fax: (415) 486-5929), Attention: Joshua Peck.</w:t>
      </w:r>
    </w:p>
    <w:p>
      <w:pPr>
        <w:spacing w:after="0" w:line="75" w:lineRule="exact"/>
        <w:rPr>
          <w:rFonts w:ascii="Times New Roman" w:cs="Times New Roman" w:eastAsia="Times New Roman" w:hAnsi="Times New Roman"/>
          <w:sz w:val="18"/>
          <w:szCs w:val="18"/>
          <w:color w:val="auto"/>
        </w:rPr>
      </w:pPr>
    </w:p>
    <w:p>
      <w:pPr>
        <w:jc w:val="both"/>
        <w:ind w:right="60" w:firstLine="436"/>
        <w:spacing w:after="0" w:line="267"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Purchasers are required to obtain, verify and record information that identifies their clients, which may include the name and address of their clients, as well as other information that will allow the Initial Purchasers to properly identify their clients.</w:t>
      </w:r>
    </w:p>
    <w:p>
      <w:pPr>
        <w:spacing w:after="0" w:line="65" w:lineRule="exact"/>
        <w:rPr>
          <w:rFonts w:ascii="Times New Roman" w:cs="Times New Roman" w:eastAsia="Times New Roman" w:hAnsi="Times New Roman"/>
          <w:sz w:val="18"/>
          <w:szCs w:val="18"/>
          <w:color w:val="auto"/>
        </w:rPr>
      </w:pPr>
    </w:p>
    <w:p>
      <w:pPr>
        <w:ind w:right="280" w:firstLine="436"/>
        <w:spacing w:after="0" w:line="284"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 applicable to agreements made and to be performed in such state.</w:t>
      </w:r>
    </w:p>
    <w:p>
      <w:pPr>
        <w:spacing w:after="0" w:line="50" w:lineRule="exact"/>
        <w:rPr>
          <w:rFonts w:ascii="Times New Roman" w:cs="Times New Roman" w:eastAsia="Times New Roman" w:hAnsi="Times New Roman"/>
          <w:sz w:val="18"/>
          <w:szCs w:val="18"/>
          <w:color w:val="auto"/>
        </w:rPr>
      </w:pPr>
    </w:p>
    <w:p>
      <w:pPr>
        <w:jc w:val="both"/>
        <w:ind w:right="60" w:firstLine="436"/>
        <w:spacing w:after="0" w:line="258"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one or more counterparts, each of which shall constitute an original and all of which together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constitute one and the same agreement. Delivery of this Agreement by one party to the other may be made by facsimile, electronic mail (including any electronic signature complying with the New York Electronic Signatures and Records Act (N.Y. State Tech. §§ 301-309), as amended from time to time, or other applicable law) or other transmission method, and the parties hereto agree that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right="760" w:firstLine="436"/>
        <w:spacing w:after="0" w:line="284" w:lineRule="auto"/>
        <w:tabs>
          <w:tab w:leader="none" w:pos="68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50" w:lineRule="exact"/>
        <w:rPr>
          <w:rFonts w:ascii="Times New Roman" w:cs="Times New Roman" w:eastAsia="Times New Roman" w:hAnsi="Times New Roman"/>
          <w:sz w:val="18"/>
          <w:szCs w:val="18"/>
          <w:color w:val="auto"/>
        </w:rPr>
      </w:pPr>
    </w:p>
    <w:p>
      <w:pPr>
        <w:ind w:right="260" w:firstLine="436"/>
        <w:spacing w:after="0" w:line="284" w:lineRule="auto"/>
        <w:tabs>
          <w:tab w:leader="none" w:pos="6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50" w:lineRule="exact"/>
        <w:rPr>
          <w:rFonts w:ascii="Times New Roman" w:cs="Times New Roman" w:eastAsia="Times New Roman" w:hAnsi="Times New Roman"/>
          <w:sz w:val="18"/>
          <w:szCs w:val="18"/>
          <w:color w:val="auto"/>
        </w:rPr>
      </w:pPr>
    </w:p>
    <w:p>
      <w:pPr>
        <w:jc w:val="both"/>
        <w:ind w:right="20" w:firstLine="436"/>
        <w:spacing w:after="0" w:line="267"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 </w:t>
      </w:r>
      <w:r>
        <w:rPr>
          <w:rFonts w:ascii="Times New Roman" w:cs="Times New Roman" w:eastAsia="Times New Roman" w:hAnsi="Times New Roman"/>
          <w:sz w:val="18"/>
          <w:szCs w:val="18"/>
          <w:color w:val="auto"/>
        </w:rPr>
        <w:t>The Representative is duly authorized to act hereunder on behalf of the other Initial Purchasers. Any action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Purchasers hereunder may be taken by the Representative on behalf of the Initial Purchasers, and any such action taken by the Representative shall be binding on all the Initial Purchasers.</w:t>
      </w:r>
    </w:p>
    <w:p>
      <w:pPr>
        <w:spacing w:after="0" w:line="67" w:lineRule="exact"/>
        <w:rPr>
          <w:sz w:val="20"/>
          <w:szCs w:val="20"/>
          <w:color w:val="auto"/>
        </w:rPr>
      </w:pPr>
    </w:p>
    <w:p>
      <w:pPr>
        <w:jc w:val="center"/>
        <w:ind w:right="240"/>
        <w:spacing w:after="0" w:line="407" w:lineRule="auto"/>
        <w:rPr>
          <w:sz w:val="20"/>
          <w:szCs w:val="20"/>
          <w:color w:val="auto"/>
        </w:rPr>
      </w:pPr>
      <w:r>
        <w:rPr>
          <w:rFonts w:ascii="Times New Roman" w:cs="Times New Roman" w:eastAsia="Times New Roman" w:hAnsi="Times New Roman"/>
          <w:sz w:val="18"/>
          <w:szCs w:val="18"/>
          <w:color w:val="auto"/>
        </w:rPr>
        <w:t xml:space="preserve">If the foregoing is in accordance with your understanding, please indicate your acceptance of this Agreement by signing in the space provided below. </w:t>
      </w:r>
      <w:r>
        <w:rPr>
          <w:rFonts w:ascii="Times New Roman" w:cs="Times New Roman" w:eastAsia="Times New Roman" w:hAnsi="Times New Roman"/>
          <w:sz w:val="18"/>
          <w:szCs w:val="18"/>
          <w:i w:val="1"/>
          <w:iCs w:val="1"/>
          <w:color w:val="auto"/>
        </w:rPr>
        <w:t>[Signature pages follow]</w:t>
      </w:r>
    </w:p>
    <w:p>
      <w:pPr>
        <w:sectPr>
          <w:pgSz w:w="11900" w:h="16838" w:orient="portrait"/>
          <w:cols w:equalWidth="0" w:num="1">
            <w:col w:w="10980"/>
          </w:cols>
          <w:pgMar w:left="440" w:top="270" w:right="47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SIXTH STREET LENDING PARTNERS ADVISERS, LLC</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Ian Simmonds</w:t>
      </w:r>
    </w:p>
    <w:p>
      <w:pPr>
        <w:spacing w:after="0" w:line="27"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9980"/>
          </w:cols>
          <w:pgMar w:left="1440" w:top="270"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Acting severally on behalf of themselves and the several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Purchasers 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Zara Kwan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Zara Kwan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019"/>
          </w:cols>
          <w:pgMar w:left="440" w:top="27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Notes to be paid by the several Initial Purchasers shall be 98.841% of the aggregate principal amount thereof.</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Initial Purchaser</w:t>
            </w:r>
          </w:p>
        </w:tc>
        <w:tc>
          <w:tcPr>
            <w:tcW w:w="5260" w:type="dxa"/>
            <w:vAlign w:val="bottom"/>
            <w:vMerge w:val="restart"/>
          </w:tcPr>
          <w:p>
            <w:pPr>
              <w:spacing w:after="0"/>
              <w:rPr>
                <w:sz w:val="13"/>
                <w:szCs w:val="13"/>
                <w:color w:val="auto"/>
              </w:rPr>
            </w:pPr>
          </w:p>
        </w:tc>
        <w:tc>
          <w:tcPr>
            <w:tcW w:w="3460" w:type="dxa"/>
            <w:vAlign w:val="bottom"/>
          </w:tcPr>
          <w:p>
            <w:pPr>
              <w:spacing w:after="0"/>
              <w:rPr>
                <w:sz w:val="13"/>
                <w:szCs w:val="13"/>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Principal Amount of</w:t>
            </w:r>
          </w:p>
        </w:tc>
        <w:tc>
          <w:tcPr>
            <w:tcW w:w="0" w:type="dxa"/>
            <w:vAlign w:val="bottom"/>
          </w:tcPr>
          <w:p>
            <w:pPr>
              <w:spacing w:after="0"/>
              <w:rPr>
                <w:sz w:val="1"/>
                <w:szCs w:val="1"/>
                <w:color w:val="auto"/>
              </w:rPr>
            </w:pPr>
          </w:p>
        </w:tc>
      </w:tr>
      <w:tr>
        <w:trPr>
          <w:trHeight w:val="178"/>
        </w:trPr>
        <w:tc>
          <w:tcPr>
            <w:tcW w:w="96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4800" w:type="dxa"/>
            <w:vAlign w:val="bottom"/>
            <w:gridSpan w:val="4"/>
          </w:tcPr>
          <w:p>
            <w:pPr>
              <w:ind w:left="3460"/>
              <w:spacing w:after="0" w:line="158" w:lineRule="exact"/>
              <w:rPr>
                <w:sz w:val="20"/>
                <w:szCs w:val="20"/>
                <w:color w:val="auto"/>
              </w:rPr>
            </w:pPr>
            <w:r>
              <w:rPr>
                <w:rFonts w:ascii="Times New Roman" w:cs="Times New Roman" w:eastAsia="Times New Roman" w:hAnsi="Times New Roman"/>
                <w:sz w:val="14"/>
                <w:szCs w:val="14"/>
                <w:color w:val="auto"/>
              </w:rPr>
              <w:t>Notes to be Purchased</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34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HSBC Securities (USA) Inc.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Seelaus &amp; Co., LLC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Synovus Securities, Inc.</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70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700" w:type="dxa"/>
            <w:vAlign w:val="bottom"/>
            <w:gridSpan w:val="2"/>
            <w:shd w:val="clear" w:color="auto" w:fill="CCEEFF"/>
          </w:tcPr>
          <w:p>
            <w:pPr>
              <w:ind w:left="3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52" w:lineRule="exact"/>
        <w:rPr>
          <w:sz w:val="20"/>
          <w:szCs w:val="20"/>
          <w:color w:val="auto"/>
        </w:rPr>
      </w:pPr>
    </w:p>
    <w:p>
      <w:pPr>
        <w:ind w:left="424" w:hanging="424"/>
        <w:spacing w:after="0"/>
        <w:tabs>
          <w:tab w:leader="none" w:pos="42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Term Sheet, dated September 9, 2024, containing the terms governing the Notes, substantially in the form of Annex A to this Agreement.</w:t>
      </w:r>
    </w:p>
    <w:p>
      <w:pPr>
        <w:sectPr>
          <w:pgSz w:w="11900" w:h="16838" w:orient="portrait"/>
          <w:cols w:equalWidth="0" w:num="1">
            <w:col w:w="11024"/>
          </w:cols>
          <w:pgMar w:left="436" w:top="270"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Subsidiaries of the Company</w:t>
      </w:r>
    </w:p>
    <w:p>
      <w:pPr>
        <w:spacing w:after="0" w:line="252" w:lineRule="exact"/>
        <w:rPr>
          <w:sz w:val="20"/>
          <w:szCs w:val="20"/>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SSLP Lending,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LP Holding II,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Sixth Street Lending Partners Sub, LLC</w:t>
      </w:r>
    </w:p>
    <w:p>
      <w:pPr>
        <w:sectPr>
          <w:pgSz w:w="11900" w:h="16838" w:orient="portrait"/>
          <w:cols w:equalWidth="0" w:num="1">
            <w:col w:w="11024"/>
          </w:cols>
          <w:pgMar w:left="436" w:top="270" w:right="4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ectPr>
          <w:pgSz w:w="11900" w:h="16838" w:orient="portrait"/>
          <w:cols w:equalWidth="0" w:num="1">
            <w:col w:w="10020"/>
          </w:cols>
          <w:pgMar w:left="1440" w:top="266" w:right="4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September 16, 2024, by and among Sixth Street Lending Partners, a Delaware statutory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BofA Securities, Inc., as the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to the other several initial purchasers (collectively, the “</w:t>
      </w: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color w:val="auto"/>
        </w:rPr>
        <w:t>”) of $600,000,000 aggregate principal amount of the Company’s 5.750% Notes due 2030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listed on Schedule 1 to the Purchase Agreement (as defined below).</w:t>
      </w:r>
    </w:p>
    <w:p>
      <w:pPr>
        <w:spacing w:after="0" w:line="176" w:lineRule="exact"/>
        <w:rPr>
          <w:sz w:val="20"/>
          <w:szCs w:val="20"/>
          <w:color w:val="auto"/>
        </w:rPr>
      </w:pPr>
    </w:p>
    <w:p>
      <w:pPr>
        <w:jc w:val="both"/>
        <w:ind w:right="60" w:firstLine="440"/>
        <w:spacing w:after="0" w:line="259" w:lineRule="auto"/>
        <w:rPr>
          <w:sz w:val="20"/>
          <w:szCs w:val="20"/>
          <w:color w:val="auto"/>
        </w:rPr>
      </w:pPr>
      <w:r>
        <w:rPr>
          <w:rFonts w:ascii="Times New Roman" w:cs="Times New Roman" w:eastAsia="Times New Roman" w:hAnsi="Times New Roman"/>
          <w:sz w:val="18"/>
          <w:szCs w:val="18"/>
          <w:color w:val="auto"/>
        </w:rPr>
        <w:t>This Agreement is made pursuant to the Purchase Agreement, dated as of September 9,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7(k) of the Purchase Agreement. The parties hereby agree as follows: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in this Agreement, the following capitalized terms shall have the following meanings: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last paragraph of Section 6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Broker-Dealer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broker or dealer registered under the Exchange Act.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day other than a Saturday, Sunday or U.S. federal holiday or a day on which banking institutions or trust companies located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New York are authorized or obligated to be closed.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Consummate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registered Exchange Offer shall be deemed “Consummated” for purposes of this Agreement upon the occurrence of (i) the filing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Controlling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Exchange Act of 1934, as amended, and the rules and regulations promulgated thereunder.</w:t>
      </w:r>
    </w:p>
    <w:p>
      <w:pPr>
        <w:sectPr>
          <w:pgSz w:w="11900" w:h="16838" w:orient="portrait"/>
          <w:cols w:equalWidth="0" w:num="1">
            <w:col w:w="10980"/>
          </w:cols>
          <w:pgMar w:left="440" w:top="266" w:right="479" w:bottom="1440" w:gutter="0" w:footer="0" w:header="0"/>
        </w:sectPr>
      </w:pPr>
    </w:p>
    <w:bookmarkStart w:id="43" w:name="page44"/>
    <w:bookmarkEnd w:id="43"/>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Offer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by the Company under the Securities Act of the Exchange Notes pursuant to a Registration Statement pursuant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Exchange Offer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Registration Statement relating to the Exchange Offer, including the related Prospectus.</w:t>
      </w:r>
    </w:p>
    <w:p>
      <w:pPr>
        <w:spacing w:after="0" w:line="22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Notes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5.750% Notes due 2030 of the same series under the Indenture as the Notes, to be issued to Holders in exchange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Registrable Notes pursuant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Industry Regulatory Authority, Inc.</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2(b)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Indemnified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8(a) hereof.</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Base Indenture, dated as of March 11, 2024, as supplemented by the Third Supplemental Indenture, dated as of September 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by and between the Company and the Trustee, pursuant to which the Notes are to be issued, as such Indenture may be amended or supplemented from time to time in accordance with the terms thereof.</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Placement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issuance and sale by the Company of the Notes to the Initial Purchasers pursuant to the Purchase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Initial Purchasers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Indenture and the Notes.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Issue Date</w:t>
      </w:r>
      <w:r>
        <w:rPr>
          <w:rFonts w:ascii="Times New Roman" w:cs="Times New Roman" w:eastAsia="Times New Roman" w:hAnsi="Times New Roman"/>
          <w:sz w:val="18"/>
          <w:szCs w:val="18"/>
          <w:color w:val="auto"/>
        </w:rPr>
        <w:t>: The date of this Agreement, September 16, 2024.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 As defined in the preamble hereto.</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individual, corporation, limited liability company, partnership, joint venture, association, joint stock company, trust, unincorporated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 government or any agency or political subdivision thereof or any other entity.</w:t>
      </w:r>
    </w:p>
    <w:p>
      <w:pPr>
        <w:spacing w:after="0" w:line="15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prospectus included in a Registration Statement, as amended or supplemented by any prospectus supplement and by all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thereto, including post-effective amendments, and all material incorporated by reference into such Prospectus.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jc w:val="both"/>
        <w:ind w:left="4" w:right="100" w:firstLine="44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Registrable Notes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Each Note, until the earliest to occur of (a) the date on which such Note is exchanged in the Exchange Offer for an Exchange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w:t>
      </w:r>
    </w:p>
    <w:p>
      <w:pPr>
        <w:spacing w:after="0" w:line="1" w:lineRule="exact"/>
        <w:rPr>
          <w:sz w:val="20"/>
          <w:szCs w:val="20"/>
          <w:color w:val="auto"/>
        </w:rPr>
      </w:pPr>
    </w:p>
    <w:p>
      <w:pPr>
        <w:ind w:left="4" w:hanging="4"/>
        <w:spacing w:after="0" w:line="253" w:lineRule="auto"/>
        <w:tabs>
          <w:tab w:leader="none" w:pos="24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Note is distributed by a Broker-Dealer pursuant to the “Plan of Distribution” contemplated by the Exchange Offer Registration Statement (including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w:t>
      </w:r>
    </w:p>
    <w:p>
      <w:pPr>
        <w:sectPr>
          <w:pgSz w:w="11900" w:h="16838" w:orient="portrait"/>
          <w:cols w:equalWidth="0" w:num="1">
            <w:col w:w="11004"/>
          </w:cols>
          <w:pgMar w:left="436" w:top="266" w:right="45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Default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5 hereof.</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registration statement of the Company relating to (a) an offering of Exchange Notes pursuant to an Exchange Offer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Representative: </w:t>
      </w:r>
      <w:r>
        <w:rPr>
          <w:rFonts w:ascii="Times New Roman" w:cs="Times New Roman" w:eastAsia="Times New Roman" w:hAnsi="Times New Roman"/>
          <w:sz w:val="18"/>
          <w:szCs w:val="18"/>
          <w:color w:val="auto"/>
        </w:rPr>
        <w:t>As defined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Securities Act of 1933, as amended, and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Filing Deadline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defined in Section 4(a)(x)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As defined in the final paragraph of Section 4(a)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U.S. Bank Trust Company, National Association.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Trust Indenture Act of 1939, as amended, and the rules and regulations promulgated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Underwritten Registration or Underwritten Offering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registration in which securities of the Company are sold to an underwriter for reoffering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public.</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Notes Subject to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Registrable Notes. </w:t>
      </w:r>
      <w:r>
        <w:rPr>
          <w:rFonts w:ascii="Times New Roman" w:cs="Times New Roman" w:eastAsia="Times New Roman" w:hAnsi="Times New Roman"/>
          <w:sz w:val="18"/>
          <w:szCs w:val="18"/>
          <w:color w:val="auto"/>
        </w:rPr>
        <w:t>The securities entitled to the benefits of this Agreement are the Registrable Notes.</w:t>
      </w:r>
    </w:p>
    <w:p>
      <w:pPr>
        <w:spacing w:after="0" w:line="223" w:lineRule="exact"/>
        <w:rPr>
          <w:rFonts w:ascii="Times New Roman" w:cs="Times New Roman" w:eastAsia="Times New Roman" w:hAnsi="Times New Roman"/>
          <w:sz w:val="18"/>
          <w:szCs w:val="18"/>
          <w:color w:val="auto"/>
        </w:rPr>
      </w:pPr>
    </w:p>
    <w:p>
      <w:pPr>
        <w:ind w:right="660" w:firstLine="436"/>
        <w:spacing w:after="0" w:line="286" w:lineRule="auto"/>
        <w:tabs>
          <w:tab w:leader="none" w:pos="69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Holders of Registrable Notes. </w:t>
      </w:r>
      <w:r>
        <w:rPr>
          <w:rFonts w:ascii="Times New Roman" w:cs="Times New Roman" w:eastAsia="Times New Roman" w:hAnsi="Times New Roman"/>
          <w:sz w:val="18"/>
          <w:szCs w:val="18"/>
          <w:color w:val="auto"/>
        </w:rPr>
        <w:t>A Person is deemed to be a holder of Registrable Notes (each, a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whenever such Person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Notes.</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i w:val="1"/>
          <w:iCs w:val="1"/>
          <w:color w:val="auto"/>
        </w:rPr>
        <w:t>Registered Exchange Offer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36"/>
        <w:spacing w:after="0" w:line="255" w:lineRule="auto"/>
        <w:tabs>
          <w:tab w:leader="none" w:pos="6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w:t>
      </w:r>
    </w:p>
    <w:p>
      <w:pPr>
        <w:sectPr>
          <w:pgSz w:w="11900" w:h="16838" w:orient="portrait"/>
          <w:cols w:equalWidth="0" w:num="1">
            <w:col w:w="10980"/>
          </w:cols>
          <w:pgMar w:left="440" w:top="266" w:right="479" w:bottom="1440" w:gutter="0" w:footer="0" w:header="0"/>
        </w:sectPr>
      </w:pPr>
    </w:p>
    <w:bookmarkStart w:id="45" w:name="page46"/>
    <w:bookmarkEnd w:id="45"/>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w:t>
      </w:r>
    </w:p>
    <w:p>
      <w:pPr>
        <w:spacing w:after="0" w:line="180" w:lineRule="exact"/>
        <w:rPr>
          <w:sz w:val="20"/>
          <w:szCs w:val="20"/>
          <w:color w:val="auto"/>
        </w:rPr>
      </w:pPr>
    </w:p>
    <w:p>
      <w:pPr>
        <w:jc w:val="both"/>
        <w:ind w:right="200" w:firstLine="436"/>
        <w:spacing w:after="0" w:line="258" w:lineRule="auto"/>
        <w:tabs>
          <w:tab w:leader="none" w:pos="69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w:t>
      </w:r>
    </w:p>
    <w:p>
      <w:pPr>
        <w:spacing w:after="0" w:line="183" w:lineRule="exact"/>
        <w:rPr>
          <w:rFonts w:ascii="Times New Roman" w:cs="Times New Roman" w:eastAsia="Times New Roman" w:hAnsi="Times New Roman"/>
          <w:sz w:val="18"/>
          <w:szCs w:val="18"/>
          <w:color w:val="auto"/>
        </w:rPr>
      </w:pPr>
    </w:p>
    <w:p>
      <w:pPr>
        <w:ind w:right="40" w:firstLine="436"/>
        <w:spacing w:after="0" w:line="254"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w:t>
      </w:r>
    </w:p>
    <w:p>
      <w:pPr>
        <w:spacing w:after="0" w:line="18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sufficient copies of the latest version of such Prospectus to Broker-Dealers promptly upon request at any time during such 180-day (or shorter as provided in the foregoing paragraph) period in order to facilitate such resales.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If (i) the Company is not required to file an Exchange Offer Registration Statement or to consummate the Exchange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 prohibited by applicable law or Commission policy from participating in the Exchange Offer, (B) such</w:t>
      </w:r>
    </w:p>
    <w:p>
      <w:pPr>
        <w:sectPr>
          <w:pgSz w:w="11900" w:h="16838" w:orient="portrait"/>
          <w:cols w:equalWidth="0" w:num="1">
            <w:col w:w="11000"/>
          </w:cols>
          <w:pgMar w:left="440" w:top="270" w:right="459" w:bottom="1440" w:gutter="0" w:footer="0" w:header="0"/>
        </w:sectPr>
      </w:pPr>
    </w:p>
    <w:bookmarkStart w:id="46" w:name="page47"/>
    <w:bookmarkEnd w:id="46"/>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w:t>
      </w:r>
    </w:p>
    <w:p>
      <w:pPr>
        <w:spacing w:after="0" w:line="68" w:lineRule="exact"/>
        <w:rPr>
          <w:sz w:val="20"/>
          <w:szCs w:val="20"/>
          <w:color w:val="auto"/>
        </w:rPr>
      </w:pPr>
    </w:p>
    <w:p>
      <w:pPr>
        <w:ind w:left="440" w:right="100" w:firstLine="419"/>
        <w:spacing w:after="0" w:line="270" w:lineRule="auto"/>
        <w:tabs>
          <w:tab w:leader="none" w:pos="1118"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filed a shelf registration statement pursuant to Rule 415 under the Securities Act, which may be an amendment to the Exchange Offer Registration Statement (in either event, the “</w:t>
      </w:r>
      <w:r>
        <w:rPr>
          <w:rFonts w:ascii="Times New Roman" w:cs="Times New Roman" w:eastAsia="Times New Roman" w:hAnsi="Times New Roman"/>
          <w:sz w:val="17"/>
          <w:szCs w:val="17"/>
          <w:b w:val="1"/>
          <w:bCs w:val="1"/>
          <w:i w:val="1"/>
          <w:iCs w:val="1"/>
          <w:color w:val="auto"/>
        </w:rPr>
        <w:t>Shelf Registration Statement</w:t>
      </w:r>
      <w:r>
        <w:rPr>
          <w:rFonts w:ascii="Times New Roman" w:cs="Times New Roman" w:eastAsia="Times New Roman" w:hAnsi="Times New Roman"/>
          <w:sz w:val="17"/>
          <w:szCs w:val="17"/>
          <w:color w:val="auto"/>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w:t>
      </w:r>
    </w:p>
    <w:p>
      <w:pPr>
        <w:spacing w:after="0" w:line="2" w:lineRule="exact"/>
        <w:rPr>
          <w:rFonts w:ascii="Times New Roman" w:cs="Times New Roman" w:eastAsia="Times New Roman" w:hAnsi="Times New Roman"/>
          <w:sz w:val="17"/>
          <w:szCs w:val="17"/>
          <w:color w:val="auto"/>
        </w:rPr>
      </w:pPr>
    </w:p>
    <w:p>
      <w:pPr>
        <w:ind w:left="440" w:right="80" w:hanging="4"/>
        <w:spacing w:after="0" w:line="255" w:lineRule="auto"/>
        <w:tabs>
          <w:tab w:leader="none" w:pos="7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(3) the 365th day after the Issue Date (or if such 365th day is not a Business Day, the next succeeding Business Day) (the “</w:t>
      </w:r>
      <w:r>
        <w:rPr>
          <w:rFonts w:ascii="Times New Roman" w:cs="Times New Roman" w:eastAsia="Times New Roman" w:hAnsi="Times New Roman"/>
          <w:sz w:val="18"/>
          <w:szCs w:val="18"/>
          <w:b w:val="1"/>
          <w:bCs w:val="1"/>
          <w:i w:val="1"/>
          <w:iCs w:val="1"/>
          <w:color w:val="auto"/>
        </w:rPr>
        <w:t>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Filing Deadline</w:t>
      </w:r>
      <w:r>
        <w:rPr>
          <w:rFonts w:ascii="Times New Roman" w:cs="Times New Roman" w:eastAsia="Times New Roman" w:hAnsi="Times New Roman"/>
          <w:sz w:val="18"/>
          <w:szCs w:val="18"/>
          <w:color w:val="auto"/>
        </w:rPr>
        <w:t>”), which Shelf Registration Statement shall provide for resales of all Registrable Notes the Holders of which shall have 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information required pursuant to Section 4(b) hereof; and</w:t>
      </w:r>
    </w:p>
    <w:p>
      <w:pPr>
        <w:spacing w:after="0" w:line="77" w:lineRule="exact"/>
        <w:rPr>
          <w:rFonts w:ascii="Times New Roman" w:cs="Times New Roman" w:eastAsia="Times New Roman" w:hAnsi="Times New Roman"/>
          <w:sz w:val="18"/>
          <w:szCs w:val="18"/>
          <w:color w:val="auto"/>
        </w:rPr>
      </w:pPr>
    </w:p>
    <w:p>
      <w:pPr>
        <w:ind w:left="440" w:right="440" w:firstLine="419"/>
        <w:spacing w:after="0" w:line="266" w:lineRule="auto"/>
        <w:tabs>
          <w:tab w:leader="none" w:pos="11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Company may suspend the offering and sale under the Shelf Registration Statement (the “</w:t>
      </w:r>
      <w:r>
        <w:rPr>
          <w:rFonts w:ascii="Times New Roman" w:cs="Times New Roman" w:eastAsia="Times New Roman" w:hAnsi="Times New Roman"/>
          <w:sz w:val="18"/>
          <w:szCs w:val="18"/>
          <w:b w:val="1"/>
          <w:bCs w:val="1"/>
          <w:i w:val="1"/>
          <w:iCs w:val="1"/>
          <w:color w:val="auto"/>
        </w:rPr>
        <w:t>Suspension Period</w:t>
      </w:r>
      <w:r>
        <w:rPr>
          <w:rFonts w:ascii="Times New Roman" w:cs="Times New Roman" w:eastAsia="Times New Roman" w:hAnsi="Times New Roman"/>
          <w:sz w:val="18"/>
          <w:szCs w:val="18"/>
          <w:color w:val="auto"/>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period or periods of suspension under clause (i) above shall not exceed, in the aggregate, 60 days in any twelve-month period during which the Shelf Registration Statement is required to be effective.</w:t>
      </w:r>
    </w:p>
    <w:p>
      <w:pPr>
        <w:sectPr>
          <w:pgSz w:w="11900" w:h="16838" w:orient="portrait"/>
          <w:cols w:equalWidth="0" w:num="1">
            <w:col w:w="11000"/>
          </w:cols>
          <w:pgMar w:left="440" w:top="270" w:right="459" w:bottom="1440" w:gutter="0" w:footer="0" w:header="0"/>
        </w:sectPr>
      </w:pPr>
    </w:p>
    <w:bookmarkStart w:id="47" w:name="page48"/>
    <w:bookmarkEnd w:id="47"/>
    <w:p>
      <w:pPr>
        <w:ind w:right="20" w:firstLine="436"/>
        <w:spacing w:after="0" w:line="257"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 by Holders of Certain Information in Connection with the Shelf Registration Statement. </w:t>
      </w:r>
      <w:r>
        <w:rPr>
          <w:rFonts w:ascii="Times New Roman" w:cs="Times New Roman" w:eastAsia="Times New Roman" w:hAnsi="Times New Roman"/>
          <w:sz w:val="18"/>
          <w:szCs w:val="18"/>
          <w:color w:val="auto"/>
        </w:rPr>
        <w:t>No Holder of Registrable Notes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w:t>
      </w:r>
    </w:p>
    <w:p>
      <w:pPr>
        <w:spacing w:after="0" w:line="18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Additional Interest.</w:t>
      </w:r>
      <w:r>
        <w:rPr>
          <w:rFonts w:ascii="Times New Roman" w:cs="Times New Roman" w:eastAsia="Times New Roman" w:hAnsi="Times New Roman"/>
          <w:sz w:val="18"/>
          <w:szCs w:val="18"/>
          <w:color w:val="auto"/>
        </w:rPr>
        <w:t xml:space="preserve"> 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cs="Times New Roman" w:eastAsia="Times New Roman" w:hAnsi="Times New Roman"/>
          <w:sz w:val="18"/>
          <w:szCs w:val="18"/>
          <w:b w:val="1"/>
          <w:bCs w:val="1"/>
          <w:i w:val="1"/>
          <w:iCs w:val="1"/>
          <w:color w:val="auto"/>
        </w:rPr>
        <w:t>Registration Default</w:t>
      </w:r>
      <w:r>
        <w:rPr>
          <w:rFonts w:ascii="Times New Roman" w:cs="Times New Roman" w:eastAsia="Times New Roman" w:hAnsi="Times New Roman"/>
          <w:sz w:val="18"/>
          <w:szCs w:val="18"/>
          <w:color w:val="auto"/>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cs="Times New Roman" w:eastAsia="Times New Roman" w:hAnsi="Times New Roman"/>
          <w:sz w:val="18"/>
          <w:szCs w:val="18"/>
          <w:b w:val="1"/>
          <w:bCs w:val="1"/>
          <w:i w:val="1"/>
          <w:iCs w:val="1"/>
          <w:color w:val="auto"/>
        </w:rPr>
        <w:t>Additional Interest</w:t>
      </w:r>
      <w:r>
        <w:rPr>
          <w:rFonts w:ascii="Times New Roman" w:cs="Times New Roman" w:eastAsia="Times New Roman" w:hAnsi="Times New Roman"/>
          <w:sz w:val="18"/>
          <w:szCs w:val="18"/>
          <w:color w:val="auto"/>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 rate, a different Registration Default occurs, the interest rate borne by the relevant Registrable Notes shall again be increased pursuant to the foregoing provisions.</w:t>
      </w:r>
    </w:p>
    <w:p>
      <w:pPr>
        <w:spacing w:after="0" w:line="197"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w:t>
      </w:r>
    </w:p>
    <w:p>
      <w:pPr>
        <w:spacing w:after="0" w:line="14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i w:val="1"/>
          <w:iCs w:val="1"/>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7"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Offer Registration Statement. </w:t>
      </w:r>
      <w:r>
        <w:rPr>
          <w:rFonts w:ascii="Times New Roman" w:cs="Times New Roman" w:eastAsia="Times New Roman" w:hAnsi="Times New Roman"/>
          <w:sz w:val="18"/>
          <w:szCs w:val="18"/>
          <w:color w:val="auto"/>
        </w:rPr>
        <w:t>In connection with the Exchange Offer, the Company shall comply with all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Section 6(c) hereof, shall use its commercially reasonable efforts to effect such exchange to permit the sale of Registrable Notes being sold in accordance with the intended method or methods of distribution thereof, and shall comply with all of the following provision:</w:t>
      </w:r>
    </w:p>
    <w:p>
      <w:pPr>
        <w:sectPr>
          <w:pgSz w:w="11900" w:h="16838" w:orient="portrait"/>
          <w:cols w:equalWidth="0" w:num="1">
            <w:col w:w="11000"/>
          </w:cols>
          <w:pgMar w:left="440" w:top="268" w:right="459" w:bottom="1440" w:gutter="0" w:footer="0" w:header="0"/>
        </w:sectPr>
      </w:pPr>
    </w:p>
    <w:bookmarkStart w:id="48" w:name="page49"/>
    <w:bookmarkEnd w:id="48"/>
    <w:p>
      <w:pPr>
        <w:jc w:val="both"/>
        <w:ind w:left="4" w:right="120" w:firstLine="419"/>
        <w:spacing w:after="0" w:line="272" w:lineRule="auto"/>
        <w:tabs>
          <w:tab w:leader="none" w:pos="641"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8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cs="Times New Roman" w:eastAsia="Times New Roman" w:hAnsi="Times New Roman"/>
          <w:sz w:val="17"/>
          <w:szCs w:val="17"/>
          <w:u w:val="single" w:color="auto"/>
          <w:color w:val="auto"/>
        </w:rPr>
        <w:t>Morgan Stanley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 Inc.</w:t>
      </w:r>
      <w:r>
        <w:rPr>
          <w:rFonts w:ascii="Times New Roman" w:cs="Times New Roman" w:eastAsia="Times New Roman" w:hAnsi="Times New Roman"/>
          <w:sz w:val="17"/>
          <w:szCs w:val="17"/>
          <w:color w:val="auto"/>
        </w:rPr>
        <w:t xml:space="preserve"> (available June 5, 1991) and </w:t>
      </w:r>
      <w:r>
        <w:rPr>
          <w:rFonts w:ascii="Times New Roman" w:cs="Times New Roman" w:eastAsia="Times New Roman" w:hAnsi="Times New Roman"/>
          <w:sz w:val="17"/>
          <w:szCs w:val="17"/>
          <w:u w:val="single" w:color="auto"/>
          <w:color w:val="auto"/>
        </w:rPr>
        <w:t>Exxon Capital Holdings Corporation</w:t>
      </w:r>
      <w:r>
        <w:rPr>
          <w:rFonts w:ascii="Times New Roman" w:cs="Times New Roman" w:eastAsia="Times New Roman" w:hAnsi="Times New Roman"/>
          <w:sz w:val="17"/>
          <w:szCs w:val="17"/>
          <w:color w:val="auto"/>
        </w:rPr>
        <w:t xml:space="preserve"> (available May 13, 1988), as interpreted in the Commission’s letter to Shearman &amp; Sterling dated July 2, 1993, and similar no-action letters (which may include any no-action letter obtained pursuant to clause</w:t>
      </w:r>
    </w:p>
    <w:p>
      <w:pPr>
        <w:spacing w:after="0" w:line="1" w:lineRule="exact"/>
        <w:rPr>
          <w:rFonts w:ascii="Times New Roman" w:cs="Times New Roman" w:eastAsia="Times New Roman" w:hAnsi="Times New Roman"/>
          <w:sz w:val="17"/>
          <w:szCs w:val="17"/>
          <w:color w:val="auto"/>
        </w:rPr>
      </w:pPr>
    </w:p>
    <w:p>
      <w:pPr>
        <w:ind w:left="4" w:right="20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w:t>
      </w:r>
    </w:p>
    <w:p>
      <w:pPr>
        <w:spacing w:after="0" w:line="187" w:lineRule="exact"/>
        <w:rPr>
          <w:sz w:val="20"/>
          <w:szCs w:val="20"/>
          <w:color w:val="auto"/>
        </w:rPr>
      </w:pPr>
    </w:p>
    <w:p>
      <w:pPr>
        <w:ind w:left="-436" w:right="60" w:firstLine="436"/>
        <w:spacing w:after="0" w:line="277" w:lineRule="auto"/>
        <w:tabs>
          <w:tab w:leader="none" w:pos="25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Shelf Registration Statement. </w:t>
      </w:r>
      <w:r>
        <w:rPr>
          <w:rFonts w:ascii="Times New Roman" w:cs="Times New Roman" w:eastAsia="Times New Roman" w:hAnsi="Times New Roman"/>
          <w:sz w:val="17"/>
          <w:szCs w:val="17"/>
          <w:color w:val="auto"/>
        </w:rPr>
        <w:t>In connection with the Shelf Registration Statement, the Company shall comply with all the provisions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w:t>
      </w:r>
    </w:p>
    <w:p>
      <w:pPr>
        <w:spacing w:after="0" w:line="167" w:lineRule="exact"/>
        <w:rPr>
          <w:rFonts w:ascii="Times New Roman" w:cs="Times New Roman" w:eastAsia="Times New Roman" w:hAnsi="Times New Roman"/>
          <w:sz w:val="17"/>
          <w:szCs w:val="17"/>
          <w:color w:val="auto"/>
        </w:rPr>
      </w:pPr>
    </w:p>
    <w:p>
      <w:pPr>
        <w:ind w:left="-436" w:right="20" w:firstLine="436"/>
        <w:spacing w:after="0" w:line="267" w:lineRule="auto"/>
        <w:tabs>
          <w:tab w:leader="none" w:pos="24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Provisions. </w:t>
      </w:r>
      <w:r>
        <w:rPr>
          <w:rFonts w:ascii="Times New Roman" w:cs="Times New Roman" w:eastAsia="Times New Roman" w:hAnsi="Times New Roman"/>
          <w:sz w:val="18"/>
          <w:szCs w:val="18"/>
          <w:color w:val="auto"/>
        </w:rPr>
        <w:t>In connection with any Registration Statement and any Prospectus required by this Agreement to permit the sale or resale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Notes (including, without limitation, any Registration Statement and the related Prospectus required to permit resales of Notes by Broker-Dealers), the Company shall:</w:t>
      </w:r>
    </w:p>
    <w:p>
      <w:pPr>
        <w:spacing w:after="0" w:line="67"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64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keep such Registration Statement continuously effective during the period required by this Agreement and provide all requisite financial statements;</w:t>
      </w:r>
    </w:p>
    <w:p>
      <w:pPr>
        <w:spacing w:after="0" w:line="53" w:lineRule="exact"/>
        <w:rPr>
          <w:rFonts w:ascii="Times New Roman" w:cs="Times New Roman" w:eastAsia="Times New Roman" w:hAnsi="Times New Roman"/>
          <w:sz w:val="18"/>
          <w:szCs w:val="18"/>
          <w:color w:val="auto"/>
        </w:rPr>
      </w:pPr>
    </w:p>
    <w:p>
      <w:pPr>
        <w:ind w:left="4" w:firstLine="419"/>
        <w:spacing w:after="0" w:line="256" w:lineRule="auto"/>
        <w:tabs>
          <w:tab w:leader="none" w:pos="69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w:t>
      </w:r>
    </w:p>
    <w:p>
      <w:pPr>
        <w:sectPr>
          <w:pgSz w:w="11900" w:h="16838" w:orient="portrait"/>
          <w:cols w:equalWidth="0" w:num="1">
            <w:col w:w="10564"/>
          </w:cols>
          <w:pgMar w:left="876" w:top="270" w:right="459" w:bottom="1440" w:gutter="0" w:footer="0" w:header="0"/>
        </w:sectPr>
      </w:pPr>
    </w:p>
    <w:bookmarkStart w:id="49" w:name="page50"/>
    <w:bookmarkEnd w:id="49"/>
    <w:p>
      <w:pPr>
        <w:ind w:left="4" w:right="20" w:firstLine="419"/>
        <w:spacing w:after="0" w:line="254" w:lineRule="auto"/>
        <w:tabs>
          <w:tab w:leader="none" w:pos="74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w:t>
      </w:r>
    </w:p>
    <w:p>
      <w:pPr>
        <w:spacing w:after="0" w:line="83"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selling Holders promptly and, if requested by such Persons, to confirm such advice in writing,</w:t>
      </w:r>
    </w:p>
    <w:p>
      <w:pPr>
        <w:spacing w:after="0" w:line="27" w:lineRule="exact"/>
        <w:rPr>
          <w:rFonts w:ascii="Times New Roman" w:cs="Times New Roman" w:eastAsia="Times New Roman" w:hAnsi="Times New Roman"/>
          <w:sz w:val="18"/>
          <w:szCs w:val="18"/>
          <w:color w:val="auto"/>
        </w:rPr>
      </w:pPr>
    </w:p>
    <w:p>
      <w:pPr>
        <w:ind w:left="4" w:right="100" w:hanging="4"/>
        <w:spacing w:after="0" w:line="265" w:lineRule="auto"/>
        <w:tabs>
          <w:tab w:leader="none" w:pos="298"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w:t>
      </w:r>
    </w:p>
    <w:p>
      <w:pPr>
        <w:ind w:left="4" w:hanging="4"/>
        <w:spacing w:after="0" w:line="251" w:lineRule="auto"/>
        <w:tabs>
          <w:tab w:leader="none" w:pos="28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w:t>
      </w:r>
    </w:p>
    <w:p>
      <w:pPr>
        <w:spacing w:after="0" w:line="85"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w:t>
      </w:r>
    </w:p>
    <w:p>
      <w:pPr>
        <w:spacing w:after="0" w:line="86"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Company’s representatives reasonably available to the Initial Purchasers for customary due diligence matters;</w:t>
      </w:r>
    </w:p>
    <w:p>
      <w:pPr>
        <w:sectPr>
          <w:pgSz w:w="11900" w:h="16838" w:orient="portrait"/>
          <w:cols w:equalWidth="0" w:num="1">
            <w:col w:w="10564"/>
          </w:cols>
          <w:pgMar w:left="876" w:top="270" w:right="459" w:bottom="1440" w:gutter="0" w:footer="0" w:header="0"/>
        </w:sectPr>
      </w:pPr>
    </w:p>
    <w:bookmarkStart w:id="50" w:name="page51"/>
    <w:bookmarkEnd w:id="50"/>
    <w:p>
      <w:pPr>
        <w:ind w:left="-419" w:firstLine="419"/>
        <w:spacing w:after="0" w:line="255" w:lineRule="auto"/>
        <w:tabs>
          <w:tab w:leader="none" w:pos="3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w:t>
      </w:r>
    </w:p>
    <w:p>
      <w:pPr>
        <w:spacing w:after="0" w:line="80" w:lineRule="exact"/>
        <w:rPr>
          <w:rFonts w:ascii="Times New Roman" w:cs="Times New Roman" w:eastAsia="Times New Roman" w:hAnsi="Times New Roman"/>
          <w:sz w:val="18"/>
          <w:szCs w:val="18"/>
          <w:color w:val="auto"/>
        </w:rPr>
      </w:pPr>
    </w:p>
    <w:p>
      <w:pPr>
        <w:ind w:left="-419" w:right="80" w:firstLine="419"/>
        <w:spacing w:after="0" w:line="255" w:lineRule="auto"/>
        <w:tabs>
          <w:tab w:leader="none" w:pos="4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w:t>
      </w:r>
    </w:p>
    <w:p>
      <w:pPr>
        <w:spacing w:after="0" w:line="80" w:lineRule="exact"/>
        <w:rPr>
          <w:rFonts w:ascii="Times New Roman" w:cs="Times New Roman" w:eastAsia="Times New Roman" w:hAnsi="Times New Roman"/>
          <w:sz w:val="18"/>
          <w:szCs w:val="18"/>
          <w:color w:val="auto"/>
        </w:rPr>
      </w:pPr>
    </w:p>
    <w:p>
      <w:pPr>
        <w:ind w:left="-419" w:right="160" w:firstLine="419"/>
        <w:spacing w:after="0" w:line="261" w:lineRule="auto"/>
        <w:tabs>
          <w:tab w:leader="none" w:pos="3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w:t>
      </w:r>
    </w:p>
    <w:p>
      <w:pPr>
        <w:spacing w:after="0" w:line="71" w:lineRule="exact"/>
        <w:rPr>
          <w:rFonts w:ascii="Times New Roman" w:cs="Times New Roman" w:eastAsia="Times New Roman" w:hAnsi="Times New Roman"/>
          <w:sz w:val="18"/>
          <w:szCs w:val="18"/>
          <w:color w:val="auto"/>
        </w:rPr>
      </w:pPr>
    </w:p>
    <w:p>
      <w:pPr>
        <w:ind w:left="-419" w:right="180" w:firstLine="419"/>
        <w:spacing w:after="0" w:line="261" w:lineRule="auto"/>
        <w:tabs>
          <w:tab w:leader="none" w:pos="25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w:t>
      </w:r>
    </w:p>
    <w:p>
      <w:pPr>
        <w:spacing w:after="0" w:line="71" w:lineRule="exact"/>
        <w:rPr>
          <w:rFonts w:ascii="Times New Roman" w:cs="Times New Roman" w:eastAsia="Times New Roman" w:hAnsi="Times New Roman"/>
          <w:sz w:val="18"/>
          <w:szCs w:val="18"/>
          <w:color w:val="auto"/>
        </w:rPr>
      </w:pPr>
    </w:p>
    <w:p>
      <w:pPr>
        <w:ind w:left="-419" w:right="260" w:firstLine="419"/>
        <w:spacing w:after="0" w:line="289" w:lineRule="auto"/>
        <w:tabs>
          <w:tab w:leader="none" w:pos="30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w:t>
      </w:r>
    </w:p>
    <w:p>
      <w:pPr>
        <w:spacing w:after="0" w:line="49" w:lineRule="exact"/>
        <w:rPr>
          <w:rFonts w:ascii="Times New Roman" w:cs="Times New Roman" w:eastAsia="Times New Roman" w:hAnsi="Times New Roman"/>
          <w:sz w:val="17"/>
          <w:szCs w:val="17"/>
          <w:color w:val="auto"/>
        </w:rPr>
      </w:pPr>
    </w:p>
    <w:p>
      <w:pPr>
        <w:ind w:left="121" w:right="80" w:firstLine="408"/>
        <w:spacing w:after="0" w:line="266" w:lineRule="auto"/>
        <w:tabs>
          <w:tab w:leader="none" w:pos="81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w:t>
      </w:r>
    </w:p>
    <w:p>
      <w:pPr>
        <w:spacing w:after="0" w:line="67" w:lineRule="exact"/>
        <w:rPr>
          <w:rFonts w:ascii="Times New Roman" w:cs="Times New Roman" w:eastAsia="Times New Roman" w:hAnsi="Times New Roman"/>
          <w:sz w:val="18"/>
          <w:szCs w:val="18"/>
          <w:color w:val="auto"/>
        </w:rPr>
      </w:pPr>
    </w:p>
    <w:p>
      <w:pPr>
        <w:ind w:left="561" w:right="220" w:firstLine="391"/>
        <w:spacing w:after="0" w:line="312" w:lineRule="auto"/>
        <w:tabs>
          <w:tab w:leader="none" w:pos="1199" w:val="left"/>
        </w:tabs>
        <w:numPr>
          <w:ilvl w:val="2"/>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dated the effectiveness of the Shelf Registration Statement, signed by (y) the Chief Executive Officer, the President or any Vice President and (z) a principal financial or accounting officer of the Company, confirming customary matters;</w:t>
      </w:r>
    </w:p>
    <w:p>
      <w:pPr>
        <w:sectPr>
          <w:pgSz w:w="11900" w:h="16838" w:orient="portrait"/>
          <w:cols w:equalWidth="0" w:num="1">
            <w:col w:w="10141"/>
          </w:cols>
          <w:pgMar w:left="1299" w:top="270" w:right="459" w:bottom="1440" w:gutter="0" w:footer="0" w:header="0"/>
        </w:sectPr>
      </w:pPr>
    </w:p>
    <w:bookmarkStart w:id="51" w:name="page52"/>
    <w:bookmarkEnd w:id="51"/>
    <w:p>
      <w:pPr>
        <w:ind w:left="980" w:firstLine="391"/>
        <w:spacing w:after="0" w:line="282" w:lineRule="auto"/>
        <w:tabs>
          <w:tab w:leader="none" w:pos="16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requested by a majority of selling Holders, an opinion, dated the date of effectiveness of the Shelf Registration Statement, of counsel for the Company, covering the matters customarily covered in opinions requested in underwritten offerings;</w:t>
      </w:r>
    </w:p>
    <w:p>
      <w:pPr>
        <w:spacing w:after="0" w:line="53" w:lineRule="exact"/>
        <w:rPr>
          <w:rFonts w:ascii="Times New Roman" w:cs="Times New Roman" w:eastAsia="Times New Roman" w:hAnsi="Times New Roman"/>
          <w:sz w:val="18"/>
          <w:szCs w:val="18"/>
          <w:color w:val="auto"/>
        </w:rPr>
      </w:pPr>
    </w:p>
    <w:p>
      <w:pPr>
        <w:ind w:left="980" w:right="280" w:firstLine="391"/>
        <w:spacing w:after="0" w:line="266" w:lineRule="auto"/>
        <w:tabs>
          <w:tab w:leader="none" w:pos="161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w:t>
      </w:r>
    </w:p>
    <w:p>
      <w:pPr>
        <w:spacing w:after="0" w:line="6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forth in full or incorporate by reference in the underwriting agreement, if any, the indemnification provisions and procedures of Section 8 hereof with respect to all parties to be indemnified pursuant to said Section; and</w:t>
      </w:r>
    </w:p>
    <w:p>
      <w:pPr>
        <w:spacing w:after="0" w:line="53"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w:t>
      </w:r>
    </w:p>
    <w:p>
      <w:pPr>
        <w:spacing w:after="0" w:line="68" w:lineRule="exact"/>
        <w:rPr>
          <w:sz w:val="20"/>
          <w:szCs w:val="20"/>
          <w:color w:val="auto"/>
        </w:rPr>
      </w:pPr>
    </w:p>
    <w:p>
      <w:pPr>
        <w:ind w:firstLine="419"/>
        <w:spacing w:after="0" w:line="255" w:lineRule="auto"/>
        <w:tabs>
          <w:tab w:leader="none" w:pos="7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w:t>
      </w:r>
    </w:p>
    <w:p>
      <w:pPr>
        <w:spacing w:after="0" w:line="80" w:lineRule="exact"/>
        <w:rPr>
          <w:rFonts w:ascii="Times New Roman" w:cs="Times New Roman" w:eastAsia="Times New Roman" w:hAnsi="Times New Roman"/>
          <w:sz w:val="18"/>
          <w:szCs w:val="18"/>
          <w:color w:val="auto"/>
        </w:rPr>
      </w:pPr>
    </w:p>
    <w:p>
      <w:pPr>
        <w:ind w:right="60" w:firstLine="419"/>
        <w:spacing w:after="0" w:line="256" w:lineRule="auto"/>
        <w:tabs>
          <w:tab w:leader="none" w:pos="8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w:t>
      </w:r>
    </w:p>
    <w:p>
      <w:pPr>
        <w:sectPr>
          <w:pgSz w:w="11900" w:h="16838" w:orient="portrait"/>
          <w:cols w:equalWidth="0" w:num="1">
            <w:col w:w="10540"/>
          </w:cols>
          <w:pgMar w:left="880" w:top="270" w:right="479" w:bottom="1440" w:gutter="0" w:footer="0" w:header="0"/>
        </w:sectPr>
      </w:pPr>
    </w:p>
    <w:bookmarkStart w:id="52" w:name="page53"/>
    <w:bookmarkEnd w:id="52"/>
    <w:p>
      <w:pPr>
        <w:ind w:left="-419" w:firstLine="419"/>
        <w:spacing w:after="0" w:line="258" w:lineRule="auto"/>
        <w:tabs>
          <w:tab w:leader="none" w:pos="3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w:t>
      </w:r>
    </w:p>
    <w:p>
      <w:pPr>
        <w:spacing w:after="0" w:line="75" w:lineRule="exact"/>
        <w:rPr>
          <w:rFonts w:ascii="Times New Roman" w:cs="Times New Roman" w:eastAsia="Times New Roman" w:hAnsi="Times New Roman"/>
          <w:sz w:val="18"/>
          <w:szCs w:val="18"/>
          <w:color w:val="auto"/>
        </w:rPr>
      </w:pPr>
    </w:p>
    <w:p>
      <w:pPr>
        <w:jc w:val="both"/>
        <w:ind w:left="-419" w:right="220" w:firstLine="419"/>
        <w:spacing w:after="0" w:line="266" w:lineRule="auto"/>
        <w:tabs>
          <w:tab w:leader="none" w:pos="3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w:t>
      </w:r>
    </w:p>
    <w:p>
      <w:pPr>
        <w:spacing w:after="0" w:line="67" w:lineRule="exact"/>
        <w:rPr>
          <w:rFonts w:ascii="Times New Roman" w:cs="Times New Roman" w:eastAsia="Times New Roman" w:hAnsi="Times New Roman"/>
          <w:sz w:val="18"/>
          <w:szCs w:val="18"/>
          <w:color w:val="auto"/>
        </w:rPr>
      </w:pPr>
    </w:p>
    <w:p>
      <w:pPr>
        <w:ind w:left="-419" w:right="100" w:firstLine="419"/>
        <w:spacing w:after="0" w:line="261" w:lineRule="auto"/>
        <w:tabs>
          <w:tab w:leader="none" w:pos="3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w:t>
      </w:r>
    </w:p>
    <w:p>
      <w:pPr>
        <w:spacing w:after="0" w:line="71" w:lineRule="exact"/>
        <w:rPr>
          <w:rFonts w:ascii="Times New Roman" w:cs="Times New Roman" w:eastAsia="Times New Roman" w:hAnsi="Times New Roman"/>
          <w:sz w:val="18"/>
          <w:szCs w:val="18"/>
          <w:color w:val="auto"/>
        </w:rPr>
      </w:pPr>
    </w:p>
    <w:p>
      <w:pPr>
        <w:ind w:left="-419" w:right="20" w:firstLine="419"/>
        <w:spacing w:after="0" w:line="261" w:lineRule="auto"/>
        <w:tabs>
          <w:tab w:leader="none" w:pos="4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w:t>
      </w:r>
    </w:p>
    <w:p>
      <w:pPr>
        <w:spacing w:after="0" w:line="71" w:lineRule="exact"/>
        <w:rPr>
          <w:rFonts w:ascii="Times New Roman" w:cs="Times New Roman" w:eastAsia="Times New Roman" w:hAnsi="Times New Roman"/>
          <w:sz w:val="18"/>
          <w:szCs w:val="18"/>
          <w:color w:val="auto"/>
        </w:rPr>
      </w:pPr>
    </w:p>
    <w:p>
      <w:pPr>
        <w:jc w:val="both"/>
        <w:ind w:left="-419" w:right="20" w:firstLine="419"/>
        <w:spacing w:after="0" w:line="266" w:lineRule="auto"/>
        <w:tabs>
          <w:tab w:leader="none" w:pos="4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w:t>
      </w:r>
    </w:p>
    <w:p>
      <w:pPr>
        <w:spacing w:after="0" w:line="67" w:lineRule="exact"/>
        <w:rPr>
          <w:rFonts w:ascii="Times New Roman" w:cs="Times New Roman" w:eastAsia="Times New Roman" w:hAnsi="Times New Roman"/>
          <w:sz w:val="18"/>
          <w:szCs w:val="18"/>
          <w:color w:val="auto"/>
        </w:rPr>
      </w:pPr>
    </w:p>
    <w:p>
      <w:pPr>
        <w:ind w:left="-419" w:right="80" w:firstLine="419"/>
        <w:spacing w:after="0" w:line="256" w:lineRule="auto"/>
        <w:tabs>
          <w:tab w:leader="none" w:pos="3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w:t>
      </w:r>
    </w:p>
    <w:p>
      <w:pPr>
        <w:spacing w:after="0" w:line="79" w:lineRule="exact"/>
        <w:rPr>
          <w:rFonts w:ascii="Times New Roman" w:cs="Times New Roman" w:eastAsia="Times New Roman" w:hAnsi="Times New Roman"/>
          <w:sz w:val="18"/>
          <w:szCs w:val="18"/>
          <w:color w:val="auto"/>
        </w:rPr>
      </w:pPr>
    </w:p>
    <w:p>
      <w:pPr>
        <w:ind w:left="-419" w:right="120" w:firstLine="419"/>
        <w:spacing w:after="0" w:line="256" w:lineRule="auto"/>
        <w:tabs>
          <w:tab w:leader="none" w:pos="34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w:t>
      </w:r>
    </w:p>
    <w:p>
      <w:pPr>
        <w:sectPr>
          <w:pgSz w:w="11900" w:h="16838" w:orient="portrait"/>
          <w:cols w:equalWidth="0" w:num="1">
            <w:col w:w="10101"/>
          </w:cols>
          <w:pgMar w:left="1299" w:top="270" w:right="499" w:bottom="1440" w:gutter="0" w:footer="0" w:header="0"/>
        </w:sectPr>
      </w:pPr>
    </w:p>
    <w:bookmarkStart w:id="53" w:name="page54"/>
    <w:bookmarkEnd w:id="53"/>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w:t>
      </w:r>
    </w:p>
    <w:p>
      <w:pPr>
        <w:spacing w:after="0" w:line="2" w:lineRule="exact"/>
        <w:rPr>
          <w:sz w:val="20"/>
          <w:szCs w:val="20"/>
          <w:color w:val="auto"/>
        </w:rPr>
      </w:pPr>
    </w:p>
    <w:p>
      <w:pPr>
        <w:ind w:left="4" w:right="20" w:hanging="4"/>
        <w:spacing w:after="0" w:line="251" w:lineRule="auto"/>
        <w:tabs>
          <w:tab w:leader="none" w:pos="39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or until it is advised in writing (the “</w:t>
      </w:r>
      <w:r>
        <w:rPr>
          <w:rFonts w:ascii="Times New Roman" w:cs="Times New Roman" w:eastAsia="Times New Roman" w:hAnsi="Times New Roman"/>
          <w:sz w:val="18"/>
          <w:szCs w:val="18"/>
          <w:b w:val="1"/>
          <w:bCs w:val="1"/>
          <w:i w:val="1"/>
          <w:iCs w:val="1"/>
          <w:color w:val="auto"/>
        </w:rPr>
        <w:t>Advice</w:t>
      </w:r>
      <w:r>
        <w:rPr>
          <w:rFonts w:ascii="Times New Roman" w:cs="Times New Roman" w:eastAsia="Times New Roman" w:hAnsi="Times New Roman"/>
          <w:sz w:val="18"/>
          <w:szCs w:val="18"/>
          <w:color w:val="auto"/>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w:t>
      </w:r>
    </w:p>
    <w:p>
      <w:pPr>
        <w:spacing w:after="0" w:line="19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Registration Expenses</w:t>
      </w:r>
      <w:r>
        <w:rPr>
          <w:rFonts w:ascii="Times New Roman" w:cs="Times New Roman" w:eastAsia="Times New Roman" w:hAnsi="Times New Roman"/>
          <w:sz w:val="18"/>
          <w:szCs w:val="18"/>
          <w:color w:val="auto"/>
        </w:rPr>
        <w:t>.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w:t>
      </w:r>
    </w:p>
    <w:p>
      <w:pPr>
        <w:spacing w:after="0" w:line="19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4" w:right="60" w:firstLine="436"/>
        <w:spacing w:after="0" w:line="254" w:lineRule="auto"/>
        <w:tabs>
          <w:tab w:leader="none" w:pos="68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cs="Times New Roman" w:eastAsia="Times New Roman" w:hAnsi="Times New Roman"/>
          <w:sz w:val="18"/>
          <w:szCs w:val="18"/>
          <w:i w:val="1"/>
          <w:iCs w:val="1"/>
          <w:color w:val="auto"/>
        </w:rPr>
        <w:t>Controlling Person</w:t>
      </w:r>
      <w:r>
        <w:rPr>
          <w:rFonts w:ascii="Times New Roman" w:cs="Times New Roman" w:eastAsia="Times New Roman" w:hAnsi="Times New Roman"/>
          <w:sz w:val="18"/>
          <w:szCs w:val="18"/>
          <w:color w:val="auto"/>
        </w:rPr>
        <w:t>”) and (iii) the respective officers, trustees, partners, employees, representatives and agents of any Holder or any Controlling Person (any Person referred to in clause (i), (ii) or (iii) may hereinafter be referred to as an “</w:t>
      </w:r>
      <w:r>
        <w:rPr>
          <w:rFonts w:ascii="Times New Roman" w:cs="Times New Roman" w:eastAsia="Times New Roman" w:hAnsi="Times New Roman"/>
          <w:sz w:val="18"/>
          <w:szCs w:val="18"/>
          <w:i w:val="1"/>
          <w:iCs w:val="1"/>
          <w:color w:val="auto"/>
        </w:rPr>
        <w:t>Indemnified Holder</w:t>
      </w:r>
      <w:r>
        <w:rPr>
          <w:rFonts w:ascii="Times New Roman" w:cs="Times New Roman" w:eastAsia="Times New Roman" w:hAnsi="Times New Roman"/>
          <w:sz w:val="18"/>
          <w:szCs w:val="18"/>
          <w:color w:val="auto"/>
        </w:rPr>
        <w:t>”),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w:t>
      </w:r>
    </w:p>
    <w:p>
      <w:pPr>
        <w:sectPr>
          <w:pgSz w:w="11900" w:h="16838" w:orient="portrait"/>
          <w:cols w:equalWidth="0" w:num="1">
            <w:col w:w="11004"/>
          </w:cols>
          <w:pgMar w:left="436" w:top="270" w:right="459" w:bottom="1440" w:gutter="0" w:footer="0" w:header="0"/>
        </w:sectPr>
      </w:pPr>
    </w:p>
    <w:bookmarkStart w:id="54" w:name="page55"/>
    <w:bookmarkEnd w:id="5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w:t>
      </w:r>
    </w:p>
    <w:p>
      <w:pPr>
        <w:spacing w:after="0" w:line="18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w:t>
      </w:r>
    </w:p>
    <w:p>
      <w:pPr>
        <w:spacing w:after="0" w:line="81" w:lineRule="exact"/>
        <w:rPr>
          <w:sz w:val="20"/>
          <w:szCs w:val="20"/>
          <w:color w:val="auto"/>
        </w:rPr>
      </w:pPr>
    </w:p>
    <w:p>
      <w:pPr>
        <w:ind w:firstLine="436"/>
        <w:spacing w:after="0" w:line="254"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w:t>
      </w:r>
    </w:p>
    <w:p>
      <w:pPr>
        <w:sectPr>
          <w:pgSz w:w="11900" w:h="16838" w:orient="portrait"/>
          <w:cols w:equalWidth="0" w:num="1">
            <w:col w:w="11000"/>
          </w:cols>
          <w:pgMar w:left="440" w:top="270" w:right="459" w:bottom="1440" w:gutter="0" w:footer="0" w:header="0"/>
        </w:sectPr>
      </w:pPr>
    </w:p>
    <w:bookmarkStart w:id="55" w:name="page56"/>
    <w:bookmarkEnd w:id="55"/>
    <w:p>
      <w:pPr>
        <w:ind w:firstLine="436"/>
        <w:spacing w:after="0" w:line="252" w:lineRule="auto"/>
        <w:tabs>
          <w:tab w:leader="none" w:pos="68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w:t>
      </w:r>
    </w:p>
    <w:p>
      <w:pPr>
        <w:spacing w:after="0" w:line="195"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w:t>
      </w:r>
    </w:p>
    <w:p>
      <w:pPr>
        <w:spacing w:after="0" w:line="180"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i w:val="1"/>
          <w:iCs w:val="1"/>
          <w:color w:val="auto"/>
        </w:rPr>
        <w:t>Rule 144A.</w:t>
      </w:r>
      <w:r>
        <w:rPr>
          <w:rFonts w:ascii="Times New Roman" w:cs="Times New Roman" w:eastAsia="Times New Roman" w:hAnsi="Times New Roman"/>
          <w:sz w:val="17"/>
          <w:szCs w:val="17"/>
          <w:color w:val="auto"/>
        </w:rPr>
        <w:t xml:space="preserve"> 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w:t>
      </w:r>
    </w:p>
    <w:p>
      <w:pPr>
        <w:sectPr>
          <w:pgSz w:w="11900" w:h="16838" w:orient="portrait"/>
          <w:cols w:equalWidth="0" w:num="1">
            <w:col w:w="11000"/>
          </w:cols>
          <w:pgMar w:left="440" w:top="270" w:right="459" w:bottom="1440" w:gutter="0" w:footer="0" w:header="0"/>
        </w:sectPr>
      </w:pPr>
    </w:p>
    <w:bookmarkStart w:id="56" w:name="page57"/>
    <w:bookmarkEnd w:id="56"/>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 </w:t>
      </w:r>
      <w:r>
        <w:rPr>
          <w:rFonts w:ascii="Times New Roman" w:cs="Times New Roman" w:eastAsia="Times New Roman" w:hAnsi="Times New Roman"/>
          <w:sz w:val="18"/>
          <w:szCs w:val="18"/>
          <w:i w:val="1"/>
          <w:iCs w:val="1"/>
          <w:color w:val="auto"/>
        </w:rPr>
        <w:t>Participation in Underwritten Registrations.</w:t>
      </w:r>
      <w:r>
        <w:rPr>
          <w:rFonts w:ascii="Times New Roman" w:cs="Times New Roman" w:eastAsia="Times New Roman" w:hAnsi="Times New Roman"/>
          <w:sz w:val="18"/>
          <w:szCs w:val="18"/>
          <w:color w:val="auto"/>
        </w:rPr>
        <w:t xml:space="preserve"> 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Selection of Underwriters.</w:t>
      </w:r>
      <w:r>
        <w:rPr>
          <w:rFonts w:ascii="Times New Roman" w:cs="Times New Roman" w:eastAsia="Times New Roman" w:hAnsi="Times New Roman"/>
          <w:sz w:val="18"/>
          <w:szCs w:val="18"/>
          <w:color w:val="auto"/>
        </w:rPr>
        <w:t xml:space="preserve"> 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investment banker(s) and managing underwriter(s) must be reasonably satisfactory to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i w:val="1"/>
          <w:iCs w:val="1"/>
          <w:color w:val="auto"/>
        </w:rPr>
        <w:t>Miscellaneous.</w:t>
      </w:r>
    </w:p>
    <w:p>
      <w:pPr>
        <w:spacing w:after="0" w:line="117" w:lineRule="exact"/>
        <w:rPr>
          <w:sz w:val="20"/>
          <w:szCs w:val="20"/>
          <w:color w:val="auto"/>
        </w:rPr>
      </w:pPr>
    </w:p>
    <w:p>
      <w:pPr>
        <w:jc w:val="both"/>
        <w:ind w:right="380" w:firstLine="436"/>
        <w:spacing w:after="0" w:line="267"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Remedies. </w:t>
      </w:r>
      <w:r>
        <w:rPr>
          <w:rFonts w:ascii="Times New Roman" w:cs="Times New Roman" w:eastAsia="Times New Roman" w:hAnsi="Times New Roman"/>
          <w:sz w:val="18"/>
          <w:szCs w:val="18"/>
          <w:color w:val="auto"/>
        </w:rPr>
        <w:t>The Company hereby agrees that monetary damages would not be adequate compensation for any loss incurred by reason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by it of the provisions of this Agreement and hereby agrees to waive the defense in any action for specific performance that a remedy at law would be adequate.</w:t>
      </w:r>
    </w:p>
    <w:p>
      <w:pPr>
        <w:spacing w:after="0" w:line="65" w:lineRule="exact"/>
        <w:rPr>
          <w:rFonts w:ascii="Times New Roman" w:cs="Times New Roman" w:eastAsia="Times New Roman" w:hAnsi="Times New Roman"/>
          <w:sz w:val="18"/>
          <w:szCs w:val="18"/>
          <w:color w:val="auto"/>
        </w:rPr>
      </w:pPr>
    </w:p>
    <w:p>
      <w:pPr>
        <w:ind w:right="500"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Inconsistent Agreements. </w:t>
      </w:r>
      <w:r>
        <w:rPr>
          <w:rFonts w:ascii="Times New Roman" w:cs="Times New Roman" w:eastAsia="Times New Roman" w:hAnsi="Times New Roman"/>
          <w:sz w:val="18"/>
          <w:szCs w:val="18"/>
          <w:color w:val="auto"/>
        </w:rPr>
        <w:t>The Company will not on or after the date of this Agreement enter into any agreement with respect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w:t>
      </w:r>
    </w:p>
    <w:p>
      <w:pPr>
        <w:spacing w:after="0" w:line="71" w:lineRule="exact"/>
        <w:rPr>
          <w:rFonts w:ascii="Times New Roman" w:cs="Times New Roman" w:eastAsia="Times New Roman" w:hAnsi="Times New Roman"/>
          <w:sz w:val="18"/>
          <w:szCs w:val="18"/>
          <w:color w:val="auto"/>
        </w:rPr>
      </w:pPr>
    </w:p>
    <w:p>
      <w:pPr>
        <w:ind w:right="180" w:firstLine="436"/>
        <w:spacing w:after="0" w:line="284"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Affecting the Notes. </w:t>
      </w:r>
      <w:r>
        <w:rPr>
          <w:rFonts w:ascii="Times New Roman" w:cs="Times New Roman" w:eastAsia="Times New Roman" w:hAnsi="Times New Roman"/>
          <w:sz w:val="18"/>
          <w:szCs w:val="18"/>
          <w:color w:val="auto"/>
        </w:rPr>
        <w:t>The Company will not take any action, or permit any change to occur, with respect to the Registrable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materially and adversely affect the ability of the Holders to Consummate any Exchange Offer.</w:t>
      </w:r>
    </w:p>
    <w:p>
      <w:pPr>
        <w:spacing w:after="0" w:line="50"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and Waivers. </w:t>
      </w:r>
      <w:r>
        <w:rPr>
          <w:rFonts w:ascii="Times New Roman" w:cs="Times New Roman" w:eastAsia="Times New Roman" w:hAnsi="Times New Roman"/>
          <w:sz w:val="18"/>
          <w:szCs w:val="18"/>
          <w:color w:val="auto"/>
        </w:rPr>
        <w:t>The provisions of this Agreement may not be amended, modified or supplemented, and waivers or consents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w:t>
      </w:r>
    </w:p>
    <w:p>
      <w:pPr>
        <w:sectPr>
          <w:pgSz w:w="11900" w:h="16838" w:orient="portrait"/>
          <w:cols w:equalWidth="0" w:num="1">
            <w:col w:w="10980"/>
          </w:cols>
          <w:pgMar w:left="440" w:top="268" w:right="479" w:bottom="1440" w:gutter="0" w:footer="0" w:header="0"/>
        </w:sectPr>
      </w:pPr>
    </w:p>
    <w:bookmarkStart w:id="57" w:name="page58"/>
    <w:bookmarkEnd w:id="57"/>
    <w:p>
      <w:pPr>
        <w:ind w:right="120" w:firstLine="436"/>
        <w:spacing w:after="0" w:line="284" w:lineRule="auto"/>
        <w:tabs>
          <w:tab w:leader="none" w:pos="6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Notices. </w:t>
      </w:r>
      <w:r>
        <w:rPr>
          <w:rFonts w:ascii="Times New Roman" w:cs="Times New Roman" w:eastAsia="Times New Roman" w:hAnsi="Times New Roman"/>
          <w:sz w:val="18"/>
          <w:szCs w:val="18"/>
          <w:color w:val="auto"/>
        </w:rPr>
        <w:t>All notices and other communications provided for or permitted hereunder shall be made in writing by hand-delivery, first-class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or certified, return receipt requested), or air courier guaranteeing overnight delivery:</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 Holder, at the address set forth on the records of the Registrar under the Indenture, with a copy to the Registrar under the Indenture;</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Ian Simmonds</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Attention: Steven Grigoriou</w:t>
      </w:r>
    </w:p>
    <w:p>
      <w:pPr>
        <w:spacing w:after="0" w:line="207"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Copies of all such notices, demands or other communications shall be concurrently delivered by the Person giving the same to the Trustee at the address specified in the Indenture.</w:t>
      </w:r>
    </w:p>
    <w:p>
      <w:pPr>
        <w:spacing w:after="0" w:line="52" w:lineRule="exact"/>
        <w:rPr>
          <w:sz w:val="20"/>
          <w:szCs w:val="20"/>
          <w:color w:val="auto"/>
        </w:rPr>
      </w:pPr>
    </w:p>
    <w:p>
      <w:pPr>
        <w:jc w:val="both"/>
        <w:ind w:right="320" w:firstLine="436"/>
        <w:spacing w:after="0" w:line="261" w:lineRule="auto"/>
        <w:tabs>
          <w:tab w:leader="none" w:pos="66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and Assigns. </w:t>
      </w:r>
      <w:r>
        <w:rPr>
          <w:rFonts w:ascii="Times New Roman" w:cs="Times New Roman" w:eastAsia="Times New Roman" w:hAnsi="Times New Roman"/>
          <w:sz w:val="18"/>
          <w:szCs w:val="18"/>
          <w:color w:val="auto"/>
        </w:rPr>
        <w:t>This Agreement shall inure to the benefit of and be binding upon the successors and assigns of each of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without limitation, and without the need for an express assignment, subsequent Holders of Registrable Notes;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Agreement shall not inure to the benefit of or be binding upon a successor or assign of a Holder unless and to the extent such successor or assign acquired Registrable Notes from such Holder.</w:t>
      </w:r>
    </w:p>
    <w:p>
      <w:pPr>
        <w:spacing w:after="0" w:line="71" w:lineRule="exact"/>
        <w:rPr>
          <w:rFonts w:ascii="Times New Roman" w:cs="Times New Roman" w:eastAsia="Times New Roman" w:hAnsi="Times New Roman"/>
          <w:sz w:val="18"/>
          <w:szCs w:val="18"/>
          <w:color w:val="auto"/>
        </w:rPr>
      </w:pPr>
    </w:p>
    <w:p>
      <w:pPr>
        <w:ind w:right="420" w:firstLine="436"/>
        <w:spacing w:after="0" w:line="267"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any number of counterparts (including by facsimile or other method of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and by the parties hereto in separate counterparts, each of which when so executed shall be deemed to be an original and all of which taken together shall constitute one and the same agreement.</w:t>
      </w:r>
    </w:p>
    <w:p>
      <w:pPr>
        <w:spacing w:after="0" w:line="6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in this Agreement are for convenience of reference only and shall not limit or otherwise affect the meaning hereof.</w:t>
      </w:r>
    </w:p>
    <w:p>
      <w:pPr>
        <w:spacing w:after="0" w:line="117" w:lineRule="exact"/>
        <w:rPr>
          <w:rFonts w:ascii="Times New Roman" w:cs="Times New Roman" w:eastAsia="Times New Roman" w:hAnsi="Times New Roman"/>
          <w:sz w:val="18"/>
          <w:szCs w:val="18"/>
          <w:color w:val="auto"/>
        </w:rPr>
      </w:pPr>
    </w:p>
    <w:p>
      <w:pPr>
        <w:ind w:right="160" w:firstLine="436"/>
        <w:spacing w:after="0" w:line="284"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SHALL BE GOVERNED BY AND CONSTRUED IN ACCORDANCE WITH THE LAWS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OF NEW YORK, WITHOUT REGARD TO THE CONFLICTS OF LAW RULES THEREOF.</w:t>
      </w:r>
    </w:p>
    <w:p>
      <w:pPr>
        <w:spacing w:after="0" w:line="50" w:lineRule="exact"/>
        <w:rPr>
          <w:rFonts w:ascii="Times New Roman" w:cs="Times New Roman" w:eastAsia="Times New Roman" w:hAnsi="Times New Roman"/>
          <w:sz w:val="18"/>
          <w:szCs w:val="18"/>
          <w:color w:val="auto"/>
        </w:rPr>
      </w:pPr>
    </w:p>
    <w:p>
      <w:pPr>
        <w:ind w:firstLine="436"/>
        <w:spacing w:after="0" w:line="267"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Severability. </w:t>
      </w:r>
      <w:r>
        <w:rPr>
          <w:rFonts w:ascii="Times New Roman" w:cs="Times New Roman" w:eastAsia="Times New Roman" w:hAnsi="Times New Roman"/>
          <w:sz w:val="18"/>
          <w:szCs w:val="18"/>
          <w:color w:val="auto"/>
        </w:rPr>
        <w:t>In the event that any one or more of the provisions contained herein, or the application thereof in any circumstance, is held invalid,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illegal or unenforceable, the validity, legality and enforceability of any such provision in every other respect and of the remaining provisions contained herein shall not be affected or impaired thereby.</w:t>
      </w:r>
    </w:p>
    <w:p>
      <w:pPr>
        <w:sectPr>
          <w:pgSz w:w="11900" w:h="16838" w:orient="portrait"/>
          <w:cols w:equalWidth="0" w:num="1">
            <w:col w:w="11000"/>
          </w:cols>
          <w:pgMar w:left="440" w:top="268" w:right="459" w:bottom="1440" w:gutter="0" w:footer="0" w:header="0"/>
        </w:sectPr>
      </w:pPr>
    </w:p>
    <w:bookmarkStart w:id="58" w:name="page59"/>
    <w:bookmarkEnd w:id="58"/>
    <w:p>
      <w:pPr>
        <w:ind w:left="-120" w:firstLine="436"/>
        <w:spacing w:after="0" w:line="258" w:lineRule="auto"/>
        <w:tabs>
          <w:tab w:leader="none" w:pos="57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Entire Agreement. </w:t>
      </w:r>
      <w:r>
        <w:rPr>
          <w:rFonts w:ascii="Times New Roman" w:cs="Times New Roman" w:eastAsia="Times New Roman" w:hAnsi="Times New Roman"/>
          <w:sz w:val="18"/>
          <w:szCs w:val="18"/>
          <w:color w:val="auto"/>
        </w:rPr>
        <w:t>This Agreement is intended by the parties as a final expression of their agreement and intended to be a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w:t>
      </w:r>
    </w:p>
    <w:p>
      <w:pPr>
        <w:spacing w:after="0" w:line="183" w:lineRule="exact"/>
        <w:rPr>
          <w:rFonts w:ascii="Times New Roman" w:cs="Times New Roman" w:eastAsia="Times New Roman" w:hAnsi="Times New Roman"/>
          <w:sz w:val="18"/>
          <w:szCs w:val="18"/>
          <w:color w:val="auto"/>
        </w:rPr>
      </w:pPr>
    </w:p>
    <w:p>
      <w:pPr>
        <w:jc w:val="both"/>
        <w:ind w:left="-120" w:right="20" w:firstLine="436"/>
        <w:spacing w:after="0" w:line="267" w:lineRule="auto"/>
        <w:tabs>
          <w:tab w:leader="none" w:pos="5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Beneficiaries. </w:t>
      </w:r>
      <w:r>
        <w:rPr>
          <w:rFonts w:ascii="Times New Roman" w:cs="Times New Roman" w:eastAsia="Times New Roman" w:hAnsi="Times New Roman"/>
          <w:sz w:val="18"/>
          <w:szCs w:val="18"/>
          <w:color w:val="auto"/>
        </w:rPr>
        <w:t>Each Holder shall be a third party beneficiary to the agreements made hereunder between the Company,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Initial Purchasers, on the other hand, and shall have the right to enforce such agreements directly to the extent it deems such enforcement necessary or advisable to protect its rights or the rights of other Holders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0780"/>
          </w:cols>
          <w:pgMar w:left="560" w:top="268" w:right="55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5.750% Notes due 2030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9, 2024</w:t>
      </w:r>
    </w:p>
    <w:p>
      <w:pPr>
        <w:spacing w:after="0" w:line="207"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sets forth the final terms of the 5.750% Notes due 2030 and should only be read together with the preliminary offering memorandum, dated September 9, 2024 (the “Preliminary Offering Memorandum”), and supersedes the information in the Preliminary Offering Memorandum to the extent inconsistent with the information in the Preliminary Offering Memorandum. In all other respects, this pricing term sheet is qualified in its entirety by reference to the Preliminary Offering Memorandum. Terms used herein but not defined herein shall have the respective meanings as set forth in the Preliminary Offering Memorandum. All references to dollar amounts are references to U.S. dollars.</w:t>
      </w:r>
    </w:p>
    <w:p>
      <w:pPr>
        <w:sectPr>
          <w:pgSz w:w="11900" w:h="16838" w:orient="portrait"/>
          <w:cols w:equalWidth="0" w:num="1">
            <w:col w:w="11020"/>
          </w:cols>
          <w:pgMar w:left="440" w:top="266" w:right="4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Sixth Street Lending Partners (the “Issuer”)</w:t>
      </w:r>
    </w:p>
    <w:p>
      <w:pPr>
        <w:spacing w:after="0" w:line="128"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5.750% Notes due 2030</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(Moody’s/Fitch)*:</w:t>
      </w:r>
    </w:p>
    <w:p>
      <w:pPr>
        <w:sectPr>
          <w:pgSz w:w="11900" w:h="16838" w:orient="portrait"/>
          <w:cols w:equalWidth="0" w:num="1">
            <w:col w:w="11020"/>
          </w:cols>
          <w:pgMar w:left="440" w:top="266" w:right="4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$600,000,000</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jc w:val="center"/>
        <w:ind w:right="3040"/>
        <w:spacing w:after="0"/>
        <w:rPr>
          <w:sz w:val="20"/>
          <w:szCs w:val="20"/>
          <w:color w:val="auto"/>
        </w:rPr>
      </w:pPr>
      <w:r>
        <w:rPr>
          <w:rFonts w:ascii="Times New Roman" w:cs="Times New Roman" w:eastAsia="Times New Roman" w:hAnsi="Times New Roman"/>
          <w:sz w:val="17"/>
          <w:szCs w:val="17"/>
          <w:color w:val="auto"/>
        </w:rPr>
        <w:t>January 15, 2030, unless earlier repurchased or redeemed</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September 9, 2024</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Issue Price:</w:t>
      </w:r>
    </w:p>
    <w:p>
      <w:pPr>
        <w:spacing w:after="0" w:line="20" w:lineRule="exact"/>
        <w:rPr>
          <w:sz w:val="20"/>
          <w:szCs w:val="20"/>
          <w:color w:val="auto"/>
        </w:rPr>
      </w:pPr>
      <w:r>
        <w:rPr>
          <w:sz w:val="20"/>
          <w:szCs w:val="20"/>
          <w:color w:val="auto"/>
        </w:rPr>
        <w:br w:type="column"/>
      </w:r>
    </w:p>
    <w:p>
      <w:pPr>
        <w:ind w:right="18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99.841% of their principal amount, plus accrued interest, if any, from September 16, 2024.</w:t>
      </w:r>
    </w:p>
    <w:p>
      <w:pPr>
        <w:spacing w:after="0" w:line="54"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5.750%</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5.787%</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T+230 bps</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3.625% due August 31, 2029</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100-20 / 3.487%</w:t>
      </w:r>
    </w:p>
    <w:p>
      <w:pPr>
        <w:spacing w:after="0" w:line="129"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January 15 and July 15, commencing January 15, 2025</w:t>
      </w:r>
    </w:p>
    <w:p>
      <w:pPr>
        <w:spacing w:after="0" w:line="11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Prior to December 15, 2029 (the “Par Call Date”), equal to the greater of the following amounts, plus, in each case, accrued and unpaid interest thereon to the redemption date:</w:t>
      </w:r>
    </w:p>
    <w:p>
      <w:pPr>
        <w:spacing w:after="0" w:line="67" w:lineRule="exact"/>
        <w:rPr>
          <w:sz w:val="20"/>
          <w:szCs w:val="20"/>
          <w:color w:val="auto"/>
        </w:rPr>
      </w:pPr>
    </w:p>
    <w:p>
      <w:pPr>
        <w:sectPr>
          <w:pgSz w:w="11900" w:h="16838" w:orient="portrait"/>
          <w:cols w:equalWidth="0" w:num="2">
            <w:col w:w="3140" w:space="720"/>
            <w:col w:w="7160"/>
          </w:cols>
          <w:pgMar w:left="440" w:top="266" w:right="439" w:bottom="1440" w:gutter="0" w:footer="0" w:header="0"/>
          <w:type w:val="continuous"/>
        </w:sectPr>
      </w:pPr>
    </w:p>
    <w:p>
      <w:pPr>
        <w:ind w:left="394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240" w:hanging="26"/>
        <w:spacing w:after="0" w:line="258" w:lineRule="auto"/>
        <w:rPr>
          <w:sz w:val="20"/>
          <w:szCs w:val="20"/>
          <w:color w:val="auto"/>
        </w:rPr>
      </w:pPr>
      <w:r>
        <w:rPr>
          <w:rFonts w:ascii="Times New Roman" w:cs="Times New Roman" w:eastAsia="Times New Roman" w:hAnsi="Times New Roman"/>
          <w:sz w:val="18"/>
          <w:szCs w:val="18"/>
          <w:color w:val="auto"/>
        </w:rPr>
        <w:t>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35 basis points less (b) interest accrued to the date of redemption; and</w:t>
      </w:r>
    </w:p>
    <w:p>
      <w:pPr>
        <w:sectPr>
          <w:pgSz w:w="11900" w:h="16838" w:orient="portrait"/>
          <w:cols w:equalWidth="0" w:num="2">
            <w:col w:w="4060" w:space="160"/>
            <w:col w:w="6800"/>
          </w:cols>
          <w:pgMar w:left="440" w:top="266" w:right="439" w:bottom="1440" w:gutter="0" w:footer="0" w:header="0"/>
          <w:type w:val="continuous"/>
        </w:sectPr>
      </w:pPr>
    </w:p>
    <w:bookmarkStart w:id="60" w:name="page61"/>
    <w:bookmarkEnd w:id="60"/>
    <w:p>
      <w:pPr>
        <w:ind w:left="3944"/>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-283210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4064" w:space="120"/>
            <w:col w:w="6800"/>
          </w:cols>
          <w:pgMar w:left="436" w:top="391" w:right="479" w:bottom="1440" w:gutter="0" w:footer="0" w:header="0"/>
        </w:sectPr>
      </w:pPr>
    </w:p>
    <w:p>
      <w:pPr>
        <w:ind w:left="3864" w:right="2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price for the Notes will be equal to 100% of the principal amount of the Notes to be redeemed, plus accrued and unpaid interest thereon to the date of redemption.</w:t>
      </w:r>
    </w:p>
    <w:p>
      <w:pPr>
        <w:sectPr>
          <w:pgSz w:w="11900" w:h="16838" w:orient="portrait"/>
          <w:cols w:equalWidth="0" w:num="1">
            <w:col w:w="10984"/>
          </w:cols>
          <w:pgMar w:left="436" w:top="391" w:right="479" w:bottom="1440" w:gutter="0" w:footer="0" w:header="0"/>
          <w:type w:val="continuous"/>
        </w:sectPr>
      </w:pP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68"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September 16, 2024 (T+5)</w:t>
      </w:r>
    </w:p>
    <w:p>
      <w:pPr>
        <w:spacing w:after="0" w:line="129"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144A and Reg S with registration rights as set forth in the Preliminary Offering Memorandum.</w:t>
      </w:r>
    </w:p>
    <w:p>
      <w:pPr>
        <w:spacing w:after="0" w:line="129"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 / 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144A: 829932AC6 / US829932AC68</w:t>
      </w:r>
    </w:p>
    <w:p>
      <w:pPr>
        <w:spacing w:after="0" w:line="131"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jc w:val="center"/>
        <w:ind w:right="436"/>
        <w:spacing w:after="0"/>
        <w:rPr>
          <w:sz w:val="20"/>
          <w:szCs w:val="20"/>
          <w:color w:val="auto"/>
        </w:rPr>
      </w:pPr>
      <w:r>
        <w:rPr>
          <w:rFonts w:ascii="Times New Roman" w:cs="Times New Roman" w:eastAsia="Times New Roman" w:hAnsi="Times New Roman"/>
          <w:sz w:val="17"/>
          <w:szCs w:val="17"/>
          <w:color w:val="auto"/>
        </w:rPr>
        <w:t>Reg S: U82912AC7 / USU82912AC79</w:t>
      </w:r>
    </w:p>
    <w:p>
      <w:pPr>
        <w:sectPr>
          <w:pgSz w:w="11900" w:h="16838" w:orient="portrait"/>
          <w:cols w:equalWidth="0" w:num="1">
            <w:col w:w="10984"/>
          </w:cols>
          <w:pgMar w:left="436" w:top="391" w:right="479" w:bottom="1440" w:gutter="0" w:footer="0" w:header="0"/>
          <w:type w:val="continuous"/>
        </w:sectPr>
      </w:pP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12"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Seelaus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Synovus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00" w:lineRule="exact"/>
        <w:rPr>
          <w:sz w:val="20"/>
          <w:szCs w:val="20"/>
          <w:color w:val="auto"/>
        </w:rPr>
      </w:pPr>
    </w:p>
    <w:p>
      <w:pPr>
        <w:sectPr>
          <w:pgSz w:w="11900" w:h="16838" w:orient="portrait"/>
          <w:cols w:equalWidth="0" w:num="2">
            <w:col w:w="3144" w:space="720"/>
            <w:col w:w="7120"/>
          </w:cols>
          <w:pgMar w:left="436" w:top="391" w:right="479" w:bottom="1440" w:gutter="0" w:footer="0" w:header="0"/>
          <w:type w:val="continuous"/>
        </w:sectPr>
      </w:pPr>
    </w:p>
    <w:p>
      <w:pPr>
        <w:spacing w:after="0" w:line="47" w:lineRule="exact"/>
        <w:rPr>
          <w:sz w:val="20"/>
          <w:szCs w:val="20"/>
          <w:color w:val="auto"/>
        </w:rPr>
      </w:pPr>
    </w:p>
    <w:p>
      <w:pPr>
        <w:ind w:left="4" w:right="480" w:hanging="4"/>
        <w:spacing w:after="0" w:line="261" w:lineRule="auto"/>
        <w:tabs>
          <w:tab w:leader="none" w:pos="4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 ** The Issuer expects that delivery of the Notes will be made to investors on or about September 16, 2024, which will be the fifth business day</w:t>
      </w:r>
    </w:p>
    <w:p>
      <w:pPr>
        <w:ind w:left="42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prior to the business day before the delivery of the Notes will be required by virtue of the fact that the Notes initially settle in T+5, to specify an alternate settlement arrangement at the time of any such trade to prevent a failed settlement and should consult their advisors.</w:t>
      </w:r>
    </w:p>
    <w:p>
      <w:pPr>
        <w:sectPr>
          <w:pgSz w:w="11900" w:h="16838" w:orient="portrait"/>
          <w:cols w:equalWidth="0" w:num="1">
            <w:col w:w="10984"/>
          </w:cols>
          <w:pgMar w:left="436" w:top="391" w:right="479" w:bottom="1440" w:gutter="0" w:footer="0" w:header="0"/>
          <w:type w:val="continuous"/>
        </w:sectPr>
      </w:pPr>
    </w:p>
    <w:bookmarkStart w:id="61" w:name="page62"/>
    <w:bookmarkEnd w:id="61"/>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have not been registered under the Securities Act of 1933, as amended (the “Securities Act”), or any state securities laws. Unless they are registered, any Notes may be offered only in transactions exempt from or not subject to registration under the Securities Act, or any state securities laws. Accordingly, the Notes have been offered only to persons reasonably believed to be qualified institutional buyers as defined in Rule 144A under the Securities Act or to non-U.S. persons outside the United States under Regulation S under the Securities Act.</w:t>
      </w:r>
    </w:p>
    <w:p>
      <w:pPr>
        <w:spacing w:after="0" w:line="176" w:lineRule="exact"/>
        <w:rPr>
          <w:sz w:val="20"/>
          <w:szCs w:val="20"/>
          <w:color w:val="auto"/>
        </w:rPr>
      </w:pPr>
    </w:p>
    <w:p>
      <w:pPr>
        <w:ind w:right="640"/>
        <w:spacing w:after="0" w:line="317" w:lineRule="auto"/>
        <w:rPr>
          <w:sz w:val="20"/>
          <w:szCs w:val="20"/>
          <w:color w:val="auto"/>
        </w:rPr>
      </w:pPr>
      <w:r>
        <w:rPr>
          <w:rFonts w:ascii="Times New Roman" w:cs="Times New Roman" w:eastAsia="Times New Roman" w:hAnsi="Times New Roman"/>
          <w:sz w:val="17"/>
          <w:szCs w:val="17"/>
          <w:b w:val="1"/>
          <w:bCs w:val="1"/>
          <w:color w:val="auto"/>
        </w:rPr>
        <w:t>Investors are advised to carefully consider the investment objectives, risks, charges and expenses of the Issuer before investing. The Preliminary Offering Memorandum contains this and other information about the Issuer and should be read carefully before investing.</w:t>
      </w:r>
    </w:p>
    <w:p>
      <w:pPr>
        <w:spacing w:after="0" w:line="13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information in the Preliminary Offering Memorandum and in this pricing term sheet is not complete and may be changed. The Preliminary Offering Memorandum and this pricing term sheet are not offers to sell any securities of the Issuer and are not soliciting an offer to buy such securities in any state or jurisdiction where such offer and sale is not permitted. The Issuer, any initial purchaser or any dealer participating in the offering will arrange to send you the Preliminary Offering Memorandum if you request it by calling BofA Securities, Inc. at 1-800-294-1322.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1."/>
      <w:numFmt w:val="decimal"/>
      <w:start w:val="2"/>
    </w:lvl>
  </w:abstractNum>
  <w:abstractNum w:abstractNumId="3">
    <w:nsid w:val="684A481A"/>
    <w:multiLevelType w:val="hybridMultilevel"/>
    <w:lvl w:ilvl="0">
      <w:lvlJc w:val="left"/>
      <w:lvlText w:val="(%1)"/>
      <w:numFmt w:val="lowerLetter"/>
      <w:start w:val="1"/>
    </w:lvl>
  </w:abstractNum>
  <w:abstractNum w:abstractNumId="4">
    <w:nsid w:val="579478FE"/>
    <w:multiLevelType w:val="hybridMultilevel"/>
    <w:lvl w:ilvl="0">
      <w:lvlJc w:val="left"/>
      <w:lvlText w:val="(%1)"/>
      <w:numFmt w:val="lowerLetter"/>
      <w:start w:val="3"/>
    </w:lvl>
  </w:abstractNum>
  <w:abstractNum w:abstractNumId="5">
    <w:nsid w:val="749ABB43"/>
    <w:multiLevelType w:val="hybridMultilevel"/>
    <w:lvl w:ilvl="0">
      <w:lvlJc w:val="left"/>
      <w:lvlText w:val="(%1)"/>
      <w:numFmt w:val="lowerLetter"/>
      <w:start w:val="4"/>
    </w:lvl>
    <w:lvl w:ilvl="1">
      <w:lvlJc w:val="left"/>
      <w:lvlText w:val="(%2)"/>
      <w:numFmt w:val="lowerRoman"/>
      <w:start w:val="1"/>
    </w:lvl>
  </w:abstractNum>
  <w:abstractNum w:abstractNumId="6">
    <w:nsid w:val="3DC240FB"/>
    <w:multiLevelType w:val="hybridMultilevel"/>
    <w:lvl w:ilvl="0">
      <w:lvlJc w:val="left"/>
      <w:lvlText w:val="%1"/>
      <w:numFmt w:val="decimal"/>
      <w:start w:val="1"/>
    </w:lvl>
    <w:lvl w:ilvl="1">
      <w:lvlJc w:val="left"/>
      <w:lvlText w:val="(%2)"/>
      <w:numFmt w:val="lowerRoman"/>
      <w:start w:val="3"/>
    </w:lvl>
  </w:abstractNum>
  <w:abstractNum w:abstractNumId="7">
    <w:nsid w:val="1BA026FA"/>
    <w:multiLevelType w:val="hybridMultilevel"/>
    <w:lvl w:ilvl="0">
      <w:lvlJc w:val="left"/>
      <w:lvlText w:val="%1."/>
      <w:numFmt w:val="decimal"/>
      <w:start w:val="3"/>
    </w:lvl>
    <w:lvl w:ilvl="1">
      <w:lvlJc w:val="left"/>
      <w:lvlText w:val="%2"/>
      <w:numFmt w:val="lowerRoman"/>
      <w:start w:val="1"/>
    </w:lvl>
  </w:abstractNum>
  <w:abstractNum w:abstractNumId="8">
    <w:nsid w:val="79A1DEAA"/>
    <w:multiLevelType w:val="hybridMultilevel"/>
    <w:lvl w:ilvl="0">
      <w:lvlJc w:val="left"/>
      <w:lvlText w:val="(%1)"/>
      <w:numFmt w:val="lowerLetter"/>
      <w:start w:val="1"/>
    </w:lvl>
  </w:abstractNum>
  <w:abstractNum w:abstractNumId="9">
    <w:nsid w:val="75C6C33A"/>
    <w:multiLevelType w:val="hybridMultilevel"/>
    <w:lvl w:ilvl="0">
      <w:lvlJc w:val="left"/>
      <w:lvlText w:val="%1"/>
      <w:numFmt w:val="lowerRoman"/>
      <w:start w:val="1"/>
    </w:lvl>
    <w:lvl w:ilvl="1">
      <w:lvlJc w:val="left"/>
      <w:lvlText w:val="(%2)"/>
      <w:numFmt w:val="lowerLetter"/>
      <w:start w:val="4"/>
    </w:lvl>
  </w:abstractNum>
  <w:abstractNum w:abstractNumId="10">
    <w:nsid w:val="12E685FB"/>
    <w:multiLevelType w:val="hybridMultilevel"/>
    <w:lvl w:ilvl="0">
      <w:lvlJc w:val="left"/>
      <w:lvlText w:val="(%1)"/>
      <w:numFmt w:val="lowerRoman"/>
      <w:start w:val="1"/>
    </w:lvl>
    <w:lvl w:ilvl="1">
      <w:lvlJc w:val="left"/>
      <w:lvlText w:val="(%2)"/>
      <w:numFmt w:val="lowerLetter"/>
      <w:start w:val="7"/>
    </w:lvl>
  </w:abstractNum>
  <w:abstractNum w:abstractNumId="11">
    <w:nsid w:val="70C6A529"/>
    <w:multiLevelType w:val="hybridMultilevel"/>
    <w:lvl w:ilvl="0">
      <w:lvlJc w:val="left"/>
      <w:lvlText w:val="(%1)"/>
      <w:numFmt w:val="lowerLetter"/>
      <w:start w:val="8"/>
    </w:lvl>
  </w:abstractNum>
  <w:abstractNum w:abstractNumId="12">
    <w:nsid w:val="520EEDD1"/>
    <w:multiLevelType w:val="hybridMultilevel"/>
    <w:lvl w:ilvl="0">
      <w:lvlJc w:val="left"/>
      <w:lvlText w:val="(%1)"/>
      <w:numFmt w:val="lowerLetter"/>
      <w:start w:val="12"/>
    </w:lvl>
  </w:abstractNum>
  <w:abstractNum w:abstractNumId="13">
    <w:nsid w:val="374A3FE6"/>
    <w:multiLevelType w:val="hybridMultilevel"/>
    <w:lvl w:ilvl="0">
      <w:lvlJc w:val="left"/>
      <w:lvlText w:val="(%1)"/>
      <w:numFmt w:val="lowerLetter"/>
      <w:start w:val="17"/>
    </w:lvl>
  </w:abstractNum>
  <w:abstractNum w:abstractNumId="14">
    <w:nsid w:val="4F4EF005"/>
    <w:multiLevelType w:val="hybridMultilevel"/>
    <w:lvl w:ilvl="0">
      <w:lvlJc w:val="left"/>
      <w:lvlText w:val="(%1)"/>
      <w:numFmt w:val="lowerLetter"/>
      <w:start w:val="23"/>
    </w:lvl>
  </w:abstractNum>
  <w:abstractNum w:abstractNumId="15">
    <w:nsid w:val="23F9C13C"/>
    <w:multiLevelType w:val="hybridMultilevel"/>
    <w:lvl w:ilvl="0">
      <w:lvlJc w:val="left"/>
      <w:lvlText w:val="(%1)"/>
      <w:numFmt w:val="lowerLetter"/>
      <w:start w:val="26"/>
    </w:lvl>
  </w:abstractNum>
  <w:abstractNum w:abstractNumId="16">
    <w:nsid w:val="649BB77C"/>
    <w:multiLevelType w:val="hybridMultilevel"/>
    <w:lvl w:ilvl="0">
      <w:lvlJc w:val="left"/>
      <w:lvlText w:val="(%1)"/>
      <w:numFmt w:val="lowerLetter"/>
      <w:start w:val="27"/>
    </w:lvl>
  </w:abstractNum>
  <w:abstractNum w:abstractNumId="17">
    <w:nsid w:val="275AC794"/>
    <w:multiLevelType w:val="hybridMultilevel"/>
    <w:lvl w:ilvl="0">
      <w:lvlJc w:val="left"/>
      <w:lvlText w:val="%1"/>
      <w:numFmt w:val="lowerLetter"/>
      <w:start w:val="1"/>
    </w:lvl>
    <w:lvl w:ilvl="1">
      <w:lvlJc w:val="left"/>
      <w:lvlText w:val="(%2)"/>
      <w:numFmt w:val="lowerLetter"/>
      <w:start w:val="30"/>
    </w:lvl>
  </w:abstractNum>
  <w:abstractNum w:abstractNumId="18">
    <w:nsid w:val="39386575"/>
    <w:multiLevelType w:val="hybridMultilevel"/>
    <w:lvl w:ilvl="0">
      <w:lvlJc w:val="left"/>
      <w:lvlText w:val="(%1)"/>
      <w:numFmt w:val="lowerLetter"/>
      <w:start w:val="9"/>
    </w:lvl>
    <w:lvl w:ilvl="1">
      <w:lvlJc w:val="left"/>
      <w:lvlText w:val="(%2)"/>
      <w:numFmt w:val="lowerLetter"/>
      <w:start w:val="32"/>
    </w:lvl>
  </w:abstractNum>
  <w:abstractNum w:abstractNumId="19">
    <w:nsid w:val="1CF10FD8"/>
    <w:multiLevelType w:val="hybridMultilevel"/>
    <w:lvl w:ilvl="0">
      <w:lvlJc w:val="left"/>
      <w:lvlText w:val="(%1)"/>
      <w:numFmt w:val="lowerLetter"/>
      <w:start w:val="35"/>
    </w:lvl>
  </w:abstractNum>
  <w:abstractNum w:abstractNumId="20">
    <w:nsid w:val="180115BE"/>
    <w:multiLevelType w:val="hybridMultilevel"/>
    <w:lvl w:ilvl="0">
      <w:lvlJc w:val="left"/>
      <w:lvlText w:val="%1"/>
      <w:numFmt w:val="lowerLetter"/>
      <w:start w:val="1"/>
    </w:lvl>
    <w:lvl w:ilvl="1">
      <w:lvlJc w:val="left"/>
      <w:lvlText w:val="(%2)"/>
      <w:numFmt w:val="lowerLetter"/>
      <w:start w:val="38"/>
    </w:lvl>
  </w:abstractNum>
  <w:abstractNum w:abstractNumId="21">
    <w:nsid w:val="235BA861"/>
    <w:multiLevelType w:val="hybridMultilevel"/>
    <w:lvl w:ilvl="0">
      <w:lvlJc w:val="left"/>
      <w:lvlText w:val="(%1)"/>
      <w:numFmt w:val="lowerLetter"/>
      <w:start w:val="9"/>
    </w:lvl>
    <w:lvl w:ilvl="1">
      <w:lvlJc w:val="left"/>
      <w:lvlText w:val="(%2)"/>
      <w:numFmt w:val="lowerLetter"/>
      <w:start w:val="40"/>
    </w:lvl>
  </w:abstractNum>
  <w:abstractNum w:abstractNumId="22">
    <w:nsid w:val="47398C89"/>
    <w:multiLevelType w:val="hybridMultilevel"/>
    <w:lvl w:ilvl="0">
      <w:lvlJc w:val="left"/>
      <w:lvlText w:val="(%1)"/>
      <w:numFmt w:val="lowerLetter"/>
      <w:start w:val="61"/>
    </w:lvl>
    <w:lvl w:ilvl="1">
      <w:lvlJc w:val="left"/>
      <w:lvlText w:val="%2"/>
      <w:numFmt w:val="lowerLetter"/>
      <w:start w:val="1"/>
    </w:lvl>
  </w:abstractNum>
  <w:abstractNum w:abstractNumId="23">
    <w:nsid w:val="354FE9F9"/>
    <w:multiLevelType w:val="hybridMultilevel"/>
    <w:lvl w:ilvl="0">
      <w:lvlJc w:val="left"/>
      <w:lvlText w:val="(%1)"/>
      <w:numFmt w:val="lowerLetter"/>
      <w:start w:val="41"/>
    </w:lvl>
  </w:abstractNum>
  <w:abstractNum w:abstractNumId="24">
    <w:nsid w:val="15B5AF5C"/>
    <w:multiLevelType w:val="hybridMultilevel"/>
    <w:lvl w:ilvl="0">
      <w:lvlJc w:val="left"/>
      <w:lvlText w:val="(%1)"/>
      <w:numFmt w:val="lowerLetter"/>
      <w:start w:val="44"/>
    </w:lvl>
  </w:abstractNum>
  <w:abstractNum w:abstractNumId="25">
    <w:nsid w:val="741226BB"/>
    <w:multiLevelType w:val="hybridMultilevel"/>
    <w:lvl w:ilvl="0">
      <w:lvlJc w:val="left"/>
      <w:lvlText w:val="%1"/>
      <w:numFmt w:val="lowerLetter"/>
      <w:start w:val="1"/>
    </w:lvl>
    <w:lvl w:ilvl="1">
      <w:lvlJc w:val="left"/>
      <w:lvlText w:val="(%2)"/>
      <w:numFmt w:val="lowerLetter"/>
      <w:start w:val="1"/>
    </w:lvl>
  </w:abstractNum>
  <w:abstractNum w:abstractNumId="26">
    <w:nsid w:val="D34B6A8"/>
    <w:multiLevelType w:val="hybridMultilevel"/>
    <w:lvl w:ilvl="0">
      <w:lvlJc w:val="left"/>
      <w:lvlText w:val="(%1)"/>
      <w:numFmt w:val="lowerLetter"/>
      <w:start w:val="9"/>
    </w:lvl>
    <w:lvl w:ilvl="1">
      <w:lvlJc w:val="left"/>
      <w:lvlText w:val="(%2)"/>
      <w:numFmt w:val="lowerLetter"/>
      <w:start w:val="2"/>
    </w:lvl>
  </w:abstractNum>
  <w:abstractNum w:abstractNumId="27">
    <w:nsid w:val="10233C99"/>
    <w:multiLevelType w:val="hybridMultilevel"/>
    <w:lvl w:ilvl="0">
      <w:lvlJc w:val="left"/>
      <w:lvlText w:val="(%1)"/>
      <w:numFmt w:val="lowerLetter"/>
      <w:start w:val="3"/>
    </w:lvl>
  </w:abstractNum>
  <w:abstractNum w:abstractNumId="28">
    <w:nsid w:val="3F6AB60F"/>
    <w:multiLevelType w:val="hybridMultilevel"/>
    <w:lvl w:ilvl="0">
      <w:lvlJc w:val="left"/>
      <w:lvlText w:val="(%1)"/>
      <w:numFmt w:val="lowerLetter"/>
      <w:start w:val="8"/>
    </w:lvl>
  </w:abstractNum>
  <w:abstractNum w:abstractNumId="29">
    <w:nsid w:val="61574095"/>
    <w:multiLevelType w:val="hybridMultilevel"/>
    <w:lvl w:ilvl="0">
      <w:lvlJc w:val="left"/>
      <w:lvlText w:val="%1"/>
      <w:numFmt w:val="lowerRoman"/>
      <w:start w:val="1"/>
    </w:lvl>
    <w:lvl w:ilvl="1">
      <w:lvlJc w:val="left"/>
      <w:lvlText w:val="(%2)"/>
      <w:numFmt w:val="lowerLetter"/>
      <w:start w:val="12"/>
    </w:lvl>
  </w:abstractNum>
  <w:abstractNum w:abstractNumId="30">
    <w:nsid w:val="7E0C57B1"/>
    <w:multiLevelType w:val="hybridMultilevel"/>
    <w:lvl w:ilvl="0">
      <w:lvlJc w:val="left"/>
      <w:lvlText w:val="(%1)"/>
      <w:numFmt w:val="lowerRoman"/>
      <w:start w:val="1"/>
    </w:lvl>
    <w:lvl w:ilvl="1">
      <w:lvlJc w:val="left"/>
      <w:lvlText w:val="%2"/>
      <w:numFmt w:val="lowerLetter"/>
      <w:start w:val="1"/>
    </w:lvl>
  </w:abstractNum>
  <w:abstractNum w:abstractNumId="31">
    <w:nsid w:val="77AE35EB"/>
    <w:multiLevelType w:val="hybridMultilevel"/>
    <w:lvl w:ilvl="0">
      <w:lvlJc w:val="left"/>
      <w:lvlText w:val="(%1)"/>
      <w:numFmt w:val="lowerRoman"/>
      <w:start w:val="3"/>
    </w:lvl>
    <w:lvl w:ilvl="1">
      <w:lvlJc w:val="left"/>
      <w:lvlText w:val="(%2)"/>
      <w:numFmt w:val="lowerLetter"/>
      <w:start w:val="14"/>
    </w:lvl>
  </w:abstractNum>
  <w:abstractNum w:abstractNumId="32">
    <w:nsid w:val="579BE4F1"/>
    <w:multiLevelType w:val="hybridMultilevel"/>
    <w:lvl w:ilvl="0">
      <w:lvlJc w:val="left"/>
      <w:lvlText w:val="(%1)"/>
      <w:numFmt w:val="lowerRoman"/>
      <w:start w:val="3"/>
    </w:lvl>
    <w:lvl w:ilvl="1">
      <w:lvlJc w:val="left"/>
      <w:lvlText w:val="(%2)"/>
      <w:numFmt w:val="lowerLetter"/>
      <w:start w:val="15"/>
    </w:lvl>
  </w:abstractNum>
  <w:abstractNum w:abstractNumId="33">
    <w:nsid w:val="310C50B3"/>
    <w:multiLevelType w:val="hybridMultilevel"/>
    <w:lvl w:ilvl="0">
      <w:lvlJc w:val="left"/>
      <w:lvlText w:val="%1"/>
      <w:numFmt w:val="decimal"/>
      <w:start w:val="1"/>
    </w:lvl>
    <w:lvl w:ilvl="1">
      <w:lvlJc w:val="left"/>
      <w:lvlText w:val="(%2)"/>
      <w:numFmt w:val="lowerLetter"/>
      <w:start w:val="17"/>
    </w:lvl>
  </w:abstractNum>
  <w:abstractNum w:abstractNumId="34">
    <w:nsid w:val="5FF87E05"/>
    <w:multiLevelType w:val="hybridMultilevel"/>
    <w:lvl w:ilvl="0">
      <w:lvlJc w:val="left"/>
      <w:lvlText w:val="(%1)"/>
      <w:numFmt w:val="decimal"/>
      <w:start w:val="2"/>
    </w:lvl>
    <w:lvl w:ilvl="1">
      <w:lvlJc w:val="left"/>
      <w:lvlText w:val="(%2)"/>
      <w:numFmt w:val="lowerLetter"/>
      <w:start w:val="20"/>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3"/>
    </w:lvl>
  </w:abstractNum>
  <w:abstractNum w:abstractNumId="37">
    <w:nsid w:val="1DBABF00"/>
    <w:multiLevelType w:val="hybridMultilevel"/>
    <w:lvl w:ilvl="0">
      <w:lvlJc w:val="left"/>
      <w:lvlText w:val="(%1)"/>
      <w:numFmt w:val="lowerLetter"/>
      <w:start w:val="6"/>
    </w:lvl>
  </w:abstractNum>
  <w:abstractNum w:abstractNumId="38">
    <w:nsid w:val="4AD084E9"/>
    <w:multiLevelType w:val="hybridMultilevel"/>
    <w:lvl w:ilvl="0">
      <w:lvlJc w:val="left"/>
      <w:lvlText w:val="(%1)"/>
      <w:numFmt w:val="lowerLetter"/>
      <w:start w:val="12"/>
    </w:lvl>
  </w:abstractNum>
  <w:abstractNum w:abstractNumId="39">
    <w:nsid w:val="1F48EAA1"/>
    <w:multiLevelType w:val="hybridMultilevel"/>
    <w:lvl w:ilvl="0">
      <w:lvlJc w:val="left"/>
      <w:lvlText w:val="(%1)"/>
      <w:numFmt w:val="lowerLetter"/>
      <w:start w:val="18"/>
    </w:lvl>
  </w:abstractNum>
  <w:abstractNum w:abstractNumId="40">
    <w:nsid w:val="1381823A"/>
    <w:multiLevelType w:val="hybridMultilevel"/>
    <w:lvl w:ilvl="0">
      <w:lvlJc w:val="left"/>
      <w:lvlText w:val="%1."/>
      <w:numFmt w:val="decimal"/>
      <w:start w:val="6"/>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1"/>
    </w:lvl>
    <w:lvl w:ilvl="1">
      <w:lvlJc w:val="left"/>
      <w:lvlText w:val="(%2)"/>
      <w:numFmt w:val="lowerLetter"/>
      <w:start w:val="4"/>
    </w:lvl>
  </w:abstractNum>
  <w:abstractNum w:abstractNumId="43">
    <w:nsid w:val="6590700B"/>
    <w:multiLevelType w:val="hybridMultilevel"/>
    <w:lvl w:ilvl="0">
      <w:lvlJc w:val="left"/>
      <w:lvlText w:val="(%1)"/>
      <w:numFmt w:val="lowerLetter"/>
      <w:start w:val="35"/>
    </w:lvl>
    <w:lvl w:ilvl="1">
      <w:lvlJc w:val="left"/>
      <w:lvlText w:val="(%2)"/>
      <w:numFmt w:val="lowerLetter"/>
      <w:start w:val="5"/>
    </w:lvl>
  </w:abstractNum>
  <w:abstractNum w:abstractNumId="44">
    <w:nsid w:val="15014ACB"/>
    <w:multiLevelType w:val="hybridMultilevel"/>
    <w:lvl w:ilvl="0">
      <w:lvlJc w:val="left"/>
      <w:lvlText w:val="(%1)"/>
      <w:numFmt w:val="lowerLetter"/>
      <w:start w:val="9"/>
    </w:lvl>
  </w:abstractNum>
  <w:abstractNum w:abstractNumId="45">
    <w:nsid w:val="5F5E7FD0"/>
    <w:multiLevelType w:val="hybridMultilevel"/>
    <w:lvl w:ilvl="0">
      <w:lvlJc w:val="left"/>
      <w:lvlText w:val="%1."/>
      <w:numFmt w:val="decimal"/>
      <w:start w:val="8"/>
    </w:lvl>
  </w:abstractNum>
  <w:abstractNum w:abstractNumId="46">
    <w:nsid w:val="98A3148"/>
    <w:multiLevelType w:val="hybridMultilevel"/>
    <w:lvl w:ilvl="0">
      <w:lvlJc w:val="left"/>
      <w:lvlText w:val="(%1)"/>
      <w:numFmt w:val="lowerLetter"/>
      <w:start w:val="1"/>
    </w:lvl>
  </w:abstractNum>
  <w:abstractNum w:abstractNumId="47">
    <w:nsid w:val="799D0247"/>
    <w:multiLevelType w:val="hybridMultilevel"/>
    <w:lvl w:ilvl="0">
      <w:lvlJc w:val="left"/>
      <w:lvlText w:val="(%1)"/>
      <w:numFmt w:val="lowerLetter"/>
      <w:start w:val="2"/>
    </w:lvl>
  </w:abstractNum>
  <w:abstractNum w:abstractNumId="48">
    <w:nsid w:val="6B94764"/>
    <w:multiLevelType w:val="hybridMultilevel"/>
    <w:lvl w:ilvl="0">
      <w:lvlJc w:val="left"/>
      <w:lvlText w:val="(%1)"/>
      <w:numFmt w:val="lowerLetter"/>
      <w:start w:val="4"/>
    </w:lvl>
  </w:abstractNum>
  <w:abstractNum w:abstractNumId="49">
    <w:nsid w:val="42C296BD"/>
    <w:multiLevelType w:val="hybridMultilevel"/>
    <w:lvl w:ilvl="0">
      <w:lvlJc w:val="left"/>
      <w:lvlText w:val="(%1)"/>
      <w:numFmt w:val="lowerLetter"/>
      <w:start w:val="5"/>
    </w:lvl>
  </w:abstractNum>
  <w:abstractNum w:abstractNumId="50">
    <w:nsid w:val="168E121F"/>
    <w:multiLevelType w:val="hybridMultilevel"/>
    <w:lvl w:ilvl="0">
      <w:lvlJc w:val="left"/>
      <w:lvlText w:val="%1."/>
      <w:numFmt w:val="decimal"/>
      <w:start w:val="9"/>
    </w:lvl>
  </w:abstractNum>
  <w:abstractNum w:abstractNumId="51">
    <w:nsid w:val="1EBA5D23"/>
    <w:multiLevelType w:val="hybridMultilevel"/>
    <w:lvl w:ilvl="0">
      <w:lvlJc w:val="left"/>
      <w:lvlText w:val="%1."/>
      <w:numFmt w:val="decimal"/>
      <w:start w:val="11"/>
    </w:lvl>
  </w:abstractNum>
  <w:abstractNum w:abstractNumId="52">
    <w:nsid w:val="661E3F1E"/>
    <w:multiLevelType w:val="hybridMultilevel"/>
    <w:lvl w:ilvl="0">
      <w:lvlJc w:val="left"/>
      <w:lvlText w:val="(%1)"/>
      <w:numFmt w:val="lowerLetter"/>
      <w:start w:val="1"/>
    </w:lvl>
  </w:abstractNum>
  <w:abstractNum w:abstractNumId="53">
    <w:nsid w:val="5DC79EA8"/>
    <w:multiLevelType w:val="hybridMultilevel"/>
    <w:lvl w:ilvl="0">
      <w:lvlJc w:val="left"/>
      <w:lvlText w:val="(%1)"/>
      <w:numFmt w:val="lowerLetter"/>
      <w:start w:val="3"/>
    </w:lvl>
  </w:abstractNum>
  <w:abstractNum w:abstractNumId="54">
    <w:nsid w:val="540A471C"/>
    <w:multiLevelType w:val="hybridMultilevel"/>
    <w:lvl w:ilvl="0">
      <w:lvlJc w:val="left"/>
      <w:lvlText w:val="(%1)"/>
      <w:numFmt w:val="lowerLetter"/>
      <w:start w:val="4"/>
    </w:lvl>
  </w:abstractNum>
  <w:abstractNum w:abstractNumId="55">
    <w:nsid w:val="7BD3EE7B"/>
    <w:multiLevelType w:val="hybridMultilevel"/>
    <w:lvl w:ilvl="0">
      <w:lvlJc w:val="left"/>
      <w:lvlText w:val="%1."/>
      <w:numFmt w:val="decimal"/>
      <w:start w:val="12"/>
    </w:lvl>
  </w:abstractNum>
  <w:abstractNum w:abstractNumId="56">
    <w:nsid w:val="51D9C564"/>
    <w:multiLevelType w:val="hybridMultilevel"/>
    <w:lvl w:ilvl="0">
      <w:lvlJc w:val="left"/>
      <w:lvlText w:val="(%1)"/>
      <w:numFmt w:val="lowerLetter"/>
      <w:start w:val="1"/>
    </w:lvl>
  </w:abstractNum>
  <w:abstractNum w:abstractNumId="57">
    <w:nsid w:val="613EFDC5"/>
    <w:multiLevelType w:val="hybridMultilevel"/>
    <w:lvl w:ilvl="0">
      <w:lvlJc w:val="left"/>
      <w:lvlText w:val="%1."/>
      <w:numFmt w:val="decimal"/>
      <w:start w:val="13"/>
    </w:lvl>
  </w:abstractNum>
  <w:abstractNum w:abstractNumId="58">
    <w:nsid w:val="BF72B14"/>
    <w:multiLevelType w:val="hybridMultilevel"/>
    <w:lvl w:ilvl="0">
      <w:lvlJc w:val="left"/>
      <w:lvlText w:val="%1."/>
      <w:numFmt w:val="decimal"/>
      <w:start w:val="14"/>
    </w:lvl>
  </w:abstractNum>
  <w:abstractNum w:abstractNumId="59">
    <w:nsid w:val="11447B73"/>
    <w:multiLevelType w:val="hybridMultilevel"/>
    <w:lvl w:ilvl="0">
      <w:lvlJc w:val="left"/>
      <w:lvlText w:val="%1"/>
      <w:numFmt w:val="lowerLetter"/>
      <w:start w:val="1"/>
    </w:lvl>
    <w:lvl w:ilvl="1">
      <w:lvlJc w:val="left"/>
      <w:lvlText w:val="(%2)"/>
      <w:numFmt w:val="lowerLetter"/>
      <w:start w:val="1"/>
    </w:lvl>
  </w:abstractNum>
  <w:abstractNum w:abstractNumId="60">
    <w:nsid w:val="42963E5A"/>
    <w:multiLevelType w:val="hybridMultilevel"/>
    <w:lvl w:ilvl="0">
      <w:lvlJc w:val="left"/>
      <w:lvlText w:val="(%1)"/>
      <w:numFmt w:val="lowerLetter"/>
      <w:start w:val="9"/>
    </w:lvl>
    <w:lvl w:ilvl="1">
      <w:lvlJc w:val="left"/>
      <w:lvlText w:val="%2"/>
      <w:numFmt w:val="lowerLetter"/>
      <w:start w:val="1"/>
    </w:lvl>
  </w:abstractNum>
  <w:abstractNum w:abstractNumId="61">
    <w:nsid w:val="A0382C5"/>
    <w:multiLevelType w:val="hybridMultilevel"/>
    <w:lvl w:ilvl="0">
      <w:lvlJc w:val="left"/>
      <w:lvlText w:val="%1."/>
      <w:numFmt w:val="decimal"/>
      <w:start w:val="17"/>
    </w:lvl>
  </w:abstractNum>
  <w:abstractNum w:abstractNumId="62">
    <w:nsid w:val="8F2B15E"/>
    <w:multiLevelType w:val="hybridMultilevel"/>
    <w:lvl w:ilvl="0">
      <w:lvlJc w:val="left"/>
      <w:lvlText w:val="(%1)"/>
      <w:numFmt w:val="lowerLetter"/>
      <w:start w:val="1"/>
    </w:lvl>
  </w:abstractNum>
  <w:abstractNum w:abstractNumId="63">
    <w:nsid w:val="1A32234B"/>
    <w:multiLevelType w:val="hybridMultilevel"/>
    <w:lvl w:ilvl="0">
      <w:lvlJc w:val="left"/>
      <w:lvlText w:val="%1."/>
      <w:numFmt w:val="decimal"/>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lowerLetter"/>
      <w:start w:val="3"/>
    </w:lvl>
  </w:abstractNum>
  <w:abstractNum w:abstractNumId="66">
    <w:nsid w:val="4962813B"/>
    <w:multiLevelType w:val="hybridMultilevel"/>
    <w:lvl w:ilvl="0">
      <w:lvlJc w:val="left"/>
      <w:lvlText w:val="(%1)"/>
      <w:numFmt w:val="lowerLetter"/>
      <w:start w:val="1"/>
    </w:lvl>
  </w:abstractNum>
  <w:abstractNum w:abstractNumId="67">
    <w:nsid w:val="60B6DF70"/>
    <w:multiLevelType w:val="hybridMultilevel"/>
    <w:lvl w:ilvl="0">
      <w:lvlJc w:val="left"/>
      <w:lvlText w:val="(%1)"/>
      <w:numFmt w:val="lowerLetter"/>
      <w:start w:val="1"/>
    </w:lvl>
  </w:abstractNum>
  <w:abstractNum w:abstractNumId="68">
    <w:nsid w:val="6A5EE64"/>
    <w:multiLevelType w:val="hybridMultilevel"/>
    <w:lvl w:ilvl="0">
      <w:lvlJc w:val="left"/>
      <w:lvlText w:val="(%1)"/>
      <w:numFmt w:val="lowerLetter"/>
      <w:start w:val="2"/>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lvl w:ilvl="1">
      <w:lvlJc w:val="left"/>
      <w:lvlText w:val="(%2)"/>
      <w:numFmt w:val="lowerLetter"/>
      <w:start w:val="24"/>
    </w:lvl>
  </w:abstractNum>
  <w:abstractNum w:abstractNumId="71">
    <w:nsid w:val="1A27709E"/>
    <w:multiLevelType w:val="hybridMultilevel"/>
    <w:lvl w:ilvl="0">
      <w:lvlJc w:val="left"/>
      <w:lvlText w:val="(%1)"/>
      <w:numFmt w:val="lowerLetter"/>
      <w:start w:val="61"/>
    </w:lvl>
    <w:lvl w:ilvl="1">
      <w:lvlJc w:val="left"/>
      <w:lvlText w:val="(%2)"/>
      <w:numFmt w:val="lowerLetter"/>
      <w:start w:val="25"/>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upperLetter"/>
      <w:start w:val="1"/>
    </w:lvl>
    <w:lvl w:ilvl="1">
      <w:lvlJc w:val="left"/>
      <w:lvlText w:val="(%2)"/>
      <w:numFmt w:val="lowerRoman"/>
      <w:start w:val="1"/>
    </w:lvl>
  </w:abstractNum>
  <w:abstractNum w:abstractNumId="75">
    <w:nsid w:val="6EB5BD4"/>
    <w:multiLevelType w:val="hybridMultilevel"/>
    <w:lvl w:ilvl="0">
      <w:lvlJc w:val="left"/>
      <w:lvlText w:val="(%1)"/>
      <w:numFmt w:val="upperLetter"/>
      <w:start w:val="2"/>
    </w:lvl>
    <w:lvl w:ilvl="1">
      <w:lvlJc w:val="left"/>
      <w:lvlText w:val="%2"/>
      <w:numFmt w:val="lowerRoman"/>
      <w:start w:val="1"/>
    </w:lvl>
  </w:abstractNum>
  <w:abstractNum w:abstractNumId="76">
    <w:nsid w:val="6F6DD9AC"/>
    <w:multiLevelType w:val="hybridMultilevel"/>
    <w:lvl w:ilvl="0">
      <w:lvlJc w:val="left"/>
      <w:lvlText w:val="(%1)"/>
      <w:numFmt w:val="lowerLetter"/>
      <w:start w:val="2"/>
    </w:lvl>
    <w:lvl w:ilvl="1">
      <w:lvlJc w:val="left"/>
      <w:lvlText w:val="(%2)"/>
      <w:numFmt w:val="lowerRoman"/>
      <w:start w:val="1"/>
    </w:lvl>
  </w:abstractNum>
  <w:abstractNum w:abstractNumId="77">
    <w:nsid w:val="94211F2"/>
    <w:multiLevelType w:val="hybridMultilevel"/>
    <w:lvl w:ilvl="0">
      <w:lvlJc w:val="left"/>
      <w:lvlText w:val="%1"/>
      <w:numFmt w:val="upperLetter"/>
      <w:start w:val="1"/>
    </w:lvl>
    <w:lvl w:ilvl="1">
      <w:lvlJc w:val="left"/>
      <w:lvlText w:val="(%2)"/>
      <w:numFmt w:val="lowerRoman"/>
      <w:start w:val="3"/>
    </w:lvl>
  </w:abstractNum>
  <w:abstractNum w:abstractNumId="78">
    <w:nsid w:val="885E1B"/>
    <w:multiLevelType w:val="hybridMultilevel"/>
    <w:lvl w:ilvl="0">
      <w:lvlJc w:val="left"/>
      <w:lvlText w:val="(%1)"/>
      <w:numFmt w:val="upperLetter"/>
      <w:start w:val="1"/>
    </w:lvl>
    <w:lvl w:ilvl="1">
      <w:lvlJc w:val="left"/>
      <w:lvlText w:val="%2"/>
      <w:numFmt w:val="lowerRoman"/>
      <w:start w:val="1"/>
    </w:lvl>
  </w:abstractNum>
  <w:abstractNum w:abstractNumId="79">
    <w:nsid w:val="76272110"/>
    <w:multiLevelType w:val="hybridMultilevel"/>
    <w:lvl w:ilvl="0">
      <w:lvlJc w:val="left"/>
      <w:lvlText w:val="(%1)"/>
      <w:numFmt w:val="upperLetter"/>
      <w:start w:val="3"/>
    </w:lvl>
    <w:lvl w:ilvl="1">
      <w:lvlJc w:val="left"/>
      <w:lvlText w:val="(%2)"/>
      <w:numFmt w:val="lowerRoman"/>
      <w:start w:val="5"/>
    </w:lvl>
  </w:abstractNum>
  <w:abstractNum w:abstractNumId="80">
    <w:nsid w:val="4C04A8AF"/>
    <w:multiLevelType w:val="hybridMultilevel"/>
    <w:lvl w:ilvl="0">
      <w:lvlJc w:val="left"/>
      <w:lvlText w:val="(%1)"/>
      <w:numFmt w:val="lowerRoman"/>
      <w:start w:val="7"/>
    </w:lvl>
    <w:lvl w:ilvl="1">
      <w:lvlJc w:val="left"/>
      <w:lvlText w:val="(%2)"/>
      <w:numFmt w:val="upperLetter"/>
      <w:start w:val="1"/>
    </w:lvl>
    <w:lvl w:ilvl="2">
      <w:lvlJc w:val="left"/>
      <w:lvlText w:val="(%3)"/>
      <w:numFmt w:val="decimal"/>
      <w:start w:val="1"/>
    </w:lvl>
  </w:abstractNum>
  <w:abstractNum w:abstractNumId="81">
    <w:nsid w:val="1716703B"/>
    <w:multiLevelType w:val="hybridMultilevel"/>
    <w:lvl w:ilvl="0">
      <w:lvlJc w:val="left"/>
      <w:lvlText w:val="%1"/>
      <w:numFmt w:val="upperLetter"/>
      <w:start w:val="1"/>
    </w:lvl>
    <w:lvl w:ilvl="1">
      <w:lvlJc w:val="left"/>
      <w:lvlText w:val="(%2)"/>
      <w:numFmt w:val="decimal"/>
      <w:start w:val="2"/>
    </w:lvl>
  </w:abstractNum>
  <w:abstractNum w:abstractNumId="82">
    <w:nsid w:val="14E17E33"/>
    <w:multiLevelType w:val="hybridMultilevel"/>
    <w:lvl w:ilvl="0">
      <w:lvlJc w:val="left"/>
      <w:lvlText w:val="(%1)"/>
      <w:numFmt w:val="upperLetter"/>
      <w:start w:val="2"/>
    </w:lvl>
    <w:lvl w:ilvl="1">
      <w:lvlJc w:val="left"/>
      <w:lvlText w:val="%2"/>
      <w:numFmt w:val="decimal"/>
      <w:start w:val="1"/>
    </w:lvl>
  </w:abstractNum>
  <w:abstractNum w:abstractNumId="83">
    <w:nsid w:val="3222E7CD"/>
    <w:multiLevelType w:val="hybridMultilevel"/>
    <w:lvl w:ilvl="0">
      <w:lvlJc w:val="left"/>
      <w:lvlText w:val="(%1)"/>
      <w:numFmt w:val="lowerRoman"/>
      <w:start w:val="12"/>
    </w:lvl>
  </w:abstractNum>
  <w:abstractNum w:abstractNumId="84">
    <w:nsid w:val="74DE0EE3"/>
    <w:multiLevelType w:val="hybridMultilevel"/>
    <w:lvl w:ilvl="0">
      <w:lvlJc w:val="left"/>
      <w:lvlText w:val="(%1)"/>
      <w:numFmt w:val="lowerRoman"/>
      <w:start w:val="14"/>
    </w:lvl>
  </w:abstractNum>
  <w:abstractNum w:abstractNumId="85">
    <w:nsid w:val="68EBC550"/>
    <w:multiLevelType w:val="hybridMultilevel"/>
    <w:lvl w:ilvl="0">
      <w:lvlJc w:val="left"/>
      <w:lvlText w:val="(%1)"/>
      <w:numFmt w:val="lowerRoman"/>
      <w:start w:val="16"/>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Letter"/>
      <w:start w:val="2"/>
    </w:lvl>
  </w:abstractNum>
  <w:abstractNum w:abstractNumId="88">
    <w:nsid w:val="4A2AC315"/>
    <w:multiLevelType w:val="hybridMultilevel"/>
    <w:lvl w:ilvl="0">
      <w:lvlJc w:val="left"/>
      <w:lvlText w:val="(%1)"/>
      <w:numFmt w:val="lowerLetter"/>
      <w:start w:val="3"/>
    </w:lvl>
  </w:abstractNum>
  <w:abstractNum w:abstractNumId="89">
    <w:nsid w:val="39EE015C"/>
    <w:multiLevelType w:val="hybridMultilevel"/>
    <w:lvl w:ilvl="0">
      <w:lvlJc w:val="left"/>
      <w:lvlText w:val="(%1)"/>
      <w:numFmt w:val="lowerLetter"/>
      <w:start w:val="1"/>
    </w:lvl>
  </w:abstractNum>
  <w:abstractNum w:abstractNumId="90">
    <w:nsid w:val="57FC4FBB"/>
    <w:multiLevelType w:val="hybridMultilevel"/>
    <w:lvl w:ilvl="0">
      <w:lvlJc w:val="left"/>
      <w:lvlText w:val="(%1)"/>
      <w:numFmt w:val="lowerLetter"/>
      <w:start w:val="5"/>
    </w:lvl>
    <w:lvl w:ilvl="1">
      <w:lvlJc w:val="left"/>
      <w:lvlText w:val="(%2)"/>
      <w:numFmt w:val="lowerRoman"/>
      <w:start w:val="1"/>
    </w:lvl>
  </w:abstractNum>
  <w:abstractNum w:abstractNumId="91">
    <w:nsid w:val="CC1016F"/>
    <w:multiLevelType w:val="hybridMultilevel"/>
    <w:lvl w:ilvl="0">
      <w:lvlJc w:val="left"/>
      <w:lvlText w:val="(%1)"/>
      <w:numFmt w:val="lowerLetter"/>
      <w:start w:val="6"/>
    </w:lvl>
  </w:abstractNum>
  <w:abstractNum w:abstractNumId="92">
    <w:nsid w:val="43F18422"/>
    <w:multiLevelType w:val="hybridMultilevel"/>
    <w:lvl w:ilvl="0">
      <w:lvlJc w:val="left"/>
      <w:lvlText w:val="(%1)"/>
      <w:numFmt w:val="lowerLetter"/>
      <w:start w:val="1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2024-09-13T15:16:44Z</dcterms:created>
  <dcterms:modified xsi:type="dcterms:W3CDTF">2024-09-13T15:16:44Z</dcterms:modified>
</cp:coreProperties>
</file>