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925309-20230930.htm"/>
      <w:bookmarkStart w:id="1" w:name="ksck0001925309202309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sz w:val="24"/>
              </w:rPr>
            </w:pP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814-01543</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Lending Partners</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88-1710161</w:t>
            </w:r>
          </w:p>
        </w:tc>
      </w:tr>
      <w:tr>
        <w:trPr/>
        <w:tc>
          <w:tcPr>
            <w:tcW w:w="316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6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pPr>
            <w:r>
              <w:rPr/>
              <w:t> </w:t>
            </w:r>
          </w:p>
        </w:tc>
      </w:tr>
      <w:tr>
        <w:trPr/>
        <w:tc>
          <w:tcPr>
            <w:tcW w:w="31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6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Securities registered pursuant to Section 12(b) of the Act:</w:t>
      </w:r>
    </w:p>
    <w:tbl>
      <w:tblPr>
        <w:tblW w:w="5988" w:type="dxa"/>
        <w:jc w:val="left"/>
        <w:tblInd w:w="0" w:type="dxa"/>
        <w:tblLayout w:type="fixed"/>
        <w:tblCellMar>
          <w:top w:w="28" w:type="dxa"/>
          <w:left w:w="28" w:type="dxa"/>
          <w:bottom w:w="28" w:type="dxa"/>
          <w:right w:w="28" w:type="dxa"/>
        </w:tblCellMar>
      </w:tblPr>
      <w:tblGrid>
        <w:gridCol w:w="1396"/>
        <w:gridCol w:w="1276"/>
        <w:gridCol w:w="3316"/>
      </w:tblGrid>
      <w:tr>
        <w:trPr/>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127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p>
      <w:pPr>
        <w:pStyle w:val="TextBody"/>
        <w:bidi w:val="0"/>
        <w:jc w:val="center"/>
        <w:rPr>
          <w:rFonts w:ascii="Times New Roman" w:hAnsi="Times New Roman"/>
          <w:b/>
          <w:color w:val="000000"/>
          <w:sz w:val="20"/>
        </w:rPr>
      </w:pPr>
      <w:r>
        <w:rPr>
          <w:rFonts w:ascii="Times New Roman" w:hAnsi="Times New Roman"/>
          <w:b/>
          <w:color w:val="000000"/>
          <w:sz w:val="20"/>
        </w:rPr>
        <w:t>Common shares of beneficial interest, par value $0.001 per share</w:t>
      </w:r>
    </w:p>
    <w:p>
      <w:pPr>
        <w:pStyle w:val="TextBody"/>
        <w:bidi w:val="0"/>
        <w:jc w:val="center"/>
        <w:rPr>
          <w:rFonts w:ascii="Times New Roman" w:hAnsi="Times New Roman"/>
          <w:b/>
          <w:color w:val="000000"/>
          <w:sz w:val="20"/>
        </w:rPr>
      </w:pPr>
      <w:r>
        <w:rPr>
          <w:rFonts w:ascii="Times New Roman" w:hAnsi="Times New Roman"/>
          <w:b/>
          <w:color w:val="000000"/>
          <w:sz w:val="20"/>
        </w:rPr>
        <w:t>(Title of class)</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b w:val="false"/>
          <w:color w:val="000000"/>
          <w:sz w:val="16"/>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4" w:type="dxa"/>
        <w:jc w:val="left"/>
        <w:tblInd w:w="0" w:type="dxa"/>
        <w:tblLayout w:type="fixed"/>
        <w:tblCellMar>
          <w:top w:w="28" w:type="dxa"/>
          <w:left w:w="28" w:type="dxa"/>
          <w:bottom w:w="28" w:type="dxa"/>
          <w:right w:w="28" w:type="dxa"/>
        </w:tblCellMar>
      </w:tblPr>
      <w:tblGrid>
        <w:gridCol w:w="1666"/>
        <w:gridCol w:w="376"/>
        <w:gridCol w:w="2071"/>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376" w:type="dxa"/>
            <w:tcBorders/>
            <w:vAlign w:val="center"/>
          </w:tcPr>
          <w:p>
            <w:pPr>
              <w:pStyle w:val="TableContents"/>
              <w:bidi w:val="0"/>
              <w:spacing w:before="0" w:after="283"/>
              <w:jc w:val="left"/>
              <w:rPr>
                <w:color w:val="000000"/>
              </w:rPr>
            </w:pPr>
            <w:r>
              <w:rPr>
                <w:color w:val="000000"/>
              </w:rPr>
              <w:t>☐</w:t>
            </w:r>
          </w:p>
        </w:tc>
        <w:tc>
          <w:tcPr>
            <w:tcW w:w="207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42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207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42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Emerging growth company</w:t>
            </w:r>
            <w:r>
              <w:rPr>
                <w:rFonts w:ascii="Times New Roman" w:hAnsi="Times New Roman"/>
                <w:color w:val="000000"/>
                <w:sz w:val="16"/>
              </w:rPr>
              <w:t xml:space="preserve"> </w:t>
            </w:r>
          </w:p>
        </w:tc>
        <w:tc>
          <w:tcPr>
            <w:tcW w:w="421" w:type="dxa"/>
            <w:tcBorders/>
            <w:vAlign w:val="center"/>
          </w:tcPr>
          <w:p>
            <w:pPr>
              <w:pStyle w:val="TableContents"/>
              <w:bidi w:val="0"/>
              <w:spacing w:before="0" w:after="283"/>
              <w:jc w:val="left"/>
              <w:rPr>
                <w:color w:val="000000"/>
              </w:rPr>
            </w:pPr>
            <w:r>
              <w:rPr>
                <w:color w:val="000000"/>
              </w:rPr>
              <w:t xml:space="preserve">☒ </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6"/>
        </w:rPr>
        <w:t>The number of shares of the registrant’s common stock, $.001 par value per share, outstanding at November 3, 2023 was 40,712,963.</w:t>
      </w:r>
      <w:r>
        <w:rPr>
          <w:rFonts w:ascii="Times New Roman" w:hAnsi="Times New Roman"/>
          <w:color w:val="000000"/>
          <w:sz w:val="20"/>
        </w:rPr>
        <w:t xml:space="preserve">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9"/>
        <w:gridCol w:w="146"/>
        <w:gridCol w:w="8597"/>
        <w:gridCol w:w="146"/>
        <w:gridCol w:w="617"/>
      </w:tblGrid>
      <w:tr>
        <w:trPr/>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69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 I.</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part_i_financial_information">
              <w:r>
                <w:rPr>
                  <w:rStyle w:val="InternetLink"/>
                  <w:rFonts w:ascii="Times New Roman" w:hAnsi="Times New Roman"/>
                  <w:b w:val="false"/>
                  <w:color w:val="0000FF"/>
                  <w:sz w:val="20"/>
                  <w:u w:val="single"/>
                </w:rPr>
                <w:t>FINANCIAL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consolidated_balance_sheets">
              <w:r>
                <w:rPr>
                  <w:rStyle w:val="InternetLink"/>
                  <w:rFonts w:ascii="Times New Roman" w:hAnsi="Times New Roman"/>
                  <w:b w:val="false"/>
                  <w:color w:val="0000FF"/>
                  <w:sz w:val="20"/>
                  <w:u w:val="single"/>
                </w:rPr>
                <w:t>Consolidated Balance Sheets as of September 30, 2023</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b w:val="false"/>
                  <w:color w:val="0000FF"/>
                  <w:sz w:val="20"/>
                  <w:u w:val="single"/>
                </w:rPr>
                <w:t>(Unaudited)</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b w:val="false"/>
                  <w:color w:val="0000FF"/>
                  <w:sz w:val="20"/>
                  <w:u w:val="single"/>
                </w:rPr>
                <w:t>and December 31, 2022</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b w:val="false"/>
                  <w:color w:val="000080"/>
                  <w:sz w:val="20"/>
                  <w:u w:val="single"/>
                </w:rPr>
                <w:t>Consolidated Statements of Operations for the three and nine months ended September 30, 2023, t</w:t>
              </w:r>
            </w:hyperlink>
            <w:hyperlink w:anchor="consolidated_statements_changes_in_net_a">
              <w:r>
                <w:rPr>
                  <w:rStyle w:val="InternetLink"/>
                  <w:rFonts w:ascii="Times New Roman" w:hAnsi="Times New Roman"/>
                  <w:b w:val="false"/>
                  <w:color w:val="000080"/>
                  <w:sz w:val="20"/>
                  <w:u w:val="single"/>
                </w:rPr>
                <w:t>he three months ended September 30, 2022 and the period from April 5, 2022 (Inception) through September 30, 2022</w:t>
              </w:r>
            </w:hyperlink>
            <w:hyperlink w:anchor="consolidated_statements_operations">
              <w:r>
                <w:rPr>
                  <w:rStyle w:val="InternetLink"/>
                  <w:rFonts w:ascii="Times New Roman" w:hAnsi="Times New Roman"/>
                  <w:color w:val="0000FF"/>
                  <w:sz w:val="20"/>
                  <w:u w:val="single"/>
                </w:rPr>
                <w:t xml:space="preserve"> </w:t>
              </w:r>
            </w:hyperlink>
            <w:hyperlink w:anchor="consolidated_statements_operations">
              <w:r>
                <w:rPr>
                  <w:rStyle w:val="InternetLink"/>
                  <w:rFonts w:ascii="Times New Roman" w:hAnsi="Times New Roman"/>
                  <w:b w:val="false"/>
                  <w:color w:val="0000FF"/>
                  <w:sz w:val="20"/>
                  <w:u w:val="single"/>
                </w:rPr>
                <w:t>(Unaudited)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consolidated_schedule_investments_as_mar">
              <w:r>
                <w:rPr>
                  <w:rStyle w:val="InternetLink"/>
                  <w:rFonts w:ascii="Times New Roman" w:hAnsi="Times New Roman"/>
                  <w:b w:val="false"/>
                  <w:color w:val="0000FF"/>
                  <w:sz w:val="20"/>
                  <w:u w:val="single"/>
                </w:rPr>
                <w:t>Consolidated Schedules of Investments as of September 30, 2023 (Unaudited)</w:t>
              </w:r>
            </w:hyperlink>
            <w:r>
              <w:rPr>
                <w:rFonts w:ascii="Times New Roman" w:hAnsi="Times New Roman"/>
                <w:color w:val="0000FF"/>
                <w:sz w:val="20"/>
                <w:u w:val="single"/>
              </w:rPr>
              <w:t> </w:t>
            </w:r>
            <w:r>
              <w:rPr>
                <w:rFonts w:ascii="Times New Roman" w:hAnsi="Times New Roman"/>
                <w:b w:val="false"/>
                <w:color w:val="0000FF"/>
                <w:sz w:val="20"/>
                <w:u w:val="single"/>
              </w:rPr>
              <w:t>and December 31, 2022</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consolidated_statements_changes_in_net_a">
              <w:r>
                <w:rPr>
                  <w:rStyle w:val="InternetLink"/>
                  <w:rFonts w:ascii="Times New Roman" w:hAnsi="Times New Roman"/>
                  <w:b w:val="false"/>
                  <w:color w:val="0000FF"/>
                  <w:sz w:val="20"/>
                  <w:u w:val="single"/>
                </w:rPr>
                <w:t>Consolidated Statements of Changes in Net Assets for the three and nine months ended September 30, 2023, the three months ended September 30, 2022 and the period from April 5, 2022 (Inception) through September 30, 2022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b w:val="false"/>
                  <w:color w:val="0000FF"/>
                  <w:sz w:val="20"/>
                  <w:u w:val="single"/>
                </w:rPr>
                <w:t>Consolidated Statements of Cash Flows for the nine months ended September 30, 2023 and the period from April 5, 2022 (Inception) through September 30, 2022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b w:val="false"/>
                  <w:color w:val="0000FF"/>
                  <w:sz w:val="20"/>
                  <w:u w:val="single"/>
                </w:rPr>
                <w:t>Notes to Consolidated Financial Statements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 II.</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part_ii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69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r>
      <w:tr>
        <w:trPr/>
        <w:tc>
          <w:tcPr>
            <w:tcW w:w="6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9442" w:type="dxa"/>
            <w:gridSpan w:val="3"/>
            <w:tcBorders/>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to factors previously identified elsewhere in the reports and other documents Sixth Street Lending Partners (the “Company”, “we”, “us” or “our”), has filed with the U.S. Securities and Exchange Commission, or “SEC”, the following factors, among others, could cause actual results to differ materially from forward-looking statements or historical performance: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economic downturn, which could impair our portfolio companies’ abilities to continue to operate and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risks, uncertainties and other factors we identify in the section entitled “Risk Factors” in this report, in our Annual Report on Form 10-K for the year ended December 31, 2022, filed with the SEC on February 17, 2023, and elsewhere in our filings with the SEC.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“TSLX” and “TAO” marks are marks of Sixth Street.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2"/>
        <w:gridCol w:w="146"/>
        <w:gridCol w:w="211"/>
        <w:gridCol w:w="931"/>
        <w:gridCol w:w="146"/>
        <w:gridCol w:w="146"/>
        <w:gridCol w:w="211"/>
        <w:gridCol w:w="931"/>
        <w:gridCol w:w="591"/>
      </w:tblGrid>
      <w:tr>
        <w:trPr/>
        <w:tc>
          <w:tcPr>
            <w:tcW w:w="6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vAlign w:val="center"/>
          </w:tcPr>
          <w:p>
            <w:pPr>
              <w:pStyle w:val="TableContents"/>
              <w:bidi w:val="0"/>
              <w:spacing w:before="0" w:after="283"/>
              <w:jc w:val="center"/>
              <w:rPr/>
            </w:pPr>
            <w:r>
              <w:rPr/>
              <w:t> </w:t>
            </w:r>
          </w:p>
        </w:tc>
      </w:tr>
      <w:tr>
        <w:trPr/>
        <w:tc>
          <w:tcPr>
            <w:tcW w:w="68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Investments at fair value</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89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Non-controlled, non-affiliated investments (amortized cost of $2,007,948</w:t>
            </w:r>
            <w:r>
              <w:rPr>
                <w:rFonts w:ascii="Times New Roman" w:hAnsi="Times New Roman"/>
                <w:color w:val="000000"/>
                <w:sz w:val="20"/>
              </w:rPr>
              <w:t> </w:t>
            </w:r>
            <w:r>
              <w:rPr>
                <w:rFonts w:ascii="Times New Roman" w:hAnsi="Times New Roman"/>
                <w:b w:val="false"/>
                <w:color w:val="000000"/>
                <w:sz w:val="20"/>
              </w:rPr>
              <w:t>and $809,029,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2,048,389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808,801</w:t>
            </w:r>
          </w:p>
        </w:tc>
        <w:tc>
          <w:tcPr>
            <w:tcW w:w="591" w:type="dxa"/>
            <w:tcBorders/>
            <w:shd w:fill="CFF0FC"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274,612</w:t>
            </w:r>
          </w:p>
        </w:tc>
        <w:tc>
          <w:tcPr>
            <w:tcW w:w="591" w:type="dxa"/>
            <w:tcBorders/>
            <w:shd w:fill="FFFFFF" w:val="clear"/>
            <w:vAlign w:val="center"/>
          </w:tcPr>
          <w:p>
            <w:pPr>
              <w:pStyle w:val="TableContents"/>
              <w:bidi w:val="0"/>
              <w:spacing w:before="0" w:after="283"/>
              <w:jc w:val="lef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receivable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7,814</w:t>
            </w:r>
          </w:p>
        </w:tc>
        <w:tc>
          <w:tcPr>
            <w:tcW w:w="591" w:type="dxa"/>
            <w:tcBorders/>
            <w:shd w:fill="CFF0FC"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2,590,178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1,091,712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Debt (net of deferred financing costs of $8,898</w:t>
            </w:r>
            <w:r>
              <w:rPr>
                <w:rFonts w:ascii="Times New Roman" w:hAnsi="Times New Roman"/>
                <w:color w:val="000000"/>
                <w:sz w:val="20"/>
              </w:rPr>
              <w:t> </w:t>
            </w:r>
            <w:r>
              <w:rPr>
                <w:rFonts w:ascii="Times New Roman" w:hAnsi="Times New Roman"/>
                <w:b w:val="false"/>
                <w:color w:val="000000"/>
                <w:sz w:val="20"/>
              </w:rPr>
              <w:t>and $3,911,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1,422,719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534,080</w:t>
            </w:r>
          </w:p>
        </w:tc>
        <w:tc>
          <w:tcPr>
            <w:tcW w:w="591" w:type="dxa"/>
            <w:tcBorders/>
            <w:shd w:fill="CFF0FC"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Management fees payable to affiliate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w:t>
            </w:r>
          </w:p>
        </w:tc>
        <w:tc>
          <w:tcPr>
            <w:tcW w:w="591" w:type="dxa"/>
            <w:tcBorders/>
            <w:shd w:fill="FFFFFF" w:val="clear"/>
            <w:vAlign w:val="center"/>
          </w:tcPr>
          <w:p>
            <w:pPr>
              <w:pStyle w:val="TableContents"/>
              <w:bidi w:val="0"/>
              <w:spacing w:before="0" w:after="283"/>
              <w:jc w:val="lef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Incentive fees on net investment income payable to affiliate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1,027</w:t>
            </w:r>
          </w:p>
        </w:tc>
        <w:tc>
          <w:tcPr>
            <w:tcW w:w="591" w:type="dxa"/>
            <w:tcBorders/>
            <w:shd w:fill="CFF0FC"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Incentive fees on net capital gains accrued to affiliate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payables to affiliate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4,062</w:t>
            </w:r>
          </w:p>
        </w:tc>
        <w:tc>
          <w:tcPr>
            <w:tcW w:w="591" w:type="dxa"/>
            <w:tcBorders/>
            <w:shd w:fill="CFF0FC"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 payable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1,483,033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545,001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7)</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shares, $0.001</w:t>
            </w:r>
            <w:r>
              <w:rPr>
                <w:rFonts w:ascii="Times New Roman" w:hAnsi="Times New Roman"/>
                <w:color w:val="000000"/>
                <w:sz w:val="20"/>
              </w:rPr>
              <w:t> </w:t>
            </w:r>
            <w:r>
              <w:rPr>
                <w:rFonts w:ascii="Times New Roman" w:hAnsi="Times New Roman"/>
                <w:b w:val="false"/>
                <w:color w:val="000000"/>
                <w:sz w:val="20"/>
              </w:rPr>
              <w:t>par value; unlimited shares authorized, 40,712,963</w:t>
            </w:r>
            <w:r>
              <w:rPr>
                <w:rFonts w:ascii="Times New Roman" w:hAnsi="Times New Roman"/>
                <w:color w:val="000000"/>
                <w:sz w:val="20"/>
              </w:rPr>
              <w:t> </w:t>
            </w:r>
            <w:r>
              <w:rPr>
                <w:rFonts w:ascii="Times New Roman" w:hAnsi="Times New Roman"/>
                <w:b w:val="false"/>
                <w:color w:val="000000"/>
                <w:sz w:val="20"/>
              </w:rPr>
              <w:t>and 21,882,028</w:t>
            </w:r>
            <w:r>
              <w:rPr>
                <w:rFonts w:ascii="Times New Roman" w:hAnsi="Times New Roman"/>
                <w:color w:val="000000"/>
                <w:sz w:val="20"/>
              </w:rPr>
              <w:t> </w:t>
            </w:r>
            <w:r>
              <w:rPr>
                <w:rFonts w:ascii="Times New Roman" w:hAnsi="Times New Roman"/>
                <w:b w:val="false"/>
                <w:color w:val="000000"/>
                <w:sz w:val="20"/>
              </w:rPr>
              <w:t>shares issued and outstanding,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591" w:type="dxa"/>
            <w:tcBorders/>
            <w:shd w:fill="CFF0FC"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1,043,592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542,596</w:t>
            </w:r>
          </w:p>
        </w:tc>
        <w:tc>
          <w:tcPr>
            <w:tcW w:w="591" w:type="dxa"/>
            <w:tcBorders/>
            <w:shd w:fill="FFFFFF" w:val="clear"/>
            <w:vAlign w:val="center"/>
          </w:tcPr>
          <w:p>
            <w:pPr>
              <w:pStyle w:val="TableContents"/>
              <w:bidi w:val="0"/>
              <w:spacing w:before="0" w:after="283"/>
              <w:jc w:val="left"/>
              <w:rPr/>
            </w:pPr>
            <w:r>
              <w:rPr/>
              <w:t> </w:t>
            </w:r>
          </w:p>
        </w:tc>
      </w:tr>
      <w:tr>
        <w:trPr/>
        <w:tc>
          <w:tcPr>
            <w:tcW w:w="6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Distributable earnings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Net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546,711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 and Net Assets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2,590,178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1,091,712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Asset Value Per Share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solidated_statements_operations"/>
      <w:bookmarkEnd w:id="5"/>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0"/>
        <w:gridCol w:w="146"/>
        <w:gridCol w:w="222"/>
        <w:gridCol w:w="1041"/>
        <w:gridCol w:w="166"/>
        <w:gridCol w:w="146"/>
        <w:gridCol w:w="230"/>
        <w:gridCol w:w="972"/>
        <w:gridCol w:w="166"/>
        <w:gridCol w:w="146"/>
        <w:gridCol w:w="219"/>
        <w:gridCol w:w="1026"/>
        <w:gridCol w:w="166"/>
        <w:gridCol w:w="146"/>
        <w:gridCol w:w="394"/>
        <w:gridCol w:w="1152"/>
        <w:gridCol w:w="1017"/>
      </w:tblGrid>
      <w:tr>
        <w:trPr/>
        <w:tc>
          <w:tcPr>
            <w:tcW w:w="2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8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1017" w:type="dxa"/>
            <w:tcBorders/>
            <w:shd w:fill="FFFFFF" w:val="clear"/>
            <w:vAlign w:val="center"/>
          </w:tcPr>
          <w:p>
            <w:pPr>
              <w:pStyle w:val="TableContents"/>
              <w:bidi w:val="0"/>
              <w:spacing w:before="0" w:after="283"/>
              <w:jc w:val="center"/>
              <w:rPr/>
            </w:pPr>
            <w:r>
              <w:rPr/>
              <w:t> </w:t>
            </w:r>
          </w:p>
        </w:tc>
      </w:tr>
      <w:tr>
        <w:trPr/>
        <w:tc>
          <w:tcPr>
            <w:tcW w:w="28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vAlign w:val="center"/>
          </w:tcPr>
          <w:p>
            <w:pPr>
              <w:pStyle w:val="TableContents"/>
              <w:bidi w:val="0"/>
              <w:spacing w:before="0" w:after="283"/>
              <w:jc w:val="right"/>
              <w:rPr/>
            </w:pPr>
            <w:r>
              <w:rPr/>
              <w:t> </w:t>
            </w:r>
          </w:p>
        </w:tc>
        <w:tc>
          <w:tcPr>
            <w:tcW w:w="12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46" w:type="dxa"/>
            <w:gridSpan w:val="2"/>
            <w:tcBorders/>
            <w:shd w:fill="CFF0FC" w:val="clear"/>
            <w:vAlign w:val="center"/>
          </w:tcPr>
          <w:p>
            <w:pPr>
              <w:pStyle w:val="TableContents"/>
              <w:bidi w:val="0"/>
              <w:spacing w:before="0" w:after="283"/>
              <w:jc w:val="right"/>
              <w:rPr/>
            </w:pPr>
            <w:r>
              <w:rPr/>
              <w:t> </w:t>
            </w:r>
          </w:p>
        </w:tc>
        <w:tc>
          <w:tcPr>
            <w:tcW w:w="1017" w:type="dxa"/>
            <w:tcBorders/>
            <w:shd w:fill="CFF0FC" w:val="clear"/>
            <w:vAlign w:val="center"/>
          </w:tcPr>
          <w:p>
            <w:pPr>
              <w:pStyle w:val="TableContents"/>
              <w:bidi w:val="0"/>
              <w:spacing w:before="0" w:after="283"/>
              <w:jc w:val="righ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income from 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6" w:type="dxa"/>
            <w:gridSpan w:val="2"/>
            <w:tcBorders/>
            <w:shd w:fill="FFFFFF" w:val="clear"/>
            <w:vAlign w:val="center"/>
          </w:tcPr>
          <w:p>
            <w:pPr>
              <w:pStyle w:val="TableContents"/>
              <w:bidi w:val="0"/>
              <w:spacing w:before="0" w:after="283"/>
              <w:jc w:val="right"/>
              <w:rPr/>
            </w:pPr>
            <w:r>
              <w:rPr/>
              <w:t> </w:t>
            </w:r>
          </w:p>
        </w:tc>
        <w:tc>
          <w:tcPr>
            <w:tcW w:w="1017" w:type="dxa"/>
            <w:tcBorders/>
            <w:shd w:fill="FFFFFF" w:val="clear"/>
            <w:vAlign w:val="center"/>
          </w:tcPr>
          <w:p>
            <w:pPr>
              <w:pStyle w:val="TableContents"/>
              <w:bidi w:val="0"/>
              <w:spacing w:before="0" w:after="283"/>
              <w:ind w:left="0" w:right="0" w:firstLine="200"/>
              <w:jc w:val="right"/>
              <w:rPr/>
            </w:pPr>
            <w:r>
              <w:rPr/>
              <w:t> </w:t>
            </w:r>
          </w:p>
        </w:tc>
      </w:tr>
      <w:tr>
        <w:trPr/>
        <w:tc>
          <w:tcPr>
            <w:tcW w:w="28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from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965</w:t>
            </w:r>
          </w:p>
        </w:tc>
        <w:tc>
          <w:tcPr>
            <w:tcW w:w="1017" w:type="dxa"/>
            <w:tcBorders/>
            <w:shd w:fill="CFF0FC" w:val="clear"/>
            <w:vAlign w:val="center"/>
          </w:tcPr>
          <w:p>
            <w:pPr>
              <w:pStyle w:val="TableContents"/>
              <w:bidi w:val="0"/>
              <w:spacing w:before="0" w:after="283"/>
              <w:ind w:left="0" w:right="0" w:firstLine="200"/>
              <w:jc w:val="left"/>
              <w:rPr/>
            </w:pPr>
            <w:r>
              <w:rPr/>
              <w:t> </w:t>
            </w:r>
          </w:p>
        </w:tc>
      </w:tr>
      <w:tr>
        <w:trPr/>
        <w:tc>
          <w:tcPr>
            <w:tcW w:w="285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Paid-in-kind interest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color w:val="000000"/>
              </w:rPr>
            </w:pPr>
            <w:r>
              <w:rPr>
                <w:color w:val="000000"/>
              </w:rPr>
              <w:t>—</w:t>
            </w:r>
          </w:p>
        </w:tc>
        <w:tc>
          <w:tcPr>
            <w:tcW w:w="1017" w:type="dxa"/>
            <w:tcBorders/>
            <w:shd w:fill="FFFFFF" w:val="clear"/>
            <w:vAlign w:val="center"/>
          </w:tcPr>
          <w:p>
            <w:pPr>
              <w:pStyle w:val="TableContents"/>
              <w:bidi w:val="0"/>
              <w:spacing w:before="0" w:after="283"/>
              <w:ind w:left="0" w:right="0" w:firstLine="200"/>
              <w:jc w:val="left"/>
              <w:rPr/>
            </w:pPr>
            <w:r>
              <w:rPr/>
              <w:t> </w:t>
            </w:r>
          </w:p>
        </w:tc>
      </w:tr>
      <w:tr>
        <w:trPr/>
        <w:tc>
          <w:tcPr>
            <w:tcW w:w="28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income</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pPr>
            <w:r>
              <w:rPr/>
              <w:t> </w:t>
            </w:r>
          </w:p>
        </w:tc>
        <w:tc>
          <w:tcPr>
            <w:tcW w:w="11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017" w:type="dxa"/>
            <w:tcBorders/>
            <w:shd w:fill="CFF0FC" w:val="clear"/>
            <w:vAlign w:val="center"/>
          </w:tcPr>
          <w:p>
            <w:pPr>
              <w:pStyle w:val="TableContents"/>
              <w:bidi w:val="0"/>
              <w:spacing w:before="0" w:after="283"/>
              <w:ind w:left="0" w:right="0" w:firstLine="600"/>
              <w:jc w:val="left"/>
              <w:rPr/>
            </w:pPr>
            <w:r>
              <w:rPr/>
              <w:t> </w:t>
            </w:r>
          </w:p>
        </w:tc>
      </w:tr>
      <w:tr>
        <w:trPr/>
        <w:tc>
          <w:tcPr>
            <w:tcW w:w="2850"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66,482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155,291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966</w:t>
            </w:r>
          </w:p>
        </w:tc>
        <w:tc>
          <w:tcPr>
            <w:tcW w:w="101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vAlign w:val="center"/>
          </w:tcPr>
          <w:p>
            <w:pPr>
              <w:pStyle w:val="TableContents"/>
              <w:bidi w:val="0"/>
              <w:spacing w:before="0" w:after="283"/>
              <w:jc w:val="right"/>
              <w:rPr/>
            </w:pPr>
            <w:r>
              <w:rPr/>
              <w:t> </w:t>
            </w:r>
          </w:p>
        </w:tc>
        <w:tc>
          <w:tcPr>
            <w:tcW w:w="12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46" w:type="dxa"/>
            <w:gridSpan w:val="2"/>
            <w:tcBorders/>
            <w:shd w:fill="CFF0FC" w:val="clear"/>
            <w:vAlign w:val="center"/>
          </w:tcPr>
          <w:p>
            <w:pPr>
              <w:pStyle w:val="TableContents"/>
              <w:bidi w:val="0"/>
              <w:spacing w:before="0" w:after="283"/>
              <w:jc w:val="right"/>
              <w:rPr/>
            </w:pPr>
            <w:r>
              <w:rPr/>
              <w:t> </w:t>
            </w:r>
          </w:p>
        </w:tc>
        <w:tc>
          <w:tcPr>
            <w:tcW w:w="1017" w:type="dxa"/>
            <w:tcBorders/>
            <w:shd w:fill="CFF0FC" w:val="clear"/>
            <w:vAlign w:val="center"/>
          </w:tcPr>
          <w:p>
            <w:pPr>
              <w:pStyle w:val="TableContents"/>
              <w:bidi w:val="0"/>
              <w:spacing w:before="0" w:after="283"/>
              <w:jc w:val="righ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w:t>
            </w:r>
          </w:p>
        </w:tc>
        <w:tc>
          <w:tcPr>
            <w:tcW w:w="1017" w:type="dxa"/>
            <w:tcBorders/>
            <w:shd w:fill="FFFFFF" w:val="clear"/>
            <w:vAlign w:val="center"/>
          </w:tcPr>
          <w:p>
            <w:pPr>
              <w:pStyle w:val="TableContents"/>
              <w:bidi w:val="0"/>
              <w:spacing w:before="0" w:after="283"/>
              <w:jc w:val="left"/>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Management fees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pPr>
            <w:r>
              <w:rPr/>
              <w:t> </w:t>
            </w:r>
          </w:p>
        </w:tc>
        <w:tc>
          <w:tcPr>
            <w:tcW w:w="11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017" w:type="dxa"/>
            <w:tcBorders/>
            <w:shd w:fill="CFF0FC" w:val="cle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Incentive fees on net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color w:val="000000"/>
              </w:rPr>
            </w:pPr>
            <w:r>
              <w:rPr>
                <w:color w:val="000000"/>
              </w:rPr>
              <w:t>—</w:t>
            </w:r>
          </w:p>
        </w:tc>
        <w:tc>
          <w:tcPr>
            <w:tcW w:w="1017" w:type="dxa"/>
            <w:tcBorders/>
            <w:shd w:fill="FFFFFF" w:val="clear"/>
            <w:vAlign w:val="center"/>
          </w:tcPr>
          <w:p>
            <w:pPr>
              <w:pStyle w:val="TableContents"/>
              <w:bidi w:val="0"/>
              <w:spacing w:before="0" w:after="283"/>
              <w:jc w:val="left"/>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Incentive fees on net capital gains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pPr>
            <w:r>
              <w:rPr/>
              <w:t> </w:t>
            </w:r>
          </w:p>
        </w:tc>
        <w:tc>
          <w:tcPr>
            <w:tcW w:w="11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017" w:type="dxa"/>
            <w:tcBorders/>
            <w:shd w:fill="CFF0FC" w:val="cle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Organizational expense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1,418</w:t>
            </w:r>
          </w:p>
        </w:tc>
        <w:tc>
          <w:tcPr>
            <w:tcW w:w="1017" w:type="dxa"/>
            <w:tcBorders/>
            <w:shd w:fill="FFFFFF" w:val="clear"/>
            <w:vAlign w:val="center"/>
          </w:tcPr>
          <w:p>
            <w:pPr>
              <w:pStyle w:val="TableContents"/>
              <w:bidi w:val="0"/>
              <w:spacing w:before="0" w:after="283"/>
              <w:jc w:val="left"/>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Offering expense</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pPr>
            <w:r>
              <w:rPr/>
              <w:t> </w:t>
            </w:r>
          </w:p>
        </w:tc>
        <w:tc>
          <w:tcPr>
            <w:tcW w:w="11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017" w:type="dxa"/>
            <w:tcBorders/>
            <w:shd w:fill="CFF0FC" w:val="cle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Professional fees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w:t>
            </w:r>
          </w:p>
        </w:tc>
        <w:tc>
          <w:tcPr>
            <w:tcW w:w="1017" w:type="dxa"/>
            <w:tcBorders/>
            <w:shd w:fill="FFFFFF" w:val="clear"/>
            <w:vAlign w:val="center"/>
          </w:tcPr>
          <w:p>
            <w:pPr>
              <w:pStyle w:val="TableContents"/>
              <w:bidi w:val="0"/>
              <w:spacing w:before="0" w:after="283"/>
              <w:jc w:val="left"/>
              <w:rPr/>
            </w:pPr>
            <w:r>
              <w:rPr/>
              <w:t> </w:t>
            </w:r>
          </w:p>
        </w:tc>
      </w:tr>
      <w:tr>
        <w:trPr/>
        <w:tc>
          <w:tcPr>
            <w:tcW w:w="28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Trustees’ fees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pPr>
            <w:r>
              <w:rPr/>
              <w:t> </w:t>
            </w:r>
          </w:p>
        </w:tc>
        <w:tc>
          <w:tcPr>
            <w:tcW w:w="11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w:t>
            </w:r>
          </w:p>
        </w:tc>
        <w:tc>
          <w:tcPr>
            <w:tcW w:w="1017" w:type="dxa"/>
            <w:tcBorders/>
            <w:shd w:fill="CFF0FC" w:val="cle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general and administrative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298</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expenses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2,997</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Management fees waived (Note 3)</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(381</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2850"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2,616</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(1,650</w:t>
            </w:r>
          </w:p>
        </w:tc>
        <w:tc>
          <w:tcPr>
            <w:tcW w:w="10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taxes, including excise taxes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(1,650</w:t>
            </w:r>
          </w:p>
        </w:tc>
        <w:tc>
          <w:tcPr>
            <w:tcW w:w="10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CFF0FC" w:val="clear"/>
            <w:vAlign w:val="center"/>
          </w:tcPr>
          <w:p>
            <w:pPr>
              <w:pStyle w:val="TableContents"/>
              <w:bidi w:val="0"/>
              <w:spacing w:before="0" w:after="283"/>
              <w:jc w:val="right"/>
              <w:rPr/>
            </w:pPr>
            <w:r>
              <w:rPr/>
              <w:t> </w:t>
            </w:r>
          </w:p>
        </w:tc>
        <w:tc>
          <w:tcPr>
            <w:tcW w:w="12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46" w:type="dxa"/>
            <w:gridSpan w:val="2"/>
            <w:tcBorders/>
            <w:shd w:fill="CFF0FC" w:val="clear"/>
            <w:vAlign w:val="center"/>
          </w:tcPr>
          <w:p>
            <w:pPr>
              <w:pStyle w:val="TableContents"/>
              <w:bidi w:val="0"/>
              <w:spacing w:before="0" w:after="283"/>
              <w:jc w:val="right"/>
              <w:rPr/>
            </w:pPr>
            <w:r>
              <w:rPr/>
              <w:t> </w:t>
            </w:r>
          </w:p>
        </w:tc>
        <w:tc>
          <w:tcPr>
            <w:tcW w:w="1017" w:type="dxa"/>
            <w:tcBorders/>
            <w:shd w:fill="CFF0FC" w:val="clear"/>
            <w:vAlign w:val="center"/>
          </w:tcPr>
          <w:p>
            <w:pPr>
              <w:pStyle w:val="TableContents"/>
              <w:bidi w:val="0"/>
              <w:spacing w:before="0" w:after="283"/>
              <w:jc w:val="righ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6" w:type="dxa"/>
            <w:gridSpan w:val="2"/>
            <w:tcBorders/>
            <w:shd w:fill="FFFFFF" w:val="clear"/>
            <w:vAlign w:val="center"/>
          </w:tcPr>
          <w:p>
            <w:pPr>
              <w:pStyle w:val="TableContents"/>
              <w:bidi w:val="0"/>
              <w:spacing w:before="0" w:after="283"/>
              <w:jc w:val="right"/>
              <w:rPr/>
            </w:pPr>
            <w:r>
              <w:rPr/>
              <w:t> </w:t>
            </w:r>
          </w:p>
        </w:tc>
        <w:tc>
          <w:tcPr>
            <w:tcW w:w="1017" w:type="dxa"/>
            <w:tcBorders/>
            <w:shd w:fill="FFFFFF" w:val="clear"/>
            <w:vAlign w:val="center"/>
          </w:tcPr>
          <w:p>
            <w:pPr>
              <w:pStyle w:val="TableContents"/>
              <w:bidi w:val="0"/>
              <w:spacing w:before="0" w:after="283"/>
              <w:ind w:left="0" w:right="0" w:firstLine="200"/>
              <w:jc w:val="right"/>
              <w:rPr/>
            </w:pPr>
            <w:r>
              <w:rPr/>
              <w:t> </w:t>
            </w:r>
          </w:p>
        </w:tc>
      </w:tr>
      <w:tr>
        <w:trPr/>
        <w:tc>
          <w:tcPr>
            <w:tcW w:w="28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non-affiliated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left"/>
              <w:rPr/>
            </w:pPr>
            <w:r>
              <w:rPr/>
              <w:t> </w:t>
            </w:r>
          </w:p>
        </w:tc>
        <w:tc>
          <w:tcPr>
            <w:tcW w:w="11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1017" w:type="dxa"/>
            <w:tcBorders/>
            <w:shd w:fill="CFF0FC" w:val="clear"/>
            <w:vAlign w:val="center"/>
          </w:tcPr>
          <w:p>
            <w:pPr>
              <w:pStyle w:val="TableContents"/>
              <w:bidi w:val="0"/>
              <w:spacing w:before="0" w:after="283"/>
              <w:ind w:left="0" w:right="0" w:firstLine="200"/>
              <w:jc w:val="left"/>
              <w:rPr/>
            </w:pPr>
            <w:r>
              <w:rPr/>
              <w:t> </w:t>
            </w:r>
          </w:p>
        </w:tc>
      </w:tr>
      <w:tr>
        <w:trPr/>
        <w:tc>
          <w:tcPr>
            <w:tcW w:w="285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Translation of other assets and liabilities in foreign currencies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w:t>
            </w:r>
          </w:p>
        </w:tc>
        <w:tc>
          <w:tcPr>
            <w:tcW w:w="1017" w:type="dxa"/>
            <w:tcBorders/>
            <w:shd w:fill="FFFFFF" w:val="clear"/>
            <w:vAlign w:val="center"/>
          </w:tcPr>
          <w:p>
            <w:pPr>
              <w:pStyle w:val="TableContents"/>
              <w:bidi w:val="0"/>
              <w:spacing w:before="0" w:after="283"/>
              <w:ind w:left="0" w:right="0" w:firstLine="600"/>
              <w:jc w:val="left"/>
              <w:rPr/>
            </w:pPr>
            <w:r>
              <w:rPr/>
              <w:t> </w:t>
            </w:r>
          </w:p>
        </w:tc>
      </w:tr>
      <w:tr>
        <w:trPr/>
        <w:tc>
          <w:tcPr>
            <w:tcW w:w="2850"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Total net change in unrealized gains (losses)</w:t>
            </w:r>
          </w:p>
        </w:tc>
        <w:tc>
          <w:tcPr>
            <w:tcW w:w="146" w:type="dxa"/>
            <w:tcBorders/>
            <w:shd w:fill="CFF0FC" w:val="clear"/>
            <w:vAlign w:val="center"/>
          </w:tcPr>
          <w:p>
            <w:pPr>
              <w:pStyle w:val="TableContents"/>
              <w:bidi w:val="0"/>
              <w:spacing w:before="0" w:after="283"/>
              <w:jc w:val="right"/>
              <w:rPr/>
            </w:pPr>
            <w:r>
              <w:rPr/>
              <w:t> </w:t>
            </w:r>
          </w:p>
        </w:tc>
        <w:tc>
          <w:tcPr>
            <w:tcW w:w="2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29,957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43,427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432</w:t>
            </w:r>
          </w:p>
        </w:tc>
        <w:tc>
          <w:tcPr>
            <w:tcW w:w="101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gains (losses):</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6" w:type="dxa"/>
            <w:gridSpan w:val="2"/>
            <w:tcBorders/>
            <w:shd w:fill="FFFFFF" w:val="clear"/>
            <w:vAlign w:val="center"/>
          </w:tcPr>
          <w:p>
            <w:pPr>
              <w:pStyle w:val="TableContents"/>
              <w:bidi w:val="0"/>
              <w:spacing w:before="0" w:after="283"/>
              <w:jc w:val="right"/>
              <w:rPr/>
            </w:pPr>
            <w:r>
              <w:rPr/>
              <w:t> </w:t>
            </w:r>
          </w:p>
        </w:tc>
        <w:tc>
          <w:tcPr>
            <w:tcW w:w="1017" w:type="dxa"/>
            <w:tcBorders/>
            <w:shd w:fill="FFFFFF" w:val="clear"/>
            <w:vAlign w:val="center"/>
          </w:tcPr>
          <w:p>
            <w:pPr>
              <w:pStyle w:val="TableContents"/>
              <w:bidi w:val="0"/>
              <w:spacing w:before="0" w:after="283"/>
              <w:ind w:left="0" w:right="0" w:firstLine="200"/>
              <w:jc w:val="right"/>
              <w:rPr/>
            </w:pPr>
            <w:r>
              <w:rPr/>
              <w:t> </w:t>
            </w:r>
          </w:p>
        </w:tc>
      </w:tr>
      <w:tr>
        <w:trPr/>
        <w:tc>
          <w:tcPr>
            <w:tcW w:w="28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Foreign currency transactions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2850"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Total net realized gains (losses)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2850"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850"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(1,274</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Earnings per common share—basic and diluted</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(0.47</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shares of common shares outstanding—basic and diluted</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35,303,072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2,698,595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30,109,493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b w:val="false"/>
                <w:color w:val="000000"/>
                <w:sz w:val="16"/>
              </w:rPr>
              <w:t>2,698,595</w:t>
            </w:r>
            <w:r>
              <w:rPr>
                <w:rFonts w:ascii="Times New Roman" w:hAnsi="Times New Roman"/>
                <w:color w:val="000000"/>
                <w:sz w:val="16"/>
              </w:rPr>
              <w:t xml:space="preserve"> </w:t>
            </w:r>
            <w:r>
              <w:rPr>
                <w:rFonts w:ascii="Times New Roman" w:hAnsi="Times New Roman"/>
                <w:b w:val="false"/>
                <w:color w:val="000000"/>
                <w:sz w:val="11"/>
              </w:rPr>
              <w:t>(1)</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Weighted average shares of Common Shares outstanding are calculated from the Commencement of Operations through</w:t>
        <w:br/>
        <w:t>September 30, 2022.</w:t>
      </w:r>
    </w:p>
    <w:p>
      <w:pPr>
        <w:pStyle w:val="TextBody"/>
        <w:bidi w:val="0"/>
        <w:spacing w:before="2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Lending Partners</w:t>
      </w:r>
    </w:p>
    <w:p>
      <w:pPr>
        <w:pStyle w:val="TextBody"/>
        <w:bidi w:val="0"/>
        <w:spacing w:before="240" w:after="283"/>
        <w:jc w:val="center"/>
        <w:rPr>
          <w:rFonts w:ascii="Times New Roman" w:hAnsi="Times New Roman"/>
          <w:b/>
          <w:color w:val="000000"/>
          <w:sz w:val="20"/>
        </w:rPr>
      </w:pPr>
      <w:bookmarkStart w:id="6" w:name="consolidated_schedule_investments_as_mar"/>
      <w:bookmarkEnd w:id="6"/>
      <w:r>
        <w:rPr>
          <w:rFonts w:ascii="Times New Roman" w:hAnsi="Times New Roman"/>
          <w:b/>
          <w:color w:val="000000"/>
          <w:sz w:val="20"/>
        </w:rPr>
        <w:t>Consolidated Schedule of Investments as of September 30, 2023</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0"/>
        <w:gridCol w:w="146"/>
        <w:gridCol w:w="1727"/>
        <w:gridCol w:w="146"/>
        <w:gridCol w:w="796"/>
        <w:gridCol w:w="146"/>
        <w:gridCol w:w="146"/>
        <w:gridCol w:w="675"/>
        <w:gridCol w:w="211"/>
        <w:gridCol w:w="146"/>
        <w:gridCol w:w="233"/>
        <w:gridCol w:w="697"/>
        <w:gridCol w:w="211"/>
        <w:gridCol w:w="146"/>
        <w:gridCol w:w="181"/>
        <w:gridCol w:w="586"/>
        <w:gridCol w:w="146"/>
        <w:gridCol w:w="146"/>
        <w:gridCol w:w="193"/>
        <w:gridCol w:w="627"/>
        <w:gridCol w:w="146"/>
        <w:gridCol w:w="146"/>
        <w:gridCol w:w="226"/>
        <w:gridCol w:w="561"/>
        <w:gridCol w:w="261"/>
      </w:tblGrid>
      <w:tr>
        <w:trPr/>
        <w:tc>
          <w:tcPr>
            <w:tcW w:w="1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Bestpass,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($9,975</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+ 5.75%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6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BCTO Ignition Purchaser,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holdco loan ($103,043</w:t>
            </w:r>
            <w:r>
              <w:rPr>
                <w:rFonts w:ascii="Times New Roman" w:hAnsi="Times New Roman"/>
                <w:color w:val="000000"/>
                <w:sz w:val="20"/>
              </w:rPr>
              <w:t> </w:t>
            </w:r>
            <w:r>
              <w:rPr>
                <w:rFonts w:ascii="Times New Roman" w:hAnsi="Times New Roman"/>
                <w:b w:val="false"/>
                <w:color w:val="000000"/>
                <w:sz w:val="14"/>
              </w:rPr>
              <w:t>par, due 10/2030)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4/18/2023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+ 9.00%</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14.31% PIK</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Galileo Parent,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($151,442</w:t>
            </w:r>
            <w:r>
              <w:rPr>
                <w:rFonts w:ascii="Times New Roman" w:hAnsi="Times New Roman"/>
                <w:color w:val="000000"/>
                <w:sz w:val="20"/>
              </w:rPr>
              <w:t> </w:t>
            </w:r>
            <w:r>
              <w:rPr>
                <w:rFonts w:ascii="Times New Roman" w:hAnsi="Times New Roman"/>
                <w:b w:val="false"/>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147,167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149,170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($10,433</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Hornetsecurity Holding GmbH</w:t>
            </w:r>
            <w:r>
              <w:rPr>
                <w:rFonts w:ascii="Times New Roman" w:hAnsi="Times New Roman"/>
                <w:color w:val="000000"/>
                <w:sz w:val="14"/>
              </w:rPr>
              <w:t>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3,150</w:t>
            </w:r>
            <w:r>
              <w:rPr>
                <w:rFonts w:ascii="Times New Roman" w:hAnsi="Times New Roman"/>
                <w:color w:val="000000"/>
                <w:sz w:val="20"/>
              </w:rPr>
              <w:t> </w:t>
            </w:r>
            <w:r>
              <w:rPr>
                <w:rFonts w:ascii="Times New Roman" w:hAnsi="Times New Roman"/>
                <w:b w:val="false"/>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11/14/2022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+ 6.50%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3,335</w:t>
              <w:br/>
              <w:t> (EUR 3,150)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OutSystems Luxco SARL</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3,004</w:t>
            </w:r>
            <w:r>
              <w:rPr>
                <w:rFonts w:ascii="Times New Roman" w:hAnsi="Times New Roman"/>
                <w:color w:val="000000"/>
                <w:sz w:val="20"/>
              </w:rPr>
              <w:t> </w:t>
            </w:r>
            <w:r>
              <w:rPr>
                <w:rFonts w:ascii="Times New Roman" w:hAnsi="Times New Roman"/>
                <w:b w:val="false"/>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+ 5.75%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3,180</w:t>
              <w:br/>
              <w:t> (EUR 3,004)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Wrangler TopCo,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($93,847</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354,716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359,816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Erling Lux Bidco SARL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9,985</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10,639</w:t>
              <w:br/>
              <w:t> (EUR 10,049)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10,217</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+ 6.75%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12,533</w:t>
              <w:br/>
              <w:t> (GBP 10,269)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Banyan Software Holdings, LLC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($39,700</w:t>
            </w:r>
            <w:r>
              <w:rPr>
                <w:rFonts w:ascii="Times New Roman" w:hAnsi="Times New Roman"/>
                <w:color w:val="000000"/>
                <w:sz w:val="20"/>
              </w:rPr>
              <w:t> </w:t>
            </w:r>
            <w:r>
              <w:rPr>
                <w:rFonts w:ascii="Times New Roman" w:hAnsi="Times New Roman"/>
                <w:b w:val="false"/>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+ 7.35%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Alaska Bidco Oy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727</w:t>
            </w:r>
            <w:r>
              <w:rPr>
                <w:rFonts w:ascii="Times New Roman" w:hAnsi="Times New Roman"/>
                <w:color w:val="000000"/>
                <w:sz w:val="20"/>
              </w:rPr>
              <w:t> </w:t>
            </w:r>
            <w:r>
              <w:rPr>
                <w:rFonts w:ascii="Times New Roman" w:hAnsi="Times New Roman"/>
                <w:b w:val="false"/>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5/30/2023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+ 6.25%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763</w:t>
              <w:br/>
              <w:t> (EUR 720)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BCTO Bluebill Buyer,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($7,302</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7/20/2023</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BTRS Holdings,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($139,739</w:t>
            </w:r>
            <w:r>
              <w:rPr>
                <w:rFonts w:ascii="Times New Roman" w:hAnsi="Times New Roman"/>
                <w:color w:val="000000"/>
                <w:sz w:val="20"/>
              </w:rPr>
              <w:t> </w:t>
            </w:r>
            <w:r>
              <w:rPr>
                <w:rFonts w:ascii="Times New Roman" w:hAnsi="Times New Roman"/>
                <w:b w:val="false"/>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+ 8.00%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Ping Identity Holding Corp.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($136,364</w:t>
            </w:r>
            <w:r>
              <w:rPr>
                <w:rFonts w:ascii="Times New Roman" w:hAnsi="Times New Roman"/>
                <w:color w:val="000000"/>
                <w:sz w:val="20"/>
              </w:rPr>
              <w:t> </w:t>
            </w:r>
            <w:r>
              <w:rPr>
                <w:rFonts w:ascii="Times New Roman" w:hAnsi="Times New Roman"/>
                <w:b w:val="false"/>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10/17/2022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Volante Technologies, Inc.</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($2,500</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16.50%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279,075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287,489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Edge Bidco B.V </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3,520</w:t>
            </w:r>
            <w:r>
              <w:rPr>
                <w:rFonts w:ascii="Times New Roman" w:hAnsi="Times New Roman"/>
                <w:color w:val="000000"/>
                <w:sz w:val="20"/>
              </w:rPr>
              <w:t> </w:t>
            </w:r>
            <w:r>
              <w:rPr>
                <w:rFonts w:ascii="Times New Roman" w:hAnsi="Times New Roman"/>
                <w:b w:val="false"/>
                <w:color w:val="000000"/>
                <w:sz w:val="14"/>
              </w:rPr>
              <w:t>par, due 2/2029)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2/24/2023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+ 7.00%</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10.97% (incl. 3.25% PIK)</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3,727</w:t>
              <w:br/>
              <w:t> (EUR 3,520)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Raptor US Buyer II Corp.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($98,854</w:t>
            </w:r>
            <w:r>
              <w:rPr>
                <w:rFonts w:ascii="Times New Roman" w:hAnsi="Times New Roman"/>
                <w:color w:val="000000"/>
                <w:sz w:val="20"/>
              </w:rPr>
              <w:t> </w:t>
            </w:r>
            <w:r>
              <w:rPr>
                <w:rFonts w:ascii="Times New Roman" w:hAnsi="Times New Roman"/>
                <w:b w:val="false"/>
                <w:color w:val="000000"/>
                <w:sz w:val="14"/>
              </w:rPr>
              <w:t>par, due 3/2029)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SL Buyer Corp.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($3,525</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104,762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bswift,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($141,326</w:t>
            </w:r>
            <w:r>
              <w:rPr>
                <w:rFonts w:ascii="Times New Roman" w:hAnsi="Times New Roman"/>
                <w:color w:val="000000"/>
                <w:sz w:val="20"/>
              </w:rPr>
              <w:t> </w:t>
            </w:r>
            <w:r>
              <w:rPr>
                <w:rFonts w:ascii="Times New Roman" w:hAnsi="Times New Roman"/>
                <w:b w:val="false"/>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+ 6.63%</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HireVue,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($110,887</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244,888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251,004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22.7</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6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Disco Parent, Inc.</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($57,756</w:t>
            </w:r>
            <w:r>
              <w:rPr>
                <w:rFonts w:ascii="Times New Roman" w:hAnsi="Times New Roman"/>
                <w:color w:val="000000"/>
                <w:sz w:val="20"/>
              </w:rPr>
              <w:t> </w:t>
            </w:r>
            <w:r>
              <w:rPr>
                <w:rFonts w:ascii="Times New Roman" w:hAnsi="Times New Roman"/>
                <w:b w:val="false"/>
                <w:color w:val="000000"/>
                <w:sz w:val="14"/>
              </w:rPr>
              <w:t>par, due 3/2029)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3/30/2023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right"/>
              <w:rPr/>
            </w:pPr>
            <w:r>
              <w:rPr/>
              <w:t> </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Arrow Buyer,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($121,875</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+ 6.50%</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Coupa Holdings,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($129,573</w:t>
            </w:r>
            <w:r>
              <w:rPr>
                <w:rFonts w:ascii="Times New Roman" w:hAnsi="Times New Roman"/>
                <w:color w:val="000000"/>
                <w:sz w:val="20"/>
              </w:rPr>
              <w:t> </w:t>
            </w:r>
            <w:r>
              <w:rPr>
                <w:rFonts w:ascii="Times New Roman" w:hAnsi="Times New Roman"/>
                <w:b w:val="false"/>
                <w:color w:val="000000"/>
                <w:sz w:val="14"/>
              </w:rPr>
              <w:t>par, due 2/2030)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2/27/2023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SMA Technologies Holdings,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($5,667</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10/31/2022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254,461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23.0</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right"/>
              <w:rPr/>
            </w:pPr>
            <w:r>
              <w:rPr/>
              <w:t> </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ASP Unifrax Holdings, Inc.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($1,133</w:t>
            </w:r>
            <w:r>
              <w:rPr>
                <w:rFonts w:ascii="Times New Roman" w:hAnsi="Times New Roman"/>
                <w:color w:val="000000"/>
                <w:sz w:val="14"/>
              </w:rPr>
              <w:t> </w:t>
            </w:r>
            <w:r>
              <w:rPr>
                <w:rFonts w:ascii="Times New Roman" w:hAnsi="Times New Roman"/>
                <w:b w:val="false"/>
                <w:color w:val="000000"/>
                <w:sz w:val="14"/>
              </w:rPr>
              <w:t xml:space="preserve">par, due 12/2025)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8/25/2023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+ 3.90%</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(EUR 364</w:t>
            </w:r>
            <w:r>
              <w:rPr>
                <w:rFonts w:ascii="Times New Roman" w:hAnsi="Times New Roman"/>
                <w:color w:val="000000"/>
                <w:sz w:val="14"/>
              </w:rPr>
              <w:t> </w:t>
            </w:r>
            <w:r>
              <w:rPr>
                <w:rFonts w:ascii="Times New Roman" w:hAnsi="Times New Roman"/>
                <w:b w:val="false"/>
                <w:color w:val="000000"/>
                <w:sz w:val="14"/>
              </w:rPr>
              <w:t xml:space="preserve">par, due 12/2025)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9/14/2023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+ 3.75%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354</w:t>
              <w:br/>
              <w:t> (EUR 335)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Unsecured note ($227</w:t>
            </w:r>
            <w:r>
              <w:rPr>
                <w:rFonts w:ascii="Times New Roman" w:hAnsi="Times New Roman"/>
                <w:color w:val="000000"/>
                <w:sz w:val="20"/>
              </w:rPr>
              <w:t> </w:t>
            </w:r>
            <w:r>
              <w:rPr>
                <w:rFonts w:ascii="Times New Roman" w:hAnsi="Times New Roman"/>
                <w:b w:val="false"/>
                <w:color w:val="000000"/>
                <w:sz w:val="14"/>
              </w:rPr>
              <w:t>par, due 9/2029)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8/31/2023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Avalara,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($136,364</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10/19/2022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Skylark UK DebtCo Limited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72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($65,149</w:t>
            </w:r>
            <w:r>
              <w:rPr>
                <w:rFonts w:ascii="Times New Roman" w:hAnsi="Times New Roman"/>
                <w:color w:val="000000"/>
                <w:sz w:val="20"/>
              </w:rPr>
              <w:t> </w:t>
            </w:r>
            <w:r>
              <w:rPr>
                <w:rFonts w:ascii="Times New Roman" w:hAnsi="Times New Roman"/>
                <w:b w:val="false"/>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+ 6.25%</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62,589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5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66,344</w:t>
            </w:r>
            <w:r>
              <w:rPr>
                <w:rFonts w:ascii="Times New Roman" w:hAnsi="Times New Roman"/>
                <w:color w:val="000000"/>
                <w:sz w:val="20"/>
              </w:rPr>
              <w:t> </w:t>
            </w:r>
            <w:r>
              <w:rPr>
                <w:rFonts w:ascii="Times New Roman" w:hAnsi="Times New Roman"/>
                <w:b w:val="false"/>
                <w:color w:val="000000"/>
                <w:sz w:val="14"/>
              </w:rPr>
              <w:t>par, due 9/2030)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+ 6.25%</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11.44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0" w:type="dxa"/>
            <w:gridSpan w:val="2"/>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79,155</w:t>
              <w:br/>
              <w:t> (GBP 64,852)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79"/>
        <w:gridCol w:w="146"/>
        <w:gridCol w:w="1805"/>
        <w:gridCol w:w="146"/>
        <w:gridCol w:w="534"/>
        <w:gridCol w:w="146"/>
        <w:gridCol w:w="146"/>
        <w:gridCol w:w="618"/>
        <w:gridCol w:w="146"/>
        <w:gridCol w:w="146"/>
        <w:gridCol w:w="231"/>
        <w:gridCol w:w="691"/>
        <w:gridCol w:w="211"/>
        <w:gridCol w:w="146"/>
        <w:gridCol w:w="181"/>
        <w:gridCol w:w="691"/>
        <w:gridCol w:w="146"/>
        <w:gridCol w:w="146"/>
        <w:gridCol w:w="183"/>
        <w:gridCol w:w="702"/>
        <w:gridCol w:w="146"/>
        <w:gridCol w:w="146"/>
        <w:gridCol w:w="146"/>
        <w:gridCol w:w="436"/>
        <w:gridCol w:w="291"/>
      </w:tblGrid>
      <w:tr>
        <w:trPr/>
        <w:tc>
          <w:tcPr>
            <w:tcW w:w="1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19,342</w:t>
            </w:r>
            <w:r>
              <w:rPr>
                <w:rFonts w:ascii="Times New Roman" w:hAnsi="Times New Roman"/>
                <w:color w:val="000000"/>
                <w:sz w:val="20"/>
              </w:rPr>
              <w:t> </w:t>
            </w:r>
            <w:r>
              <w:rPr>
                <w:rFonts w:ascii="Times New Roman" w:hAnsi="Times New Roman"/>
                <w:b w:val="false"/>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20,018</w:t>
              <w:br/>
              <w:t> (EUR 18,907)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298,006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298,908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Laramie Energy, LLC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($97,561</w:t>
            </w:r>
            <w:r>
              <w:rPr>
                <w:rFonts w:ascii="Times New Roman" w:hAnsi="Times New Roman"/>
                <w:color w:val="000000"/>
                <w:sz w:val="20"/>
              </w:rPr>
              <w:t> </w:t>
            </w:r>
            <w:r>
              <w:rPr>
                <w:rFonts w:ascii="Times New Roman" w:hAnsi="Times New Roman"/>
                <w:b w:val="false"/>
                <w:color w:val="000000"/>
                <w:sz w:val="14"/>
              </w:rPr>
              <w:t>par, due 2/2027)</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2/21/2023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7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Bed Bath and Beyond Inc. </w:t>
            </w:r>
            <w:r>
              <w:rPr>
                <w:rFonts w:ascii="Times New Roman" w:hAnsi="Times New Roman"/>
                <w:b w:val="false"/>
                <w:color w:val="000000"/>
                <w:sz w:val="9"/>
              </w:rPr>
              <w:t>(3)(11)</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($27,954</w:t>
            </w:r>
            <w:r>
              <w:rPr>
                <w:rFonts w:ascii="Times New Roman" w:hAnsi="Times New Roman"/>
                <w:color w:val="000000"/>
                <w:sz w:val="20"/>
              </w:rPr>
              <w:t> </w:t>
            </w:r>
            <w:r>
              <w:rPr>
                <w:rFonts w:ascii="Times New Roman" w:hAnsi="Times New Roman"/>
                <w:b w:val="false"/>
                <w:color w:val="000000"/>
                <w:sz w:val="14"/>
              </w:rPr>
              <w:t>par, due 8/2027)</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Roll Up DIP term loan ($8,992</w:t>
            </w:r>
            <w:r>
              <w:rPr>
                <w:rFonts w:ascii="Times New Roman" w:hAnsi="Times New Roman"/>
                <w:color w:val="000000"/>
                <w:sz w:val="20"/>
              </w:rPr>
              <w:t> </w:t>
            </w:r>
            <w:r>
              <w:rPr>
                <w:rFonts w:ascii="Times New Roman" w:hAnsi="Times New Roman"/>
                <w:b w:val="false"/>
                <w:color w:val="000000"/>
                <w:sz w:val="14"/>
              </w:rPr>
              <w:t>par, due 9/2024)</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Super-Priority DIP term loan ($47,116</w:t>
            </w:r>
            <w:r>
              <w:rPr>
                <w:rFonts w:ascii="Times New Roman" w:hAnsi="Times New Roman"/>
                <w:color w:val="000000"/>
                <w:sz w:val="20"/>
              </w:rPr>
              <w:t> </w:t>
            </w:r>
            <w:r>
              <w:rPr>
                <w:rFonts w:ascii="Times New Roman" w:hAnsi="Times New Roman"/>
                <w:b w:val="false"/>
                <w:color w:val="000000"/>
                <w:sz w:val="14"/>
              </w:rPr>
              <w:t>par, due 9/2024)</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13.22% (incl. 13.22% PIK)</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Commercehub,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($148,875</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11/15/2022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148,875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Rapid Data GmbH Unternehmensberatung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4,495</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7/11/2023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4,625</w:t>
              <w:br/>
              <w:t> (EUR 4,368)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227,925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235,671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1,977,689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2,018,130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7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Warrior TopCo LP </w:t>
            </w:r>
            <w:r>
              <w:rPr>
                <w:rFonts w:ascii="Times New Roman" w:hAnsi="Times New Roman"/>
                <w:b w:val="false"/>
                <w:color w:val="000000"/>
                <w:sz w:val="9"/>
              </w:rPr>
              <w:t>(8)(10)</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(9,576,271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79"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Raptor US Buyer II Corp.</w:t>
            </w:r>
            <w:r>
              <w:rPr>
                <w:rFonts w:ascii="Times New Roman" w:hAnsi="Times New Roman"/>
                <w:color w:val="000000"/>
                <w:sz w:val="14"/>
              </w:rPr>
              <w:t> </w:t>
            </w:r>
            <w:r>
              <w:rPr>
                <w:rFonts w:ascii="Times New Roman" w:hAnsi="Times New Roman"/>
                <w:b w:val="false"/>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Ordinary Shares</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A</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B</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C</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D</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E</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F</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G</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H</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12,832</w:t>
            </w:r>
            <w:r>
              <w:rPr>
                <w:rFonts w:ascii="Times New Roman" w:hAnsi="Times New Roman"/>
                <w:color w:val="000000"/>
                <w:sz w:val="20"/>
              </w:rPr>
              <w:t> </w:t>
            </w:r>
            <w:r>
              <w:rPr>
                <w:rFonts w:ascii="Times New Roman" w:hAnsi="Times New Roman"/>
                <w:b w:val="false"/>
                <w:color w:val="000000"/>
                <w:sz w:val="14"/>
              </w:rPr>
              <w:t>Class I</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7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bswift, LLC</w:t>
            </w:r>
            <w:r>
              <w:rPr>
                <w:rFonts w:ascii="Times New Roman" w:hAnsi="Times New Roman"/>
                <w:color w:val="000000"/>
                <w:sz w:val="14"/>
              </w:rPr>
              <w:t> </w:t>
            </w:r>
            <w:r>
              <w:rPr>
                <w:rFonts w:ascii="Times New Roman" w:hAnsi="Times New Roman"/>
                <w:b w:val="false"/>
                <w:color w:val="000000"/>
                <w:sz w:val="9"/>
              </w:rPr>
              <w:t>(8)(10)</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(7,606,491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79"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SMA Technologies Holdings, LLC</w:t>
            </w:r>
            <w:r>
              <w:rPr>
                <w:rFonts w:ascii="Times New Roman" w:hAnsi="Times New Roman"/>
                <w:color w:val="000000"/>
                <w:sz w:val="14"/>
              </w:rPr>
              <w:t> </w:t>
            </w:r>
            <w:r>
              <w:rPr>
                <w:rFonts w:ascii="Times New Roman" w:hAnsi="Times New Roman"/>
                <w:b w:val="false"/>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(200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B Units (142,038</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7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w:t>
              <w:br/>
              <w:t>   Investments</w:t>
            </w:r>
          </w:p>
        </w:tc>
        <w:tc>
          <w:tcPr>
            <w:tcW w:w="146" w:type="dxa"/>
            <w:tcBorders/>
            <w:shd w:fill="FFFFFF" w:val="clear"/>
            <w:vAlign w:val="center"/>
          </w:tcPr>
          <w:p>
            <w:pPr>
              <w:pStyle w:val="TableContents"/>
              <w:bidi w:val="0"/>
              <w:spacing w:before="0" w:after="283"/>
              <w:jc w:val="right"/>
              <w:rPr/>
            </w:pPr>
            <w:r>
              <w:rPr/>
              <w:t> </w:t>
            </w:r>
          </w:p>
        </w:tc>
        <w:tc>
          <w:tcPr>
            <w:tcW w:w="18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879"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vAlign w:val="center"/>
          </w:tcPr>
          <w:p>
            <w:pPr>
              <w:pStyle w:val="TableContents"/>
              <w:bidi w:val="0"/>
              <w:spacing w:before="0" w:after="283"/>
              <w:jc w:val="right"/>
              <w:rPr/>
            </w:pPr>
            <w:r>
              <w:rPr/>
              <w:t> </w:t>
            </w:r>
          </w:p>
        </w:tc>
        <w:tc>
          <w:tcPr>
            <w:tcW w:w="18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2,007,948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2,048,389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such portfolio company. As of September 30, 2023, the Company does not “control” any of the portfolio companies. Also under the 1940 Act, the Company would be deemed to be an “Affiliated Person” of a portfolio company if the Company owns more than 5% of the portfolio company’s outstanding voting securities. As of September 30, 2023, the Company does not identify any of its portfolio companies as affiliates.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Investment contains a variable rate structure, subject to an interest rate floor. Variable rate investments bear interest at a rate that</w:t>
        <w:br/>
        <w:t xml:space="preserve">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terms of the credit agreement. For investments with multiple interest rate contracts, the interest rate shown is the weighted average interest rate in effect at September 30, 2023.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9.3% of total assets as of September 30, 2023.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(6)</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5 for further information related to</w:t>
        <w:br/>
        <w:t>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(7)</w:t>
      </w:r>
    </w:p>
    <w:p>
      <w:pPr>
        <w:pStyle w:val="TextBody"/>
        <w:bidi w:val="0"/>
        <w:spacing w:before="0" w:after="0"/>
        <w:jc w:val="left"/>
        <w:rPr/>
      </w:pPr>
      <w:r>
        <w:rPr>
          <w:rFonts w:ascii="Times New Roman" w:hAnsi="Times New Roman"/>
          <w:b w:val="false"/>
          <w:color w:val="000000"/>
          <w:sz w:val="20"/>
        </w:rPr>
        <w:t>As of September 30, 2023, the estimated cost basis of investments for U.S. federal tax purposes was $2,013,668</w:t>
      </w:r>
      <w:r>
        <w:rPr>
          <w:color w:val="000000"/>
        </w:rPr>
        <w:t xml:space="preserve"> </w:t>
      </w:r>
      <w:r>
        <w:rPr>
          <w:rFonts w:ascii="Times New Roman" w:hAnsi="Times New Roman"/>
          <w:b w:val="false"/>
          <w:color w:val="000000"/>
          <w:sz w:val="20"/>
        </w:rPr>
        <w:t>resulting in estimated gross unrealized gains and losses of $50,494</w:t>
      </w:r>
      <w:r>
        <w:rPr>
          <w:color w:val="000000"/>
        </w:rPr>
        <w:t xml:space="preserve"> </w:t>
      </w:r>
      <w:r>
        <w:rPr>
          <w:rFonts w:ascii="Times New Roman" w:hAnsi="Times New Roman"/>
          <w:b w:val="false"/>
          <w:color w:val="000000"/>
          <w:sz w:val="20"/>
        </w:rPr>
        <w:t>and $14,450, respectfully.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(8)</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non-income producing.</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(9)</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Certain portfolio company investments are subject to contractual restrictions on sales.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(10)</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All or a portion of this security was acquired in a transaction exempt from registration under the Securities Act of 1933, as amended (the “Securities Act”), and may be deemed to be “restricted securities” under the Securities Act. As of September 30, 2023, the aggregate fair value of these securities is $30,259, or 2.7% of the Company’s net assets.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(11)</w:t>
      </w:r>
    </w:p>
    <w:p>
      <w:pPr>
        <w:pStyle w:val="TextBody"/>
        <w:bidi w:val="0"/>
        <w:spacing w:before="0" w:after="0"/>
        <w:jc w:val="left"/>
        <w:rPr/>
      </w:pPr>
      <w:r>
        <w:rPr>
          <w:rFonts w:ascii="Times New Roman" w:hAnsi="Times New Roman"/>
          <w:b w:val="false"/>
          <w:color w:val="000000"/>
          <w:sz w:val="20"/>
        </w:rPr>
        <w:t>In addition to the principal amount outstanding and accrued interest owed on this investment, the Company is entitled to a separate Make-Whole Amount (the “Make-Whole”) of $20.7</w:t>
      </w:r>
      <w:r>
        <w:rPr>
          <w:color w:val="000000"/>
        </w:rPr>
        <w:t xml:space="preserve"> </w:t>
      </w:r>
      <w:r>
        <w:rPr>
          <w:rFonts w:ascii="Times New Roman" w:hAnsi="Times New Roman"/>
          <w:b w:val="false"/>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investment is valued using observable inputs and is considered a Level 2 investment. See Note 5 for further information</w:t>
        <w:br/>
        <w:t>related to investments at fair value.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as of December 31, 2022</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26"/>
        <w:gridCol w:w="146"/>
        <w:gridCol w:w="1881"/>
        <w:gridCol w:w="146"/>
        <w:gridCol w:w="796"/>
        <w:gridCol w:w="146"/>
        <w:gridCol w:w="146"/>
        <w:gridCol w:w="709"/>
        <w:gridCol w:w="146"/>
        <w:gridCol w:w="146"/>
        <w:gridCol w:w="178"/>
        <w:gridCol w:w="532"/>
        <w:gridCol w:w="211"/>
        <w:gridCol w:w="146"/>
        <w:gridCol w:w="181"/>
        <w:gridCol w:w="586"/>
        <w:gridCol w:w="146"/>
        <w:gridCol w:w="146"/>
        <w:gridCol w:w="191"/>
        <w:gridCol w:w="621"/>
        <w:gridCol w:w="146"/>
        <w:gridCol w:w="146"/>
        <w:gridCol w:w="199"/>
        <w:gridCol w:w="597"/>
        <w:gridCol w:w="291"/>
      </w:tblGrid>
      <w:tr>
        <w:trPr/>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Hornetsecurity Holding GmbH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3,362</w:t>
            </w:r>
            <w:r>
              <w:rPr>
                <w:rFonts w:ascii="Times New Roman" w:hAnsi="Times New Roman"/>
                <w:color w:val="000000"/>
                <w:sz w:val="20"/>
              </w:rPr>
              <w:t> </w:t>
            </w:r>
            <w:r>
              <w:rPr>
                <w:rFonts w:ascii="Times New Roman" w:hAnsi="Times New Roman"/>
                <w:b w:val="false"/>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11/14/2022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$ 3,213</w:t>
              <w:br/>
              <w:t>(EUR 3,011)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OutSystems Luxco SARL</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3,206</w:t>
            </w:r>
            <w:r>
              <w:rPr>
                <w:rFonts w:ascii="Times New Roman" w:hAnsi="Times New Roman"/>
                <w:color w:val="000000"/>
                <w:sz w:val="20"/>
              </w:rPr>
              <w:t> </w:t>
            </w:r>
            <w:r>
              <w:rPr>
                <w:rFonts w:ascii="Times New Roman" w:hAnsi="Times New Roman"/>
                <w:b w:val="false"/>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3,112</w:t>
              <w:br/>
              <w:t>(EUR 2,916)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Erling Lux Bidco SARL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7,726</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7,326</w:t>
              <w:br/>
              <w:t>(EUR 6,864)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12,291</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11,922</w:t>
              <w:br/>
              <w:t>(GBP 9,911)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BTRS Holdings,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($135,540</w:t>
            </w:r>
            <w:r>
              <w:rPr>
                <w:rFonts w:ascii="Times New Roman" w:hAnsi="Times New Roman"/>
                <w:color w:val="000000"/>
                <w:sz w:val="20"/>
              </w:rPr>
              <w:t> </w:t>
            </w:r>
            <w:r>
              <w:rPr>
                <w:rFonts w:ascii="Times New Roman" w:hAnsi="Times New Roman"/>
                <w:b w:val="false"/>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23.8</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Ping Identity Holding Corp.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($136,364</w:t>
            </w:r>
            <w:r>
              <w:rPr>
                <w:rFonts w:ascii="Times New Roman" w:hAnsi="Times New Roman"/>
                <w:color w:val="000000"/>
                <w:sz w:val="20"/>
              </w:rPr>
              <w:t> </w:t>
            </w:r>
            <w:r>
              <w:rPr>
                <w:rFonts w:ascii="Times New Roman" w:hAnsi="Times New Roman"/>
                <w:b w:val="false"/>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10/17/2022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262,154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bswift, LLC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($142,394</w:t>
            </w:r>
            <w:r>
              <w:rPr>
                <w:rFonts w:ascii="Times New Roman" w:hAnsi="Times New Roman"/>
                <w:color w:val="000000"/>
                <w:sz w:val="20"/>
              </w:rPr>
              <w:t> </w:t>
            </w:r>
            <w:r>
              <w:rPr>
                <w:rFonts w:ascii="Times New Roman" w:hAnsi="Times New Roman"/>
                <w:b w:val="false"/>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25.3</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SMA Technologies Holdings,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($5,667</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10/31/2022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Avalara, Inc.</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($136,364</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10/19/2022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24.1</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Bed Bath and Beyond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($100,000</w:t>
            </w:r>
            <w:r>
              <w:rPr>
                <w:rFonts w:ascii="Times New Roman" w:hAnsi="Times New Roman"/>
                <w:color w:val="000000"/>
                <w:sz w:val="20"/>
              </w:rPr>
              <w:t> </w:t>
            </w:r>
            <w:r>
              <w:rPr>
                <w:rFonts w:ascii="Times New Roman" w:hAnsi="Times New Roman"/>
                <w:b w:val="false"/>
                <w:color w:val="000000"/>
                <w:sz w:val="14"/>
              </w:rPr>
              <w:t>par, due 8/2027)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17.9</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Commercehub,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($150,000</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11/15/2022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236,896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237,875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801,223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bswift, LLC </w:t>
            </w:r>
            <w:r>
              <w:rPr>
                <w:rFonts w:ascii="Times New Roman" w:hAnsi="Times New Roman"/>
                <w:b w:val="false"/>
                <w:color w:val="000000"/>
                <w:sz w:val="9"/>
              </w:rPr>
              <w:t>(8)(10)</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(7,606,491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6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SMA Technologies Holdings, LLC </w:t>
            </w:r>
            <w:r>
              <w:rPr>
                <w:rFonts w:ascii="Times New Roman" w:hAnsi="Times New Roman"/>
                <w:b w:val="false"/>
                <w:color w:val="000000"/>
                <w:sz w:val="9"/>
              </w:rPr>
              <w:t>(8)(10)</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(200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B Units (142,038</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2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w:t>
              <w:br/>
              <w:t>   Investments</w:t>
            </w:r>
          </w:p>
        </w:tc>
        <w:tc>
          <w:tcPr>
            <w:tcW w:w="146" w:type="dxa"/>
            <w:tcBorders/>
            <w:shd w:fill="FFFFFF" w:val="clear"/>
            <w:vAlign w:val="center"/>
          </w:tcPr>
          <w:p>
            <w:pPr>
              <w:pStyle w:val="TableContents"/>
              <w:bidi w:val="0"/>
              <w:spacing w:before="0" w:after="283"/>
              <w:jc w:val="right"/>
              <w:rPr/>
            </w:pPr>
            <w:r>
              <w:rPr/>
              <w:t> </w:t>
            </w:r>
          </w:p>
        </w:tc>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62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vAlign w:val="center"/>
          </w:tcPr>
          <w:p>
            <w:pPr>
              <w:pStyle w:val="TableContents"/>
              <w:bidi w:val="0"/>
              <w:spacing w:before="0" w:after="283"/>
              <w:jc w:val="right"/>
              <w:rPr/>
            </w:pPr>
            <w:r>
              <w:rPr/>
              <w:t> </w:t>
            </w:r>
          </w:p>
        </w:tc>
        <w:tc>
          <w:tcPr>
            <w:tcW w:w="18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809,029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808,801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pPr>
      <w:r>
        <w:rPr>
          <w:rFonts w:ascii="Times New Roman" w:hAnsi="Times New Roman"/>
          <w:b w:val="false"/>
          <w:color w:val="000000"/>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such portfolio company. As of December 31, 2022, the Company does not “control” any of the portfolio companies. Also under the 1940 Act, the Company would be deemed to be an “Affiliated Person” of a portfolio company if the Company owns more than 5% of the portfolio company’s outstanding voting securities. As of December 31, 2022, the Company does not identify any of its portfolio companies as affiliates.</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pPr>
      <w:r>
        <w:rPr>
          <w:rFonts w:ascii="Times New Roman" w:hAnsi="Times New Roman"/>
          <w:b w:val="false"/>
          <w:color w:val="000000"/>
          <w:sz w:val="20"/>
        </w:rPr>
        <w:t>The amortized cost represents the original cost adjusted for the amortization of discounts and premiums, as applicable, on debt investments using the effective interest method.</w:t>
      </w:r>
      <w:r>
        <w:rPr>
          <w:color w:val="00000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contains a variable rate structure, subject to an interest rate floor. Variable rate investments bear interest at a rate that</w:t>
        <w:br/>
        <w:t xml:space="preserve">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2.3% of total assets as of December 31, 2022.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(6)</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5 for further information related to</w:t>
        <w:br/>
        <w:t>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(7)</w:t>
      </w:r>
    </w:p>
    <w:p>
      <w:pPr>
        <w:pStyle w:val="TextBody"/>
        <w:bidi w:val="0"/>
        <w:spacing w:before="0" w:after="0"/>
        <w:jc w:val="left"/>
        <w:rPr/>
      </w:pPr>
      <w:r>
        <w:rPr>
          <w:rFonts w:ascii="Times New Roman" w:hAnsi="Times New Roman"/>
          <w:b w:val="false"/>
          <w:color w:val="000000"/>
          <w:sz w:val="20"/>
        </w:rPr>
        <w:t>As of December 31, 2022, the estimated cost basis of investments for U.S. federal tax purposes was $810,241</w:t>
      </w:r>
      <w:r>
        <w:rPr>
          <w:color w:val="000000"/>
        </w:rPr>
        <w:t xml:space="preserve"> </w:t>
      </w:r>
      <w:r>
        <w:rPr>
          <w:rFonts w:ascii="Times New Roman" w:hAnsi="Times New Roman"/>
          <w:b w:val="false"/>
          <w:color w:val="000000"/>
          <w:sz w:val="20"/>
        </w:rPr>
        <w:t>resulting in estimated gross unrealized gains and losses of $2,806</w:t>
      </w:r>
      <w:r>
        <w:rPr>
          <w:color w:val="000000"/>
        </w:rPr>
        <w:t xml:space="preserve"> </w:t>
      </w:r>
      <w:r>
        <w:rPr>
          <w:rFonts w:ascii="Times New Roman" w:hAnsi="Times New Roman"/>
          <w:b w:val="false"/>
          <w:color w:val="000000"/>
          <w:sz w:val="20"/>
        </w:rPr>
        <w:t>and $5,681, respectfully.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(8)</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non-income producing.</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(9)</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Certain portfolio company investments are subject to contractual restrictions on sales.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(10)</w:t>
      </w:r>
    </w:p>
    <w:p>
      <w:pPr>
        <w:pStyle w:val="TextBody"/>
        <w:bidi w:val="0"/>
        <w:jc w:val="left"/>
        <w:rPr/>
      </w:pPr>
      <w:r>
        <w:rPr>
          <w:rFonts w:ascii="Times New Roman" w:hAnsi="Times New Roman"/>
          <w:b w:val="false"/>
          <w:color w:val="000000"/>
          <w:sz w:val="20"/>
        </w:rPr>
        <w:t>All or a portion of this security was acquired in a transaction exempt from registration under the Securities Act of 1933, as amended (the “Securities Act”), and may be deemed to be “restricted securities” under the Securities Act. As of December 31, 2022, the aggregate fair value of these securities is $7,806, or 1.4% of the Company’s net assets.</w:t>
      </w:r>
      <w:r>
        <w:rPr>
          <w:color w:val="000000"/>
        </w:rPr>
        <w:t xml:space="preserve">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consolidated_statements_changes_in_net_a"/>
      <w:bookmarkEnd w:id="7"/>
      <w:r>
        <w:rPr>
          <w:rFonts w:ascii="Times New Roman" w:hAnsi="Times New Roman"/>
          <w:b/>
          <w:color w:val="000000"/>
          <w:sz w:val="20"/>
        </w:rPr>
        <w:t>Consolidated Statements of Changes in Net Assets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494"/>
        <w:gridCol w:w="146"/>
        <w:gridCol w:w="146"/>
        <w:gridCol w:w="916"/>
        <w:gridCol w:w="146"/>
        <w:gridCol w:w="146"/>
        <w:gridCol w:w="206"/>
        <w:gridCol w:w="365"/>
        <w:gridCol w:w="146"/>
        <w:gridCol w:w="146"/>
        <w:gridCol w:w="210"/>
        <w:gridCol w:w="887"/>
        <w:gridCol w:w="146"/>
        <w:gridCol w:w="146"/>
        <w:gridCol w:w="281"/>
        <w:gridCol w:w="951"/>
        <w:gridCol w:w="166"/>
        <w:gridCol w:w="146"/>
        <w:gridCol w:w="196"/>
        <w:gridCol w:w="826"/>
        <w:gridCol w:w="393"/>
      </w:tblGrid>
      <w:tr>
        <w:trPr/>
        <w:tc>
          <w:tcPr>
            <w:tcW w:w="3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393" w:type="dxa"/>
            <w:tcBorders/>
            <w:shd w:fill="FFFFFF" w:val="clear"/>
            <w:vAlign w:val="center"/>
          </w:tcPr>
          <w:p>
            <w:pPr>
              <w:pStyle w:val="TableContents"/>
              <w:bidi w:val="0"/>
              <w:spacing w:before="0" w:after="283"/>
              <w:jc w:val="center"/>
              <w:rPr/>
            </w:pPr>
            <w:r>
              <w:rPr/>
              <w:t> </w:t>
            </w:r>
          </w:p>
        </w:tc>
      </w:tr>
      <w:tr>
        <w:trPr/>
        <w:tc>
          <w:tcPr>
            <w:tcW w:w="34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21,882,028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542,596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546,711</w:t>
            </w:r>
          </w:p>
        </w:tc>
        <w:tc>
          <w:tcPr>
            <w:tcW w:w="393" w:type="dxa"/>
            <w:tcBorders/>
            <w:shd w:fill="CFF0FC" w:val="clear"/>
            <w:vAlign w:val="center"/>
          </w:tcPr>
          <w:p>
            <w:pPr>
              <w:pStyle w:val="TableContents"/>
              <w:bidi w:val="0"/>
              <w:spacing w:before="0" w:after="283"/>
              <w:ind w:left="0" w:right="0" w:firstLine="100"/>
              <w:jc w:val="left"/>
              <w:rPr/>
            </w:pPr>
            <w:r>
              <w:rPr/>
              <w:t> </w:t>
            </w:r>
          </w:p>
        </w:tc>
      </w:tr>
      <w:tr>
        <w:trPr/>
        <w:tc>
          <w:tcPr>
            <w:tcW w:w="34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investment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15,115</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13,047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393" w:type="dxa"/>
            <w:tcBorders/>
            <w:shd w:fill="CFF0FC" w:val="clear"/>
            <w:vAlign w:val="center"/>
          </w:tcPr>
          <w:p>
            <w:pPr>
              <w:pStyle w:val="TableContents"/>
              <w:bidi w:val="0"/>
              <w:spacing w:before="0" w:after="283"/>
              <w:ind w:left="0" w:right="0" w:firstLine="100"/>
              <w:jc w:val="left"/>
              <w:rPr/>
            </w:pPr>
            <w:r>
              <w:rPr/>
              <w:t> </w:t>
            </w:r>
          </w:p>
        </w:tc>
      </w:tr>
      <w:tr>
        <w:trPr/>
        <w:tc>
          <w:tcPr>
            <w:tcW w:w="34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Increase (decrease) in net assets resulting from capital share transactions: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9,643,813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250,000</w:t>
            </w:r>
          </w:p>
        </w:tc>
        <w:tc>
          <w:tcPr>
            <w:tcW w:w="393" w:type="dxa"/>
            <w:tcBorders/>
            <w:shd w:fill="CFF0FC" w:val="clear"/>
            <w:vAlign w:val="center"/>
          </w:tcPr>
          <w:p>
            <w:pPr>
              <w:pStyle w:val="TableContents"/>
              <w:bidi w:val="0"/>
              <w:spacing w:before="0" w:after="283"/>
              <w:ind w:left="0" w:right="0" w:firstLine="100"/>
              <w:jc w:val="left"/>
              <w:rPr/>
            </w:pPr>
            <w:r>
              <w:rPr/>
              <w:t> </w:t>
            </w:r>
          </w:p>
        </w:tc>
      </w:tr>
      <w:tr>
        <w:trPr/>
        <w:tc>
          <w:tcPr>
            <w:tcW w:w="34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Dividends to shareholders:</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Dividends declared from 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(12,610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49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31,525,841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812,319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investment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32,421</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39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34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Increase (decrease) in net assets resulting from capital share transactions: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2,798,480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75,000</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34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Dividends to shareholders: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371,108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9,563</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Dividends declared from 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(23,246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49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34,695,429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877,146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906,467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investment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32,056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29,957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(510</w:t>
            </w:r>
          </w:p>
        </w:tc>
        <w:tc>
          <w:tcPr>
            <w:tcW w:w="39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34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Increase (decrease) in net assets resulting from capital share transactions: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5,387,887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149,995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150,000</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34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Dividends to shareholders:</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34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629,647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16,452</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4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Dividends declared from 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(27,277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49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40,712,963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1,043,592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1,107,145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47"/>
        <w:gridCol w:w="146"/>
        <w:gridCol w:w="146"/>
        <w:gridCol w:w="691"/>
        <w:gridCol w:w="146"/>
        <w:gridCol w:w="146"/>
        <w:gridCol w:w="196"/>
        <w:gridCol w:w="375"/>
        <w:gridCol w:w="146"/>
        <w:gridCol w:w="146"/>
        <w:gridCol w:w="256"/>
        <w:gridCol w:w="832"/>
        <w:gridCol w:w="146"/>
        <w:gridCol w:w="146"/>
        <w:gridCol w:w="360"/>
        <w:gridCol w:w="958"/>
        <w:gridCol w:w="151"/>
        <w:gridCol w:w="146"/>
        <w:gridCol w:w="181"/>
        <w:gridCol w:w="586"/>
        <w:gridCol w:w="358"/>
      </w:tblGrid>
      <w:tr>
        <w:trPr/>
        <w:tc>
          <w:tcPr>
            <w:tcW w:w="3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9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18"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 </w:t>
            </w:r>
          </w:p>
        </w:tc>
      </w:tr>
      <w:tr>
        <w:trPr/>
        <w:tc>
          <w:tcPr>
            <w:tcW w:w="39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April 5, 2022 (Inception)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358" w:type="dxa"/>
            <w:tcBorders/>
            <w:shd w:fill="CFF0FC" w:val="clear"/>
            <w:vAlign w:val="center"/>
          </w:tcPr>
          <w:p>
            <w:pPr>
              <w:pStyle w:val="TableContents"/>
              <w:bidi w:val="0"/>
              <w:spacing w:before="0" w:after="283"/>
              <w:ind w:left="0" w:right="0" w:firstLine="80"/>
              <w:jc w:val="left"/>
              <w:rPr/>
            </w:pPr>
            <w:r>
              <w:rPr/>
              <w:t> </w:t>
            </w:r>
          </w:p>
        </w:tc>
      </w:tr>
      <w:tr>
        <w:trPr/>
        <w:tc>
          <w:tcPr>
            <w:tcW w:w="394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8"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394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investment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(943</w:t>
            </w:r>
          </w:p>
        </w:tc>
        <w:tc>
          <w:tcPr>
            <w:tcW w:w="358"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394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394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358" w:type="dxa"/>
            <w:tcBorders/>
            <w:shd w:fill="CFF0FC" w:val="clear"/>
            <w:vAlign w:val="center"/>
          </w:tcPr>
          <w:p>
            <w:pPr>
              <w:pStyle w:val="TableContents"/>
              <w:bidi w:val="0"/>
              <w:spacing w:before="0" w:after="283"/>
              <w:ind w:left="0" w:right="0" w:firstLine="80"/>
              <w:jc w:val="left"/>
              <w:rPr/>
            </w:pPr>
            <w:r>
              <w:rPr/>
              <w:t> </w:t>
            </w:r>
          </w:p>
        </w:tc>
      </w:tr>
      <w:tr>
        <w:trPr/>
        <w:tc>
          <w:tcPr>
            <w:tcW w:w="394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Increase (decrease) in Net Assets Resulting from Capital Share Transactions:</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8"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394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(913</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w:t>
            </w:r>
          </w:p>
        </w:tc>
      </w:tr>
      <w:tr>
        <w:trPr/>
        <w:tc>
          <w:tcPr>
            <w:tcW w:w="3947"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8"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ind w:left="0" w:right="0" w:firstLine="160"/>
              <w:jc w:val="left"/>
              <w:rPr/>
            </w:pPr>
            <w:r>
              <w:rPr/>
              <w:t> </w:t>
            </w:r>
          </w:p>
        </w:tc>
      </w:tr>
      <w:tr>
        <w:trPr/>
        <w:tc>
          <w:tcPr>
            <w:tcW w:w="394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investment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(707</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(707</w:t>
            </w:r>
          </w:p>
        </w:tc>
        <w:tc>
          <w:tcPr>
            <w:tcW w:w="358"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394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432</w:t>
            </w:r>
          </w:p>
        </w:tc>
        <w:tc>
          <w:tcPr>
            <w:tcW w:w="358" w:type="dxa"/>
            <w:tcBorders/>
            <w:shd w:fill="CFF0FC" w:val="clear"/>
            <w:vAlign w:val="center"/>
          </w:tcPr>
          <w:p>
            <w:pPr>
              <w:pStyle w:val="TableContents"/>
              <w:bidi w:val="0"/>
              <w:spacing w:before="0" w:after="283"/>
              <w:ind w:left="0" w:right="0" w:firstLine="160"/>
              <w:jc w:val="left"/>
              <w:rPr/>
            </w:pPr>
            <w:r>
              <w:rPr/>
              <w:t> </w:t>
            </w:r>
          </w:p>
        </w:tc>
      </w:tr>
      <w:tr>
        <w:trPr/>
        <w:tc>
          <w:tcPr>
            <w:tcW w:w="394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w:t>
            </w:r>
          </w:p>
        </w:tc>
        <w:tc>
          <w:tcPr>
            <w:tcW w:w="358" w:type="dxa"/>
            <w:tcBorders/>
            <w:shd w:fill="FFFFFF" w:val="clear"/>
            <w:vAlign w:val="center"/>
          </w:tcPr>
          <w:p>
            <w:pPr>
              <w:pStyle w:val="TableContents"/>
              <w:bidi w:val="0"/>
              <w:spacing w:before="0" w:after="283"/>
              <w:ind w:left="0" w:right="0" w:firstLine="80"/>
              <w:jc w:val="left"/>
              <w:rPr>
                <w:rFonts w:ascii="Times New Roman" w:hAnsi="Times New Roman"/>
                <w:b w:val="false"/>
                <w:color w:val="000000"/>
                <w:sz w:val="14"/>
              </w:rPr>
            </w:pPr>
            <w:r>
              <w:rPr>
                <w:rFonts w:ascii="Times New Roman" w:hAnsi="Times New Roman"/>
                <w:b w:val="false"/>
                <w:color w:val="000000"/>
                <w:sz w:val="14"/>
              </w:rPr>
              <w:t>)</w:t>
            </w:r>
          </w:p>
        </w:tc>
      </w:tr>
      <w:tr>
        <w:trPr/>
        <w:tc>
          <w:tcPr>
            <w:tcW w:w="3947"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Increase (decrease) in Net Assets Resulting from Capital Share Transactions:</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8"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ind w:left="0" w:right="0" w:firstLine="160"/>
              <w:jc w:val="left"/>
              <w:rPr/>
            </w:pPr>
            <w:r>
              <w:rPr/>
              <w:t> </w:t>
            </w:r>
          </w:p>
        </w:tc>
      </w:tr>
      <w:tr>
        <w:trPr/>
        <w:tc>
          <w:tcPr>
            <w:tcW w:w="394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Shares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7,286,600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180,500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180,572</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7,287,800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180,529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179,328</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consolidated_statements_cash_flows"/>
      <w:bookmarkEnd w:id="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290"/>
        <w:gridCol w:w="146"/>
        <w:gridCol w:w="252"/>
        <w:gridCol w:w="1188"/>
        <w:gridCol w:w="166"/>
        <w:gridCol w:w="146"/>
        <w:gridCol w:w="481"/>
        <w:gridCol w:w="1922"/>
        <w:gridCol w:w="614"/>
      </w:tblGrid>
      <w:tr>
        <w:trPr/>
        <w:tc>
          <w:tcPr>
            <w:tcW w:w="5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2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40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614" w:type="dxa"/>
            <w:tcBorders/>
            <w:shd w:fill="FFFFFF" w:val="clear"/>
            <w:vAlign w:val="center"/>
          </w:tcPr>
          <w:p>
            <w:pPr>
              <w:pStyle w:val="TableContents"/>
              <w:bidi w:val="0"/>
              <w:spacing w:before="0" w:after="283"/>
              <w:jc w:val="center"/>
              <w:rPr/>
            </w:pPr>
            <w:r>
              <w:rPr/>
              <w:t> </w:t>
            </w:r>
          </w:p>
        </w:tc>
      </w:tr>
      <w:tr>
        <w:trPr/>
        <w:tc>
          <w:tcPr>
            <w:tcW w:w="52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14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3" w:type="dxa"/>
            <w:gridSpan w:val="2"/>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122,553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w:t>
            </w:r>
          </w:p>
        </w:tc>
        <w:tc>
          <w:tcPr>
            <w:tcW w:w="6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Adjustments to reconcile increase (decrease) in net assets resulting from operations </w:t>
              <w:br/>
              <w:t>   to 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14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03"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400"/>
              <w:jc w:val="right"/>
              <w:rPr/>
            </w:pPr>
            <w:r>
              <w:rPr/>
              <w:t> </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change in unrealized (gains) losses on investments</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(40,669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change in unrealized (gains) losses on foreign currency transactions</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realized (gains) losses on foreign currency transactions</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amortization of discount on investments</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deferred financing costs</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Purchases and originations of investments, net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(1,255,854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(104,148</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Repayments on investments</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52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righ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03"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400"/>
              <w:jc w:val="righ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receivable</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receivable paid-in-kind</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Management fees payable to affiliate</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Incentive fees on net investment income payable to affiliate</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Incentive fees on net capital gains accrued to affiliate</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payables to affiliate</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(1,119,252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(104,007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03"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5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Borrowings on debt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1,971,405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217,370</w:t>
            </w:r>
          </w:p>
        </w:tc>
        <w:tc>
          <w:tcPr>
            <w:tcW w:w="614" w:type="dxa"/>
            <w:tcBorders/>
            <w:shd w:fill="CFF0FC"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on debt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(1,075,000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5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financing costs</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(2,596</w:t>
            </w:r>
          </w:p>
        </w:tc>
        <w:tc>
          <w:tcPr>
            <w:tcW w:w="6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 paid to shareholders</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5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 calls</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180,602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1,352,888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395,376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291,369</w:t>
            </w:r>
          </w:p>
        </w:tc>
        <w:tc>
          <w:tcPr>
            <w:tcW w:w="614" w:type="dxa"/>
            <w:tcBorders/>
            <w:shd w:fill="CFF0FC"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beginning of period</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291,369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Information:</w:t>
            </w:r>
          </w:p>
        </w:tc>
        <w:tc>
          <w:tcPr>
            <w:tcW w:w="146" w:type="dxa"/>
            <w:tcBorders/>
            <w:shd w:fill="FFFFFF" w:val="clear"/>
            <w:vAlign w:val="center"/>
          </w:tcPr>
          <w:p>
            <w:pPr>
              <w:pStyle w:val="TableContents"/>
              <w:bidi w:val="0"/>
              <w:spacing w:before="0" w:after="283"/>
              <w:jc w:val="righ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03"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400"/>
              <w:jc w:val="righ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paid during the period</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2"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Excise and other taxes paid during the period</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529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Dividends declared during the period</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2"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5290"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03"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5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Financing Activities:</w:t>
            </w:r>
          </w:p>
        </w:tc>
        <w:tc>
          <w:tcPr>
            <w:tcW w:w="146" w:type="dxa"/>
            <w:tcBorders/>
            <w:shd w:fill="CFF0FC" w:val="clear"/>
            <w:vAlign w:val="center"/>
          </w:tcPr>
          <w:p>
            <w:pPr>
              <w:pStyle w:val="TableContents"/>
              <w:bidi w:val="0"/>
              <w:spacing w:before="0" w:after="283"/>
              <w:jc w:val="right"/>
              <w:rPr/>
            </w:pPr>
            <w:r>
              <w:rPr/>
              <w:t> </w:t>
            </w:r>
          </w:p>
        </w:tc>
        <w:tc>
          <w:tcPr>
            <w:tcW w:w="14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03"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400"/>
              <w:jc w:val="right"/>
              <w:rPr/>
            </w:pPr>
            <w:r>
              <w:rPr/>
              <w:t> </w:t>
            </w:r>
          </w:p>
        </w:tc>
      </w:tr>
      <w:tr>
        <w:trPr/>
        <w:tc>
          <w:tcPr>
            <w:tcW w:w="529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Reinvestment of dividends during the period</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2"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intends to elect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completed its initial closing of Capital Commitments and commenced its loan origination and investment activities on August 31, 2022 (“Commencement of Operations”), the date of receipt of the initial drawdown from investors in the Private Offering.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2022, which was filed with the Securities and Exchange Commission (“SEC”), on February 17,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b w:val="false"/>
          <w:i/>
          <w:color w:val="000000"/>
          <w:sz w:val="20"/>
        </w:rPr>
        <w:t>Financial Services – Investment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fiscal year ends on December 31.</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Board undertakes a multi-step valuation process, which includes, among other procedures,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conducts this valuation process on a quarterly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Board has engaged independent third-party valuation firms to perform certain limited procedures that the Board has identified and requested them to perform in connection with the valuation process. At September 30,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Company applies Financial Accounting Standards Board Accounting Standards Codification Topic 820, </w:t>
      </w:r>
      <w:r>
        <w:rPr>
          <w:rFonts w:ascii="Times New Roman" w:hAnsi="Times New Roman"/>
          <w:b w:val="false"/>
          <w:i/>
          <w:color w:val="000000"/>
          <w:sz w:val="20"/>
        </w:rPr>
        <w:t xml:space="preserve">Fair Value Measurement </w:t>
      </w:r>
      <w:r>
        <w:rPr>
          <w:rFonts w:ascii="Times New Roman" w:hAnsi="Times New Roman"/>
          <w:b w:val="false"/>
          <w:color w:val="000000"/>
          <w:sz w:val="20"/>
        </w:rPr>
        <w:t>(“ASC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3—Valuations based on inputs that are unobservable and significant to the overall fair value measurement.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Foreign currency amounts are translated into U.S. dollars on the following basis: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Organization and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there were no expenses borne by the Adviser subject to future recoupment. As of September 30, 2022, the Company incurred $0.3</w:t>
      </w:r>
      <w:r>
        <w:rPr>
          <w:rFonts w:ascii="Times New Roman" w:hAnsi="Times New Roman"/>
          <w:color w:val="000000"/>
          <w:sz w:val="20"/>
        </w:rPr>
        <w:t xml:space="preserve"> </w:t>
      </w:r>
      <w:r>
        <w:rPr>
          <w:rFonts w:ascii="Times New Roman" w:hAnsi="Times New Roman"/>
          <w:b w:val="false"/>
          <w:color w:val="000000"/>
          <w:sz w:val="20"/>
        </w:rPr>
        <w:t>million of organization and offering costs in excess of 0.10% of the Company’s total Capital Commitments, all of which have been borne by the Adviser and is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Unless providing services in connection with an investment, such as syndication, structuring or diligence, all or a portion of any loan fees received by the Company will be deferred and amortized over the investment’s life using the effective interest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Other Income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earnings per share (“EPS”) amounts have been computed based on the weighted-average number of shares of Common Shares outstanding for the period. Basic EPS is computed by dividing net increase (decrease) in net assets resulting from operations by the weighted average number of shares of Common Shares outstanding during the period.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intends to elect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the Company recorded a net expense of $0.4</w:t>
      </w:r>
      <w:r>
        <w:rPr>
          <w:rFonts w:ascii="Times New Roman" w:hAnsi="Times New Roman"/>
          <w:color w:val="000000"/>
          <w:sz w:val="20"/>
        </w:rPr>
        <w:t xml:space="preserve"> </w:t>
      </w:r>
      <w:r>
        <w:rPr>
          <w:rFonts w:ascii="Times New Roman" w:hAnsi="Times New Roman"/>
          <w:b w:val="false"/>
          <w:color w:val="000000"/>
          <w:sz w:val="20"/>
        </w:rPr>
        <w:t>million and $1.1</w:t>
      </w:r>
      <w:r>
        <w:rPr>
          <w:rFonts w:ascii="Times New Roman" w:hAnsi="Times New Roman"/>
          <w:color w:val="000000"/>
          <w:sz w:val="20"/>
        </w:rPr>
        <w:t xml:space="preserve"> </w:t>
      </w:r>
      <w:r>
        <w:rPr>
          <w:rFonts w:ascii="Times New Roman" w:hAnsi="Times New Roman"/>
          <w:b w:val="false"/>
          <w:color w:val="000000"/>
          <w:sz w:val="20"/>
        </w:rPr>
        <w:t>million, respectively, for U.S. federal excise tax and other taxes. For the three months ended September 30, 2022 and from April 5, 2022 (Inception) through September 30, 2022, the Company recorded no</w:t>
      </w:r>
      <w:r>
        <w:rPr>
          <w:rFonts w:ascii="Times New Roman" w:hAnsi="Times New Roman"/>
          <w:color w:val="000000"/>
          <w:sz w:val="20"/>
        </w:rPr>
        <w:t xml:space="preserve"> </w:t>
      </w:r>
      <w:r>
        <w:rPr>
          <w:rFonts w:ascii="Times New Roman" w:hAnsi="Times New Roman"/>
          <w:b w:val="false"/>
          <w:color w:val="000000"/>
          <w:sz w:val="20"/>
        </w:rPr>
        <w:t>net expense for U.S. federal excise tax and other taxes.</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Dividends to Common Shareholders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10 for further information related to dividends.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Recent Accounting Standards and Regulatory Updates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 in Topic 848. ASU 2022-06 is effective for all entities in scope upon issuance of ASU 2022-06. The adoption of this guidance did not have a material impact on the Company’s financial position, result of operations or cash flows.</w:t>
      </w:r>
    </w:p>
    <w:p>
      <w:pPr>
        <w:pStyle w:val="TextBody"/>
        <w:bidi w:val="0"/>
        <w:spacing w:before="36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2, 2023, the Board renewed the Administration Agreement. Unless earlier terminated as described below, the Administration Agreement will remain in effect until November 2, 2024, and may be extended subject to required approvals. The Administration Agreement may be terminated by either party without penalty on 60 days’ written notice to the other party.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the Company has incurred $0.8</w:t>
      </w:r>
      <w:r>
        <w:rPr>
          <w:rFonts w:ascii="Times New Roman" w:hAnsi="Times New Roman"/>
          <w:color w:val="000000"/>
          <w:sz w:val="20"/>
        </w:rPr>
        <w:t xml:space="preserve"> </w:t>
      </w:r>
      <w:r>
        <w:rPr>
          <w:rFonts w:ascii="Times New Roman" w:hAnsi="Times New Roman"/>
          <w:b w:val="false"/>
          <w:color w:val="000000"/>
          <w:sz w:val="20"/>
        </w:rPr>
        <w:t>million and $1.8</w:t>
      </w:r>
      <w:r>
        <w:rPr>
          <w:rFonts w:ascii="Times New Roman" w:hAnsi="Times New Roman"/>
          <w:color w:val="000000"/>
          <w:sz w:val="20"/>
        </w:rPr>
        <w:t xml:space="preserve"> </w:t>
      </w:r>
      <w:r>
        <w:rPr>
          <w:rFonts w:ascii="Times New Roman" w:hAnsi="Times New Roman"/>
          <w:b w:val="false"/>
          <w:color w:val="000000"/>
          <w:sz w:val="20"/>
        </w:rPr>
        <w:t>million, respectively, for administrative services payable to the Adviser under the terms of the Administration Agreement, which is included in other general and administrative expenses in the Consolidated Statements of Operations. For the three months ended September 30, 2022 and from April 5, 2022 (Inception) through September 30, 2022, the Company incurred expenses of $0.1</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for administrative services payable to the Adviser under the terms of the Administrative Agreement.</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(the“Incentive Fee”).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Management Fees (gross of waivers) were $7.1</w:t>
      </w:r>
      <w:r>
        <w:rPr>
          <w:rFonts w:ascii="Times New Roman" w:hAnsi="Times New Roman"/>
          <w:color w:val="000000"/>
          <w:sz w:val="20"/>
        </w:rPr>
        <w:t xml:space="preserve"> </w:t>
      </w:r>
      <w:r>
        <w:rPr>
          <w:rFonts w:ascii="Times New Roman" w:hAnsi="Times New Roman"/>
          <w:b w:val="false"/>
          <w:color w:val="000000"/>
          <w:sz w:val="20"/>
        </w:rPr>
        <w:t>million and $16.6</w:t>
      </w:r>
      <w:r>
        <w:rPr>
          <w:rFonts w:ascii="Times New Roman" w:hAnsi="Times New Roman"/>
          <w:color w:val="000000"/>
          <w:sz w:val="20"/>
        </w:rPr>
        <w:t xml:space="preserve"> </w:t>
      </w:r>
      <w:r>
        <w:rPr>
          <w:rFonts w:ascii="Times New Roman" w:hAnsi="Times New Roman"/>
          <w:b w:val="false"/>
          <w:color w:val="000000"/>
          <w:sz w:val="20"/>
        </w:rPr>
        <w:t>million, respectively. For the three months ended September 30, 2022 and from April 5, 2022 (Inception) through September 30, 2022, Management Fees (gross of waivers) were $0.4</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and nine months ended September 30, 2023, Management Fees of $4.9</w:t>
      </w:r>
      <w:r>
        <w:rPr>
          <w:rFonts w:ascii="Times New Roman" w:hAnsi="Times New Roman"/>
          <w:color w:val="000000"/>
          <w:sz w:val="20"/>
        </w:rPr>
        <w:t xml:space="preserve"> </w:t>
      </w:r>
      <w:r>
        <w:rPr>
          <w:rFonts w:ascii="Times New Roman" w:hAnsi="Times New Roman"/>
          <w:b w:val="false"/>
          <w:color w:val="000000"/>
          <w:sz w:val="20"/>
        </w:rPr>
        <w:t>million and $11.0</w:t>
      </w:r>
      <w:r>
        <w:rPr>
          <w:rFonts w:ascii="Times New Roman" w:hAnsi="Times New Roman"/>
          <w:color w:val="000000"/>
          <w:sz w:val="20"/>
        </w:rPr>
        <w:t xml:space="preserve"> </w:t>
      </w:r>
      <w:r>
        <w:rPr>
          <w:rFonts w:ascii="Times New Roman" w:hAnsi="Times New Roman"/>
          <w:b w:val="false"/>
          <w:color w:val="000000"/>
          <w:sz w:val="20"/>
        </w:rPr>
        <w:t>million, respectively, have been waived. For the three months ended September 30, 2022 and from April 5, 2022 (Inception) through September 30, 2022, Management Fees of $0.4</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respectively, have been waived. Any waived Management Fees are not subject to recoupment by the Adviser.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Incentive Fee consists of two parts, as follows: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Incentive Fees on net investment income were $5.1</w:t>
      </w:r>
      <w:r>
        <w:rPr>
          <w:rFonts w:ascii="Times New Roman" w:hAnsi="Times New Roman"/>
          <w:color w:val="000000"/>
          <w:sz w:val="20"/>
        </w:rPr>
        <w:t xml:space="preserve"> </w:t>
      </w:r>
      <w:r>
        <w:rPr>
          <w:rFonts w:ascii="Times New Roman" w:hAnsi="Times New Roman"/>
          <w:b w:val="false"/>
          <w:color w:val="000000"/>
          <w:sz w:val="20"/>
        </w:rPr>
        <w:t>million and $12.1</w:t>
      </w:r>
      <w:r>
        <w:rPr>
          <w:rFonts w:ascii="Times New Roman" w:hAnsi="Times New Roman"/>
          <w:color w:val="000000"/>
          <w:sz w:val="20"/>
        </w:rPr>
        <w:t xml:space="preserve"> </w:t>
      </w:r>
      <w:r>
        <w:rPr>
          <w:rFonts w:ascii="Times New Roman" w:hAnsi="Times New Roman"/>
          <w:b w:val="false"/>
          <w:color w:val="000000"/>
          <w:sz w:val="20"/>
        </w:rPr>
        <w:t>million, respectively. For the three months ended September 30, 2022 and from April 5, 2022 (Inception) through September 30, 2022, the Company recorded no</w:t>
      </w:r>
      <w:r>
        <w:rPr>
          <w:rFonts w:ascii="Times New Roman" w:hAnsi="Times New Roman"/>
          <w:color w:val="000000"/>
          <w:sz w:val="20"/>
        </w:rPr>
        <w:t xml:space="preserve"> </w:t>
      </w:r>
      <w:r>
        <w:rPr>
          <w:rFonts w:ascii="Times New Roman" w:hAnsi="Times New Roman"/>
          <w:b w:val="false"/>
          <w:color w:val="000000"/>
          <w:sz w:val="20"/>
        </w:rPr>
        <w:t>Incentive Fee on net investment income. For the three and nine months ended September 30, 2023 Incentive Fees on Capital Gains were $3.7</w:t>
      </w:r>
      <w:r>
        <w:rPr>
          <w:rFonts w:ascii="Times New Roman" w:hAnsi="Times New Roman"/>
          <w:color w:val="000000"/>
          <w:sz w:val="20"/>
        </w:rPr>
        <w:t xml:space="preserve"> </w:t>
      </w:r>
      <w:r>
        <w:rPr>
          <w:rFonts w:ascii="Times New Roman" w:hAnsi="Times New Roman"/>
          <w:b w:val="false"/>
          <w:color w:val="000000"/>
          <w:sz w:val="20"/>
        </w:rPr>
        <w:t>million and $5.2</w:t>
      </w:r>
      <w:r>
        <w:rPr>
          <w:rFonts w:ascii="Times New Roman" w:hAnsi="Times New Roman"/>
          <w:color w:val="000000"/>
          <w:sz w:val="20"/>
        </w:rPr>
        <w:t xml:space="preserve"> </w:t>
      </w:r>
      <w:r>
        <w:rPr>
          <w:rFonts w:ascii="Times New Roman" w:hAnsi="Times New Roman"/>
          <w:b w:val="false"/>
          <w:color w:val="000000"/>
          <w:sz w:val="20"/>
        </w:rPr>
        <w:t>million, respectively. For the three months ended September 30, 2022 and from April 5, 2022 (Inception) through September 30, 2022, Incentive Fees on Capital Gains were less than $0.1</w:t>
      </w:r>
      <w:r>
        <w:rPr>
          <w:rFonts w:ascii="Times New Roman" w:hAnsi="Times New Roman"/>
          <w:color w:val="000000"/>
          <w:sz w:val="20"/>
        </w:rPr>
        <w:t xml:space="preserve"> </w:t>
      </w:r>
      <w:r>
        <w:rPr>
          <w:rFonts w:ascii="Times New Roman" w:hAnsi="Times New Roman"/>
          <w:b w:val="false"/>
          <w:color w:val="000000"/>
          <w:sz w:val="20"/>
        </w:rPr>
        <w:t>million and less than $0.1</w:t>
      </w:r>
      <w:r>
        <w:rPr>
          <w:rFonts w:ascii="Times New Roman" w:hAnsi="Times New Roman"/>
          <w:color w:val="000000"/>
          <w:sz w:val="20"/>
        </w:rPr>
        <w:t xml:space="preserve"> </w:t>
      </w:r>
      <w:r>
        <w:rPr>
          <w:rFonts w:ascii="Times New Roman" w:hAnsi="Times New Roman"/>
          <w:b w:val="false"/>
          <w:color w:val="000000"/>
          <w:sz w:val="20"/>
        </w:rPr>
        <w:t>million, respectively. As of September 30, 2023, the Capital Gains Fees accrued are not contractually payable to the Adviser.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November 2, 2023, the Board renewed the Investment Advisory Agreement. Unless earlier terminated as described below, the Investment Advisory Agreement will remain in effect until November 2, 2024, and may be extended subject to required approvals. The Investment Advisory Agreement will automatically terminate in the event of an assignment and may be terminated by either party without penalty on 60 days’ written notice to the other party.</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Expense Support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w:t>
      </w:r>
      <w:r>
        <w:rPr>
          <w:rFonts w:ascii="Times New Roman" w:hAnsi="Times New Roman"/>
          <w:color w:val="000000"/>
          <w:sz w:val="20"/>
        </w:rPr>
        <w:t xml:space="preserve"> </w:t>
      </w:r>
      <w:r>
        <w:rPr>
          <w:rFonts w:ascii="Times New Roman" w:hAnsi="Times New Roman"/>
          <w:b w:val="false"/>
          <w:color w:val="000000"/>
          <w:sz w:val="20"/>
        </w:rPr>
        <w:t>and December 31, 2022, the Adviser had not provided any written commitments for Expense Payments. The Company has not made any Reimbursement Payments to the Adviser.</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Investments at fair value consisted of the following at September 30, 2023 and December 31, 2022:</w:t>
      </w:r>
    </w:p>
    <w:p>
      <w:pPr>
        <w:pStyle w:val="TextBody"/>
        <w:bidi w:val="0"/>
        <w:jc w:val="left"/>
        <w:rPr/>
      </w:pPr>
      <w:r>
        <w:rPr/>
        <w:t> </w:t>
      </w:r>
    </w:p>
    <w:tbl>
      <w:tblPr>
        <w:tblW w:w="7364" w:type="dxa"/>
        <w:jc w:val="left"/>
        <w:tblInd w:w="0" w:type="dxa"/>
        <w:tblLayout w:type="fixed"/>
        <w:tblCellMar>
          <w:top w:w="28" w:type="dxa"/>
          <w:left w:w="28" w:type="dxa"/>
          <w:bottom w:w="28" w:type="dxa"/>
          <w:right w:w="28" w:type="dxa"/>
        </w:tblCellMar>
      </w:tblPr>
      <w:tblGrid>
        <w:gridCol w:w="2506"/>
        <w:gridCol w:w="146"/>
        <w:gridCol w:w="260"/>
        <w:gridCol w:w="1150"/>
        <w:gridCol w:w="146"/>
        <w:gridCol w:w="146"/>
        <w:gridCol w:w="211"/>
        <w:gridCol w:w="931"/>
        <w:gridCol w:w="146"/>
        <w:gridCol w:w="146"/>
        <w:gridCol w:w="282"/>
        <w:gridCol w:w="903"/>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1,877,359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1,916,510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39,151</w:t>
            </w:r>
          </w:p>
        </w:tc>
        <w:tc>
          <w:tcPr>
            <w:tcW w:w="3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1,290</w:t>
            </w:r>
          </w:p>
        </w:tc>
        <w:tc>
          <w:tcPr>
            <w:tcW w:w="3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2,007,948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2,048,389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14" w:type="dxa"/>
        <w:jc w:val="left"/>
        <w:tblInd w:w="0" w:type="dxa"/>
        <w:tblLayout w:type="fixed"/>
        <w:tblCellMar>
          <w:top w:w="28" w:type="dxa"/>
          <w:left w:w="28" w:type="dxa"/>
          <w:bottom w:w="28" w:type="dxa"/>
          <w:right w:w="28" w:type="dxa"/>
        </w:tblCellMar>
      </w:tblPr>
      <w:tblGrid>
        <w:gridCol w:w="2506"/>
        <w:gridCol w:w="146"/>
        <w:gridCol w:w="300"/>
        <w:gridCol w:w="1110"/>
        <w:gridCol w:w="146"/>
        <w:gridCol w:w="146"/>
        <w:gridCol w:w="211"/>
        <w:gridCol w:w="781"/>
        <w:gridCol w:w="146"/>
        <w:gridCol w:w="146"/>
        <w:gridCol w:w="361"/>
        <w:gridCol w:w="824"/>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industry composition of investments at fair value at September 30, 2023 and December 31, 2022:</w:t>
      </w:r>
      <w:r>
        <w:rPr>
          <w:rFonts w:ascii="Times New Roman" w:hAnsi="Times New Roman"/>
          <w:color w:val="000000"/>
          <w:sz w:val="20"/>
        </w:rPr>
        <w:t xml:space="preserve"> </w:t>
      </w:r>
    </w:p>
    <w:tbl>
      <w:tblPr>
        <w:tblW w:w="7035" w:type="dxa"/>
        <w:jc w:val="left"/>
        <w:tblInd w:w="0" w:type="dxa"/>
        <w:tblLayout w:type="fixed"/>
        <w:tblCellMar>
          <w:top w:w="28" w:type="dxa"/>
          <w:left w:w="28" w:type="dxa"/>
          <w:bottom w:w="28" w:type="dxa"/>
          <w:right w:w="28" w:type="dxa"/>
        </w:tblCellMar>
      </w:tblPr>
      <w:tblGrid>
        <w:gridCol w:w="2911"/>
        <w:gridCol w:w="146"/>
        <w:gridCol w:w="314"/>
        <w:gridCol w:w="1231"/>
        <w:gridCol w:w="271"/>
        <w:gridCol w:w="1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Automotive</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Business Services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Chemicals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Communications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Services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Healthcare</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Human Resource Support Services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Insurance</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Internet Services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Manufacturing</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Oil, Gas and Consumable Fuels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Retail and Consumer Products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51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b w:val="false"/>
          <w:color w:val="000000"/>
          <w:sz w:val="20"/>
        </w:rPr>
        <w:t>The geographic composition of investments at fair value at September 30, 2023 and December 31, 2022:</w:t>
      </w:r>
      <w:r>
        <w:rPr>
          <w:rFonts w:ascii="Times New Roman" w:hAnsi="Times New Roman"/>
          <w:color w:val="000000"/>
          <w:sz w:val="20"/>
        </w:rPr>
        <w:t xml:space="preserve"> </w:t>
      </w:r>
    </w:p>
    <w:tbl>
      <w:tblPr>
        <w:tblW w:w="5610" w:type="dxa"/>
        <w:jc w:val="left"/>
        <w:tblInd w:w="0" w:type="dxa"/>
        <w:tblLayout w:type="fixed"/>
        <w:tblCellMar>
          <w:top w:w="28" w:type="dxa"/>
          <w:left w:w="28" w:type="dxa"/>
          <w:bottom w:w="28" w:type="dxa"/>
          <w:right w:w="28" w:type="dxa"/>
        </w:tblCellMar>
      </w:tblPr>
      <w:tblGrid>
        <w:gridCol w:w="1486"/>
        <w:gridCol w:w="146"/>
        <w:gridCol w:w="314"/>
        <w:gridCol w:w="1231"/>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Midwest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Northeast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South</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West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Finland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Germany</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Luxembourg</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Netherlands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Norway</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Kingdom</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Value rounds to less than 0.1%</w:t>
      </w:r>
    </w:p>
    <w:p>
      <w:pPr>
        <w:pStyle w:val="TextBody"/>
        <w:bidi w:val="0"/>
        <w:spacing w:before="360" w:after="283"/>
        <w:jc w:val="left"/>
        <w:rPr>
          <w:rFonts w:ascii="Times New Roman" w:hAnsi="Times New Roman"/>
          <w:sz w:val="20"/>
        </w:rPr>
      </w:pPr>
      <w:r>
        <w:rPr>
          <w:rFonts w:ascii="Times New Roman" w:hAnsi="Times New Roman"/>
          <w:b/>
          <w:color w:val="000000"/>
          <w:sz w:val="20"/>
        </w:rPr>
        <w:t>5.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present fair value measurements of investments as of September 30, 2023 and December 31, 2022:</w:t>
      </w:r>
      <w:r>
        <w:rPr>
          <w:rFonts w:ascii="Times New Roman" w:hAnsi="Times New Roman"/>
          <w:color w:val="000000"/>
          <w:sz w:val="20"/>
        </w:rPr>
        <w:t xml:space="preserve"> </w:t>
      </w:r>
    </w:p>
    <w:tbl>
      <w:tblPr>
        <w:tblW w:w="7615" w:type="dxa"/>
        <w:jc w:val="left"/>
        <w:tblInd w:w="0" w:type="dxa"/>
        <w:tblLayout w:type="fixed"/>
        <w:tblCellMar>
          <w:top w:w="28" w:type="dxa"/>
          <w:left w:w="28" w:type="dxa"/>
          <w:bottom w:w="28" w:type="dxa"/>
          <w:right w:w="28" w:type="dxa"/>
        </w:tblCellMar>
      </w:tblPr>
      <w:tblGrid>
        <w:gridCol w:w="2506"/>
        <w:gridCol w:w="146"/>
        <w:gridCol w:w="239"/>
        <w:gridCol w:w="391"/>
        <w:gridCol w:w="146"/>
        <w:gridCol w:w="146"/>
        <w:gridCol w:w="211"/>
        <w:gridCol w:w="571"/>
        <w:gridCol w:w="146"/>
        <w:gridCol w:w="146"/>
        <w:gridCol w:w="211"/>
        <w:gridCol w:w="931"/>
        <w:gridCol w:w="146"/>
        <w:gridCol w:w="146"/>
        <w:gridCol w:w="211"/>
        <w:gridCol w:w="931"/>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1,915,102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1,916,510</w:t>
            </w:r>
          </w:p>
        </w:tc>
        <w:tc>
          <w:tcPr>
            <w:tcW w:w="3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101,620</w:t>
            </w:r>
          </w:p>
        </w:tc>
        <w:tc>
          <w:tcPr>
            <w:tcW w:w="3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2,046,858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2,048,389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63" w:type="dxa"/>
        <w:jc w:val="left"/>
        <w:tblInd w:w="0" w:type="dxa"/>
        <w:tblLayout w:type="fixed"/>
        <w:tblCellMar>
          <w:top w:w="28" w:type="dxa"/>
          <w:left w:w="28" w:type="dxa"/>
          <w:bottom w:w="28" w:type="dxa"/>
          <w:right w:w="28" w:type="dxa"/>
        </w:tblCellMar>
      </w:tblPr>
      <w:tblGrid>
        <w:gridCol w:w="2506"/>
        <w:gridCol w:w="146"/>
        <w:gridCol w:w="239"/>
        <w:gridCol w:w="391"/>
        <w:gridCol w:w="146"/>
        <w:gridCol w:w="146"/>
        <w:gridCol w:w="239"/>
        <w:gridCol w:w="391"/>
        <w:gridCol w:w="146"/>
        <w:gridCol w:w="146"/>
        <w:gridCol w:w="211"/>
        <w:gridCol w:w="781"/>
        <w:gridCol w:w="146"/>
        <w:gridCol w:w="146"/>
        <w:gridCol w:w="211"/>
        <w:gridCol w:w="781"/>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800,995</w:t>
            </w:r>
          </w:p>
        </w:tc>
        <w:tc>
          <w:tcPr>
            <w:tcW w:w="3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808,801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Transfers between levels, if any, are recognized at the beginning of the quarter in which the transfers occur.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The following tables present the changes in the fair value of investments for which Level 3 inputs were used to determine the fair value as of and for the three and nine months ended September 30, 2023:</w:t>
      </w:r>
      <w:r>
        <w:rPr>
          <w:rFonts w:ascii="Times New Roman" w:hAnsi="Times New Roman"/>
          <w:color w:val="000000"/>
          <w:sz w:val="20"/>
        </w:rPr>
        <w:t xml:space="preserve"> </w:t>
      </w:r>
    </w:p>
    <w:tbl>
      <w:tblPr>
        <w:tblW w:w="9166" w:type="dxa"/>
        <w:jc w:val="left"/>
        <w:tblInd w:w="0" w:type="dxa"/>
        <w:tblLayout w:type="fixed"/>
        <w:tblCellMar>
          <w:top w:w="28" w:type="dxa"/>
          <w:left w:w="28" w:type="dxa"/>
          <w:bottom w:w="28" w:type="dxa"/>
          <w:right w:w="28" w:type="dxa"/>
        </w:tblCellMar>
      </w:tblPr>
      <w:tblGrid>
        <w:gridCol w:w="3511"/>
        <w:gridCol w:w="146"/>
        <w:gridCol w:w="211"/>
        <w:gridCol w:w="931"/>
        <w:gridCol w:w="166"/>
        <w:gridCol w:w="146"/>
        <w:gridCol w:w="211"/>
        <w:gridCol w:w="781"/>
        <w:gridCol w:w="146"/>
        <w:gridCol w:w="146"/>
        <w:gridCol w:w="225"/>
        <w:gridCol w:w="721"/>
        <w:gridCol w:w="146"/>
        <w:gridCol w:w="146"/>
        <w:gridCol w:w="211"/>
        <w:gridCol w:w="931"/>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18"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1,640,479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1,758,911</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276,420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285,997</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(32,389</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4,740</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26,032</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3,567</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1,915,102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2,046,858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66" w:type="dxa"/>
        <w:jc w:val="left"/>
        <w:tblInd w:w="0" w:type="dxa"/>
        <w:tblLayout w:type="fixed"/>
        <w:tblCellMar>
          <w:top w:w="28" w:type="dxa"/>
          <w:left w:w="28" w:type="dxa"/>
          <w:bottom w:w="28" w:type="dxa"/>
          <w:right w:w="28" w:type="dxa"/>
        </w:tblCellMar>
      </w:tblPr>
      <w:tblGrid>
        <w:gridCol w:w="3511"/>
        <w:gridCol w:w="146"/>
        <w:gridCol w:w="211"/>
        <w:gridCol w:w="931"/>
        <w:gridCol w:w="166"/>
        <w:gridCol w:w="146"/>
        <w:gridCol w:w="211"/>
        <w:gridCol w:w="781"/>
        <w:gridCol w:w="146"/>
        <w:gridCol w:w="146"/>
        <w:gridCol w:w="225"/>
        <w:gridCol w:w="721"/>
        <w:gridCol w:w="146"/>
        <w:gridCol w:w="146"/>
        <w:gridCol w:w="211"/>
        <w:gridCol w:w="931"/>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18"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808,801</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1,254,325</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(71,126</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5,539</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40,665</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8,654</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1,915,102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2,046,858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following table presents the changes in the fair value of investments for which Level 3 inputs were used to determine the fair value as of and for the three months ended September 30, 2022 and from April 5, 2022 (Inception) through September 30, 2022:</w:t>
      </w:r>
    </w:p>
    <w:tbl>
      <w:tblPr>
        <w:tblW w:w="6926" w:type="dxa"/>
        <w:jc w:val="left"/>
        <w:tblInd w:w="0" w:type="dxa"/>
        <w:tblLayout w:type="fixed"/>
        <w:tblCellMar>
          <w:top w:w="28" w:type="dxa"/>
          <w:left w:w="28" w:type="dxa"/>
          <w:bottom w:w="28" w:type="dxa"/>
          <w:right w:w="28" w:type="dxa"/>
        </w:tblCellMar>
      </w:tblPr>
      <w:tblGrid>
        <w:gridCol w:w="3511"/>
        <w:gridCol w:w="146"/>
        <w:gridCol w:w="267"/>
        <w:gridCol w:w="988"/>
        <w:gridCol w:w="184"/>
        <w:gridCol w:w="184"/>
        <w:gridCol w:w="267"/>
        <w:gridCol w:w="988"/>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righ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104,148</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104,148</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104,455</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tbl>
      <w:tblPr>
        <w:tblW w:w="7030" w:type="dxa"/>
        <w:jc w:val="left"/>
        <w:tblInd w:w="0" w:type="dxa"/>
        <w:tblLayout w:type="fixed"/>
        <w:tblCellMar>
          <w:top w:w="28" w:type="dxa"/>
          <w:left w:w="28" w:type="dxa"/>
          <w:bottom w:w="28" w:type="dxa"/>
          <w:right w:w="28" w:type="dxa"/>
        </w:tblCellMar>
      </w:tblPr>
      <w:tblGrid>
        <w:gridCol w:w="3511"/>
        <w:gridCol w:w="146"/>
        <w:gridCol w:w="276"/>
        <w:gridCol w:w="1024"/>
        <w:gridCol w:w="191"/>
        <w:gridCol w:w="191"/>
        <w:gridCol w:w="276"/>
        <w:gridCol w:w="1024"/>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3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right"/>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104,148</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104,148</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val="false"/>
          <w:color w:val="000000"/>
          <w:sz w:val="20"/>
        </w:rPr>
        <w:t>The following tables present information with respect to the net change in unrealized gains or losses on investments for which Level 3 inputs were used in determining fair value that are still held by the Company at September 30, 2023 and 2022:</w:t>
      </w:r>
      <w:r>
        <w:rPr>
          <w:rFonts w:ascii="Times New Roman" w:hAnsi="Times New Roman"/>
          <w:color w:val="000000"/>
          <w:sz w:val="20"/>
        </w:rPr>
        <w:t xml:space="preserve"> </w:t>
      </w:r>
    </w:p>
    <w:tbl>
      <w:tblPr>
        <w:tblW w:w="7625" w:type="dxa"/>
        <w:jc w:val="left"/>
        <w:tblInd w:w="0" w:type="dxa"/>
        <w:tblLayout w:type="fixed"/>
        <w:tblCellMar>
          <w:top w:w="28" w:type="dxa"/>
          <w:left w:w="28" w:type="dxa"/>
          <w:bottom w:w="28" w:type="dxa"/>
          <w:right w:w="28" w:type="dxa"/>
        </w:tblCellMar>
      </w:tblPr>
      <w:tblGrid>
        <w:gridCol w:w="2506"/>
        <w:gridCol w:w="146"/>
        <w:gridCol w:w="510"/>
        <w:gridCol w:w="1635"/>
        <w:gridCol w:w="146"/>
        <w:gridCol w:w="146"/>
        <w:gridCol w:w="714"/>
        <w:gridCol w:w="1431"/>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 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 on</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5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3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FFFFFF" w:val="clear"/>
            <w:vAlign w:val="center"/>
          </w:tcPr>
          <w:p>
            <w:pPr>
              <w:pStyle w:val="TableContents"/>
              <w:bidi w:val="0"/>
              <w:spacing w:before="0" w:after="283"/>
              <w:jc w:val="right"/>
              <w:rPr/>
            </w:pPr>
            <w:r>
              <w:rPr/>
              <w:t> </w:t>
            </w:r>
          </w:p>
        </w:tc>
        <w:tc>
          <w:tcPr>
            <w:tcW w:w="510" w:type="dxa"/>
            <w:tcBorders/>
            <w:shd w:fill="FFFFFF" w:val="clear"/>
            <w:vAlign w:val="center"/>
          </w:tcPr>
          <w:p>
            <w:pPr>
              <w:pStyle w:val="TableContents"/>
              <w:bidi w:val="0"/>
              <w:spacing w:before="0" w:after="283"/>
              <w:jc w:val="left"/>
              <w:rPr/>
            </w:pPr>
            <w:r>
              <w:rPr/>
              <w:t> </w:t>
            </w:r>
          </w:p>
        </w:tc>
        <w:tc>
          <w:tcPr>
            <w:tcW w:w="16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506"/>
        <w:gridCol w:w="146"/>
        <w:gridCol w:w="488"/>
        <w:gridCol w:w="1567"/>
        <w:gridCol w:w="146"/>
        <w:gridCol w:w="146"/>
        <w:gridCol w:w="978"/>
        <w:gridCol w:w="1962"/>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 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 on</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4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3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FFFFFF" w:val="clear"/>
            <w:vAlign w:val="center"/>
          </w:tcPr>
          <w:p>
            <w:pPr>
              <w:pStyle w:val="TableContents"/>
              <w:bidi w:val="0"/>
              <w:spacing w:before="0" w:after="283"/>
              <w:jc w:val="right"/>
              <w:rPr/>
            </w:pPr>
            <w:r>
              <w:rPr/>
              <w:t> </w:t>
            </w:r>
          </w:p>
        </w:tc>
        <w:tc>
          <w:tcPr>
            <w:tcW w:w="488"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78"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the fair value of Level 3 Investments at fair value and the significant unobservable inputs used in the valuations as of September 30, 2023 and December 31, 2022. The tables are not intended to be all-inclusive, but instead capture the significant unobservable inputs relevant to the Company’s determination of fair values.</w:t>
      </w:r>
    </w:p>
    <w:tbl>
      <w:tblPr>
        <w:tblW w:w="10205" w:type="dxa"/>
        <w:jc w:val="left"/>
        <w:tblInd w:w="0" w:type="dxa"/>
        <w:tblLayout w:type="fixed"/>
        <w:tblCellMar>
          <w:top w:w="28" w:type="dxa"/>
          <w:left w:w="28" w:type="dxa"/>
          <w:bottom w:w="28" w:type="dxa"/>
          <w:right w:w="28" w:type="dxa"/>
        </w:tblCellMar>
      </w:tblPr>
      <w:tblGrid>
        <w:gridCol w:w="2076"/>
        <w:gridCol w:w="146"/>
        <w:gridCol w:w="196"/>
        <w:gridCol w:w="826"/>
        <w:gridCol w:w="146"/>
        <w:gridCol w:w="146"/>
        <w:gridCol w:w="1281"/>
        <w:gridCol w:w="146"/>
        <w:gridCol w:w="1536"/>
        <w:gridCol w:w="146"/>
        <w:gridCol w:w="1847"/>
        <w:gridCol w:w="146"/>
        <w:gridCol w:w="1567"/>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8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r>
      <w:tr>
        <w:trPr/>
        <w:tc>
          <w:tcPr>
            <w:tcW w:w="2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84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7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First-lien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1,915,102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approach</w:t>
            </w:r>
          </w:p>
        </w:tc>
        <w:tc>
          <w:tcPr>
            <w:tcW w:w="146" w:type="dxa"/>
            <w:tcBorders/>
            <w:shd w:fill="CFF0FC" w:val="clear"/>
            <w:vAlign w:val="center"/>
          </w:tcPr>
          <w:p>
            <w:pPr>
              <w:pStyle w:val="TableContents"/>
              <w:bidi w:val="0"/>
              <w:spacing w:before="0" w:after="283"/>
              <w:jc w:val="left"/>
              <w:rPr/>
            </w:pPr>
            <w:r>
              <w:rPr/>
              <w:t> </w:t>
            </w:r>
          </w:p>
        </w:tc>
        <w:tc>
          <w:tcPr>
            <w:tcW w:w="15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847"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9.8% — 17.5% (12.9%)</w:t>
            </w:r>
          </w:p>
        </w:tc>
        <w:tc>
          <w:tcPr>
            <w:tcW w:w="146" w:type="dxa"/>
            <w:tcBorders/>
            <w:shd w:fill="CFF0FC" w:val="clear"/>
            <w:vAlign w:val="center"/>
          </w:tcPr>
          <w:p>
            <w:pPr>
              <w:pStyle w:val="TableContents"/>
              <w:bidi w:val="0"/>
              <w:spacing w:before="0" w:after="283"/>
              <w:jc w:val="left"/>
              <w:rPr/>
            </w:pPr>
            <w:r>
              <w:rPr/>
              <w:t> </w:t>
            </w:r>
          </w:p>
        </w:tc>
        <w:tc>
          <w:tcPr>
            <w:tcW w:w="15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7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Mezzanine debt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approach</w:t>
            </w:r>
          </w:p>
        </w:tc>
        <w:tc>
          <w:tcPr>
            <w:tcW w:w="146"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FFFFFF" w:val="clear"/>
            <w:vAlign w:val="center"/>
          </w:tcPr>
          <w:p>
            <w:pPr>
              <w:pStyle w:val="TableContents"/>
              <w:bidi w:val="0"/>
              <w:spacing w:before="0" w:after="283"/>
              <w:jc w:val="left"/>
              <w:rPr/>
            </w:pPr>
            <w:r>
              <w:rPr/>
              <w:t> </w:t>
            </w:r>
          </w:p>
        </w:tc>
        <w:tc>
          <w:tcPr>
            <w:tcW w:w="1847"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15.0% — 15.0% (15.0%)</w:t>
            </w:r>
          </w:p>
        </w:tc>
        <w:tc>
          <w:tcPr>
            <w:tcW w:w="146"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7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 and other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Market</w:t>
            </w:r>
            <w:r>
              <w:rPr>
                <w:rFonts w:ascii="Times New Roman" w:hAnsi="Times New Roman"/>
                <w:color w:val="000000"/>
                <w:sz w:val="18"/>
              </w:rPr>
              <w:t xml:space="preserve"> </w:t>
            </w:r>
            <w:r>
              <w:rPr>
                <w:rFonts w:ascii="Times New Roman" w:hAnsi="Times New Roman"/>
                <w:b w:val="false"/>
                <w:color w:val="000000"/>
                <w:sz w:val="18"/>
              </w:rPr>
              <w:t>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Comparable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2.6x — 14.2x (10.4x)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Increase</w:t>
            </w:r>
          </w:p>
        </w:tc>
      </w:tr>
      <w:tr>
        <w:trPr/>
        <w:tc>
          <w:tcPr>
            <w:tcW w:w="207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2,046,858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5"/>
        <w:gridCol w:w="146"/>
        <w:gridCol w:w="196"/>
        <w:gridCol w:w="691"/>
        <w:gridCol w:w="146"/>
        <w:gridCol w:w="146"/>
        <w:gridCol w:w="1308"/>
        <w:gridCol w:w="146"/>
        <w:gridCol w:w="1563"/>
        <w:gridCol w:w="146"/>
        <w:gridCol w:w="1820"/>
        <w:gridCol w:w="146"/>
        <w:gridCol w:w="1606"/>
      </w:tblGrid>
      <w:tr>
        <w:trPr/>
        <w:tc>
          <w:tcPr>
            <w:tcW w:w="2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14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1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214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820"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14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1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First-lien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800,995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approach</w:t>
            </w:r>
          </w:p>
        </w:tc>
        <w:tc>
          <w:tcPr>
            <w:tcW w:w="146" w:type="dxa"/>
            <w:tcBorders/>
            <w:shd w:fill="CFF0FC" w:val="clear"/>
            <w:vAlign w:val="center"/>
          </w:tcPr>
          <w:p>
            <w:pPr>
              <w:pStyle w:val="TableContents"/>
              <w:bidi w:val="0"/>
              <w:spacing w:before="0" w:after="283"/>
              <w:jc w:val="left"/>
              <w:rPr/>
            </w:pPr>
            <w:r>
              <w:rPr/>
              <w:t> </w:t>
            </w:r>
          </w:p>
        </w:tc>
        <w:tc>
          <w:tcPr>
            <w:tcW w:w="156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820"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9.3% — 15.1% (13.1%)</w:t>
            </w:r>
          </w:p>
        </w:tc>
        <w:tc>
          <w:tcPr>
            <w:tcW w:w="146" w:type="dxa"/>
            <w:tcBorders/>
            <w:shd w:fill="CFF0FC" w:val="clear"/>
            <w:vAlign w:val="center"/>
          </w:tcPr>
          <w:p>
            <w:pPr>
              <w:pStyle w:val="TableContents"/>
              <w:bidi w:val="0"/>
              <w:spacing w:before="0" w:after="283"/>
              <w:jc w:val="left"/>
              <w:rPr/>
            </w:pPr>
            <w:r>
              <w:rPr/>
              <w:t> </w:t>
            </w:r>
          </w:p>
        </w:tc>
        <w:tc>
          <w:tcPr>
            <w:tcW w:w="16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14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 and other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Market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5.8x — 13.5x (13.3x)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Increase</w:t>
            </w:r>
          </w:p>
        </w:tc>
      </w:tr>
      <w:tr>
        <w:trPr/>
        <w:tc>
          <w:tcPr>
            <w:tcW w:w="2145"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808,801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6"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val="false"/>
          <w:color w:val="000000"/>
          <w:sz w:val="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fair value of the Company’s Credit Facilities, which are categorized as Level 3 within the fair value hierarchy, as of September 30, 2023 and December 31, 2022, approximates their carrying value as the outstanding balance is callable at carrying value.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Other Financial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fair value hierarchy, cash and cash equivalents are classified as Level 1 while the Company’s other assets and liabilities, other than investments at fair value and Credit Facilities, are classified as Level 2.</w:t>
      </w:r>
    </w:p>
    <w:p>
      <w:pPr>
        <w:pStyle w:val="TextBody"/>
        <w:bidi w:val="0"/>
        <w:spacing w:before="360" w:after="283"/>
        <w:jc w:val="left"/>
        <w:rPr>
          <w:rFonts w:ascii="Times New Roman" w:hAnsi="Times New Roman"/>
          <w:sz w:val="20"/>
        </w:rPr>
      </w:pPr>
      <w:r>
        <w:rPr>
          <w:rFonts w:ascii="Times New Roman" w:hAnsi="Times New Roman"/>
          <w:b/>
          <w:color w:val="000000"/>
          <w:sz w:val="20"/>
        </w:rPr>
        <w:t>6. Debt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Subscription Facility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1, 2022 (the “Subscription Facility Closing Date”), the Company entered into a revolving credit agreement (the “Subscription Facility”) with Wells Fargo Bank, National Association, as administrative agent (the “Administrative Agent”), letter of credit issuer, lead arranger and as a lender.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2022, aggregate commitments under the facility were $400</w:t>
      </w:r>
      <w:r>
        <w:rPr>
          <w:rFonts w:ascii="Times New Roman" w:hAnsi="Times New Roman"/>
          <w:color w:val="000000"/>
          <w:sz w:val="20"/>
        </w:rPr>
        <w:t xml:space="preserve"> </w:t>
      </w:r>
      <w:r>
        <w:rPr>
          <w:rFonts w:ascii="Times New Roman" w:hAnsi="Times New Roman"/>
          <w:b w:val="false"/>
          <w:color w:val="000000"/>
          <w:sz w:val="20"/>
        </w:rPr>
        <w:t>million. Pursuant to an amendment to the Subscription Facility dated as of December 21, 2022 (the “Subscription Facility First Amendment”), the aggregate commitments under the Subscription Facility were increased to $700</w:t>
      </w:r>
      <w:r>
        <w:rPr>
          <w:rFonts w:ascii="Times New Roman" w:hAnsi="Times New Roman"/>
          <w:color w:val="000000"/>
          <w:sz w:val="20"/>
        </w:rPr>
        <w:t xml:space="preserve"> </w:t>
      </w:r>
      <w:r>
        <w:rPr>
          <w:rFonts w:ascii="Times New Roman" w:hAnsi="Times New Roman"/>
          <w:b w:val="false"/>
          <w:color w:val="000000"/>
          <w:sz w:val="20"/>
        </w:rPr>
        <w:t>million. Pursuant to lender joinder agreements dated January 18, 2023 and January 27, 2023, the aggregate commitments under the Subscription Facility were increased to $800</w:t>
      </w:r>
      <w:r>
        <w:rPr>
          <w:rFonts w:ascii="Times New Roman" w:hAnsi="Times New Roman"/>
          <w:color w:val="000000"/>
          <w:sz w:val="20"/>
        </w:rPr>
        <w:t xml:space="preserve"> </w:t>
      </w:r>
      <w:r>
        <w:rPr>
          <w:rFonts w:ascii="Times New Roman" w:hAnsi="Times New Roman"/>
          <w:b w:val="false"/>
          <w:color w:val="000000"/>
          <w:sz w:val="20"/>
        </w:rPr>
        <w:t>million and $850</w:t>
      </w:r>
      <w:r>
        <w:rPr>
          <w:rFonts w:ascii="Times New Roman" w:hAnsi="Times New Roman"/>
          <w:color w:val="000000"/>
          <w:sz w:val="20"/>
        </w:rPr>
        <w:t xml:space="preserve"> </w:t>
      </w:r>
      <w:r>
        <w:rPr>
          <w:rFonts w:ascii="Times New Roman" w:hAnsi="Times New Roman"/>
          <w:b w:val="false"/>
          <w:color w:val="000000"/>
          <w:sz w:val="20"/>
        </w:rPr>
        <w:t>million, respectively. Pursuant to lender joinder agreements dated March 28, 2023, the aggregate commitments under the Subscription Facility were increased to $1.3</w:t>
      </w:r>
      <w:r>
        <w:rPr>
          <w:rFonts w:ascii="Times New Roman" w:hAnsi="Times New Roman"/>
          <w:color w:val="000000"/>
          <w:sz w:val="20"/>
        </w:rPr>
        <w:t xml:space="preserve"> </w:t>
      </w:r>
      <w:r>
        <w:rPr>
          <w:rFonts w:ascii="Times New Roman" w:hAnsi="Times New Roman"/>
          <w:b w:val="false"/>
          <w:color w:val="000000"/>
          <w:sz w:val="20"/>
        </w:rPr>
        <w:t>billion. Pursuant to a lender joinder agreement dated April 27, 2023, the aggregate commitments under the Subscription Facility were increased to $1.35</w:t>
      </w:r>
      <w:r>
        <w:rPr>
          <w:rFonts w:ascii="Times New Roman" w:hAnsi="Times New Roman"/>
          <w:color w:val="000000"/>
          <w:sz w:val="20"/>
        </w:rPr>
        <w:t xml:space="preserve"> </w:t>
      </w:r>
      <w:r>
        <w:rPr>
          <w:rFonts w:ascii="Times New Roman" w:hAnsi="Times New Roman"/>
          <w:b w:val="false"/>
          <w:color w:val="000000"/>
          <w:sz w:val="20"/>
        </w:rPr>
        <w:t>billion (the “Maximum Commitment”).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Subscription Facility will mature upon the earliest of: (i) August 30, 2024</w:t>
      </w:r>
      <w:r>
        <w:rPr>
          <w:rFonts w:ascii="Times New Roman" w:hAnsi="Times New Roman"/>
          <w:color w:val="000000"/>
          <w:sz w:val="20"/>
        </w:rPr>
        <w:t xml:space="preserve"> </w:t>
      </w:r>
      <w:r>
        <w:rPr>
          <w:rFonts w:ascii="Times New Roman" w:hAnsi="Times New Roman"/>
          <w:b w:val="false"/>
          <w:color w:val="000000"/>
          <w:sz w:val="20"/>
        </w:rPr>
        <w:t>(the “Subscription Facility Stated Maturity”);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may borrow amounts in U.S. dollars or certain other permitted currencies. As of September 30, 2023, the Company had outstanding debt denominated in British pounds (GBP) of 10.3</w:t>
      </w:r>
      <w:r>
        <w:rPr>
          <w:rFonts w:ascii="Times New Roman" w:hAnsi="Times New Roman"/>
          <w:color w:val="000000"/>
          <w:sz w:val="20"/>
        </w:rPr>
        <w:t xml:space="preserve"> </w:t>
      </w:r>
      <w:r>
        <w:rPr>
          <w:rFonts w:ascii="Times New Roman" w:hAnsi="Times New Roman"/>
          <w:b w:val="false"/>
          <w:color w:val="000000"/>
          <w:sz w:val="20"/>
        </w:rPr>
        <w:t>million and Euros (EUR) of 13.4</w:t>
      </w:r>
      <w:r>
        <w:rPr>
          <w:rFonts w:ascii="Times New Roman" w:hAnsi="Times New Roman"/>
          <w:color w:val="000000"/>
          <w:sz w:val="20"/>
        </w:rPr>
        <w:t xml:space="preserve"> </w:t>
      </w:r>
      <w:r>
        <w:rPr>
          <w:rFonts w:ascii="Times New Roman" w:hAnsi="Times New Roman"/>
          <w:b w:val="false"/>
          <w:color w:val="000000"/>
          <w:sz w:val="20"/>
        </w:rPr>
        <w:t>million on its Subscription Facility, included in the outstanding principal amount in the table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Subscription Facility also provides for the issuance of letters of credit up to an aggregate amount of 10% of the Maximum Commitment. As of September 30, 2023, the Company had no</w:t>
      </w:r>
      <w:r>
        <w:rPr>
          <w:rFonts w:ascii="Times New Roman" w:hAnsi="Times New Roman"/>
          <w:color w:val="000000"/>
          <w:sz w:val="20"/>
        </w:rPr>
        <w:t xml:space="preserve"> </w:t>
      </w:r>
      <w:r>
        <w:rPr>
          <w:rFonts w:ascii="Times New Roman" w:hAnsi="Times New Roman"/>
          <w:b w:val="false"/>
          <w:color w:val="000000"/>
          <w:sz w:val="20"/>
        </w:rPr>
        <w:t>outstanding letters of credit issued through the Subscription Facility. The amount available for borrowing under the Subscription Facility is reduced by any letters of credit issued through the Subscription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Subscription Facility includes customary events of default, as well as customary covenants, including restrictions on certain distributions and financial covenants.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the Company was in compliance with the terms of the Subscription Facility.</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Revolving Credit Facility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aggregate commitments under the facility were $600</w:t>
      </w:r>
      <w:r>
        <w:rPr>
          <w:rFonts w:ascii="Times New Roman" w:hAnsi="Times New Roman"/>
          <w:color w:val="000000"/>
          <w:sz w:val="20"/>
        </w:rPr>
        <w:t xml:space="preserve"> </w:t>
      </w:r>
      <w:r>
        <w:rPr>
          <w:rFonts w:ascii="Times New Roman" w:hAnsi="Times New Roman"/>
          <w:b w:val="false"/>
          <w:color w:val="000000"/>
          <w:sz w:val="20"/>
        </w:rPr>
        <w:t>million and included an uncommitted accordion feature that allows the Company, under certain circumstances, to increase the size of the facility up to $1</w:t>
      </w:r>
      <w:r>
        <w:rPr>
          <w:rFonts w:ascii="Times New Roman" w:hAnsi="Times New Roman"/>
          <w:color w:val="000000"/>
          <w:sz w:val="20"/>
        </w:rPr>
        <w:t xml:space="preserve"> </w:t>
      </w:r>
      <w:r>
        <w:rPr>
          <w:rFonts w:ascii="Times New Roman" w:hAnsi="Times New Roman"/>
          <w:b w:val="false"/>
          <w:color w:val="000000"/>
          <w:sz w:val="20"/>
        </w:rPr>
        <w:t>billion. On February 28, 2023, the aggregate commitments under the facility were upsized to $700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On July 27, 2023, the aggregate commitments under the facility were upsized to $725</w:t>
      </w:r>
      <w:r>
        <w:rPr>
          <w:rFonts w:ascii="Times New Roman" w:hAnsi="Times New Roman"/>
          <w:color w:val="000000"/>
          <w:sz w:val="20"/>
        </w:rPr>
        <w:t xml:space="preserve"> </w:t>
      </w:r>
      <w:r>
        <w:rPr>
          <w:rFonts w:ascii="Times New Roman" w:hAnsi="Times New Roman"/>
          <w:b w:val="false"/>
          <w:color w:val="000000"/>
          <w:sz w:val="20"/>
        </w:rPr>
        <w:t>million. The Revolving Credit Facility will mature on January 19, 2028</w:t>
      </w:r>
      <w:r>
        <w:rPr>
          <w:rFonts w:ascii="Times New Roman" w:hAnsi="Times New Roman"/>
          <w:color w:val="000000"/>
          <w:sz w:val="20"/>
        </w:rPr>
        <w:t xml:space="preserve"> </w:t>
      </w:r>
      <w:r>
        <w:rPr>
          <w:rFonts w:ascii="Times New Roman" w:hAnsi="Times New Roman"/>
          <w:b w:val="false"/>
          <w:color w:val="000000"/>
          <w:sz w:val="20"/>
        </w:rPr>
        <w:t>(the “Revolving Credit Facility Maturity Date”). The Company may borrow amounts in U.S. dollars or certain other permitted currencies.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may borrow amounts in U.S. dollars or certain other permitted currencies. As of September 30, 2023, the Company had outstanding debt denominated in British pounds (GBP) of 68.7</w:t>
      </w:r>
      <w:r>
        <w:rPr>
          <w:rFonts w:ascii="Times New Roman" w:hAnsi="Times New Roman"/>
          <w:color w:val="000000"/>
          <w:sz w:val="20"/>
        </w:rPr>
        <w:t xml:space="preserve"> </w:t>
      </w:r>
      <w:r>
        <w:rPr>
          <w:rFonts w:ascii="Times New Roman" w:hAnsi="Times New Roman"/>
          <w:b w:val="false"/>
          <w:color w:val="000000"/>
          <w:sz w:val="20"/>
        </w:rPr>
        <w:t>million and Euros (EUR) 28.0</w:t>
      </w:r>
      <w:r>
        <w:rPr>
          <w:rFonts w:ascii="Times New Roman" w:hAnsi="Times New Roman"/>
          <w:color w:val="000000"/>
          <w:sz w:val="20"/>
        </w:rPr>
        <w:t xml:space="preserve"> </w:t>
      </w:r>
      <w:r>
        <w:rPr>
          <w:rFonts w:ascii="Times New Roman" w:hAnsi="Times New Roman"/>
          <w:b w:val="false"/>
          <w:color w:val="000000"/>
          <w:sz w:val="20"/>
        </w:rPr>
        <w:t>million on its Revolving Credit Facility, included in the outstanding principal amount in the table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Revolving Credit Facility also provides for the issuance of letters of credit up to an aggregate amount of $175</w:t>
      </w:r>
      <w:r>
        <w:rPr>
          <w:rFonts w:ascii="Times New Roman" w:hAnsi="Times New Roman"/>
          <w:color w:val="000000"/>
          <w:sz w:val="20"/>
        </w:rPr>
        <w:t xml:space="preserve"> </w:t>
      </w:r>
      <w:r>
        <w:rPr>
          <w:rFonts w:ascii="Times New Roman" w:hAnsi="Times New Roman"/>
          <w:b w:val="false"/>
          <w:color w:val="000000"/>
          <w:sz w:val="20"/>
        </w:rPr>
        <w:t>million. As of September 30, 2023, the Company</w:t>
      </w:r>
      <w:r>
        <w:rPr>
          <w:rFonts w:ascii="Times New Roman" w:hAnsi="Times New Roman"/>
          <w:color w:val="000000"/>
          <w:sz w:val="20"/>
        </w:rPr>
        <w:t xml:space="preserve"> </w:t>
      </w:r>
      <w:r>
        <w:rPr>
          <w:rFonts w:ascii="Times New Roman" w:hAnsi="Times New Roman"/>
          <w:b w:val="false"/>
          <w:color w:val="000000"/>
          <w:sz w:val="20"/>
        </w:rPr>
        <w:t>had $4.8</w:t>
      </w:r>
      <w:r>
        <w:rPr>
          <w:rFonts w:ascii="Times New Roman" w:hAnsi="Times New Roman"/>
          <w:color w:val="000000"/>
          <w:sz w:val="20"/>
        </w:rPr>
        <w:t xml:space="preserve"> </w:t>
      </w:r>
      <w:r>
        <w:rPr>
          <w:rFonts w:ascii="Times New Roman" w:hAnsi="Times New Roman"/>
          <w:b w:val="false"/>
          <w:color w:val="000000"/>
          <w:sz w:val="20"/>
        </w:rPr>
        <w:t>million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Revolving Credit Facility includes customary events of default (with customary cure and notice provisions).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accordance with the 1940 Act, with certain limitations, the Company is allowed to borrow amounts such that its asset coverage, as defined in the 1940 Act, is at least 150% after such borrowing. As of September 30, 2023 and December 31, 2022, the Company's asset coverage was 177.3%</w:t>
      </w:r>
      <w:r>
        <w:rPr>
          <w:rFonts w:ascii="Times New Roman" w:hAnsi="Times New Roman"/>
          <w:color w:val="000000"/>
          <w:sz w:val="20"/>
        </w:rPr>
        <w:t xml:space="preserve"> </w:t>
      </w:r>
      <w:r>
        <w:rPr>
          <w:rFonts w:ascii="Times New Roman" w:hAnsi="Times New Roman"/>
          <w:b w:val="false"/>
          <w:color w:val="000000"/>
          <w:sz w:val="20"/>
        </w:rPr>
        <w:t>and 201.6%,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Debt obligations consisted of the following as of September 30, 2023 and December 31, 2022:</w:t>
      </w:r>
      <w:r>
        <w:rPr>
          <w:rFonts w:ascii="Times New Roman" w:hAnsi="Times New Roman"/>
          <w:color w:val="000000"/>
          <w:sz w:val="20"/>
        </w:rPr>
        <w:t xml:space="preserve"> </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Subscription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868,059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863,891</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558,828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1,431,617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1,422,719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amount available may be subject to limitations related to the borrowing base under the Subscription Facility, Revolving Credit Facility and asset coverage requirements.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sz w:val="20"/>
        </w:rPr>
      </w:pPr>
      <w:r>
        <w:rPr>
          <w:rFonts w:ascii="Times New Roman" w:hAnsi="Times New Roman"/>
          <w:b w:val="false"/>
          <w:color w:val="000000"/>
          <w:sz w:val="20"/>
        </w:rPr>
        <w:t>The carrying values of the Subscription Facility and Revolving Credit Facility are presented net deferred financing costs of $4.2</w:t>
      </w:r>
      <w:r>
        <w:rPr>
          <w:rFonts w:ascii="Times New Roman" w:hAnsi="Times New Roman"/>
          <w:color w:val="000000"/>
          <w:sz w:val="20"/>
        </w:rPr>
        <w:t xml:space="preserve"> </w:t>
      </w:r>
      <w:r>
        <w:rPr>
          <w:rFonts w:ascii="Times New Roman" w:hAnsi="Times New Roman"/>
          <w:b w:val="false"/>
          <w:color w:val="000000"/>
          <w:sz w:val="20"/>
        </w:rPr>
        <w:t>million and $4.7</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jc w:val="left"/>
        <w:rPr/>
      </w:pPr>
      <w:r>
        <w:rPr/>
        <w:t> </w:t>
      </w:r>
    </w:p>
    <w:tbl>
      <w:tblPr>
        <w:tblW w:w="7226" w:type="dxa"/>
        <w:jc w:val="left"/>
        <w:tblInd w:w="0" w:type="dxa"/>
        <w:tblLayout w:type="fixed"/>
        <w:tblCellMar>
          <w:top w:w="28" w:type="dxa"/>
          <w:left w:w="28" w:type="dxa"/>
          <w:bottom w:w="28" w:type="dxa"/>
          <w:right w:w="28" w:type="dxa"/>
        </w:tblCellMar>
      </w:tblPr>
      <w:tblGrid>
        <w:gridCol w:w="1831"/>
        <w:gridCol w:w="146"/>
        <w:gridCol w:w="211"/>
        <w:gridCol w:w="781"/>
        <w:gridCol w:w="146"/>
        <w:gridCol w:w="146"/>
        <w:gridCol w:w="213"/>
        <w:gridCol w:w="793"/>
        <w:gridCol w:w="146"/>
        <w:gridCol w:w="146"/>
        <w:gridCol w:w="211"/>
        <w:gridCol w:w="781"/>
        <w:gridCol w:w="146"/>
        <w:gridCol w:w="146"/>
        <w:gridCol w:w="211"/>
        <w:gridCol w:w="78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Subscription Facility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534,080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534,080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amount available may be subject to limitations related to the borrowing base under the Subscription Facility and asset coverage requirements.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sz w:val="20"/>
        </w:rPr>
      </w:pPr>
      <w:r>
        <w:rPr>
          <w:rFonts w:ascii="Times New Roman" w:hAnsi="Times New Roman"/>
          <w:b w:val="false"/>
          <w:color w:val="000000"/>
          <w:sz w:val="20"/>
        </w:rPr>
        <w:t>The carrying value of the Subscription Facility is presented net deferred financing costs of $3.9</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For the three and nine months ended September 30, 2023, three months ended September 30, 2022 and from April 5, 2022 (Inception) through September 30, 2022, the components of interest expense were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453"/>
        <w:gridCol w:w="146"/>
        <w:gridCol w:w="297"/>
        <w:gridCol w:w="1018"/>
        <w:gridCol w:w="271"/>
        <w:gridCol w:w="146"/>
        <w:gridCol w:w="459"/>
        <w:gridCol w:w="831"/>
        <w:gridCol w:w="271"/>
        <w:gridCol w:w="146"/>
        <w:gridCol w:w="300"/>
        <w:gridCol w:w="963"/>
        <w:gridCol w:w="271"/>
        <w:gridCol w:w="146"/>
        <w:gridCol w:w="649"/>
        <w:gridCol w:w="1442"/>
        <w:gridCol w:w="396"/>
      </w:tblGrid>
      <w:tr>
        <w:trPr/>
        <w:tc>
          <w:tcPr>
            <w:tcW w:w="2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39,563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396" w:type="dxa"/>
            <w:tcBorders/>
            <w:shd w:fill="CFF0FC" w:val="clear"/>
            <w:vAlign w:val="center"/>
          </w:tcPr>
          <w:p>
            <w:pPr>
              <w:pStyle w:val="TableContents"/>
              <w:bidi w:val="0"/>
              <w:spacing w:before="0" w:after="283"/>
              <w:jc w:val="left"/>
              <w:rPr/>
            </w:pPr>
            <w:r>
              <w:rPr/>
              <w:t> </w:t>
            </w:r>
          </w:p>
        </w:tc>
      </w:tr>
      <w:tr>
        <w:trPr/>
        <w:tc>
          <w:tcPr>
            <w:tcW w:w="24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 fees</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396" w:type="dxa"/>
            <w:tcBorders/>
            <w:shd w:fill="FFFFFF" w:val="clear"/>
            <w:vAlign w:val="center"/>
          </w:tcPr>
          <w:p>
            <w:pPr>
              <w:pStyle w:val="TableContents"/>
              <w:bidi w:val="0"/>
              <w:spacing w:before="0" w:after="283"/>
              <w:jc w:val="left"/>
              <w:rPr/>
            </w:pPr>
            <w:r>
              <w:rPr/>
              <w:t> </w:t>
            </w:r>
          </w:p>
        </w:tc>
      </w:tr>
      <w:tr>
        <w:trPr/>
        <w:tc>
          <w:tcPr>
            <w:tcW w:w="24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3"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vAlign w:val="center"/>
          </w:tcPr>
          <w:p>
            <w:pPr>
              <w:pStyle w:val="TableContents"/>
              <w:bidi w:val="0"/>
              <w:spacing w:before="0" w:after="283"/>
              <w:jc w:val="righ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45,656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Average debt outstanding (in millions)</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w:t>
            </w:r>
          </w:p>
        </w:tc>
        <w:tc>
          <w:tcPr>
            <w:tcW w:w="396" w:type="dxa"/>
            <w:tcBorders/>
            <w:shd w:fill="CFF0FC" w:val="clear"/>
            <w:vAlign w:val="center"/>
          </w:tcPr>
          <w:p>
            <w:pPr>
              <w:pStyle w:val="TableContents"/>
              <w:bidi w:val="0"/>
              <w:spacing w:before="0" w:after="283"/>
              <w:jc w:val="left"/>
              <w:rPr/>
            </w:pPr>
            <w:r>
              <w:rPr/>
              <w:t> </w:t>
            </w:r>
          </w:p>
        </w:tc>
      </w:tr>
      <w:tr>
        <w:trPr/>
        <w:tc>
          <w:tcPr>
            <w:tcW w:w="24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interest rate</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5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the Company had the following commitments to fund investments in current portfolio companies:</w:t>
      </w:r>
      <w:r>
        <w:rPr>
          <w:rFonts w:ascii="Times New Roman" w:hAnsi="Times New Roman"/>
          <w:color w:val="000000"/>
          <w:sz w:val="20"/>
        </w:rPr>
        <w:t xml:space="preserve"> </w:t>
      </w:r>
    </w:p>
    <w:p>
      <w:pPr>
        <w:pStyle w:val="TextBody"/>
        <w:bidi w:val="0"/>
        <w:jc w:val="left"/>
        <w:rPr/>
      </w:pPr>
      <w:r>
        <w:rPr/>
        <w:t> </w:t>
      </w:r>
    </w:p>
    <w:tbl>
      <w:tblPr>
        <w:tblW w:w="9695" w:type="dxa"/>
        <w:jc w:val="left"/>
        <w:tblInd w:w="0" w:type="dxa"/>
        <w:tblLayout w:type="fixed"/>
        <w:tblCellMar>
          <w:top w:w="28" w:type="dxa"/>
          <w:left w:w="28" w:type="dxa"/>
          <w:bottom w:w="28" w:type="dxa"/>
          <w:right w:w="28" w:type="dxa"/>
        </w:tblCellMar>
      </w:tblPr>
      <w:tblGrid>
        <w:gridCol w:w="5821"/>
        <w:gridCol w:w="146"/>
        <w:gridCol w:w="328"/>
        <w:gridCol w:w="1217"/>
        <w:gridCol w:w="146"/>
        <w:gridCol w:w="146"/>
        <w:gridCol w:w="357"/>
        <w:gridCol w:w="1143"/>
        <w:gridCol w:w="3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Alaska Bidco Oy - Delayed Draw &amp; Revolver</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Arrow Buyer, Inc. - Delayed Draw</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Avalara, Inc. - Revolver</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13,636</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Banyan Software Holdings, LLC - Delayed Draw</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BCTO Bluebill Buyer, Inc. - Delayed Draw</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BTRS Holdings, Inc. - Delayed Draw &amp; Revolver</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25,915</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Coupa Holdings, LLC - Delayed Draw &amp; Revolver</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Disco Parent, Inc. - Revolver</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Edge Bidco B.V - Delayed Draw &amp; Revolver</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Erling Lux Bidco SARL - Delayed Draw &amp; Revolver</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5,618</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Galileo Parent, Inc. - Revolver</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Hirevue, Inc. - Revolver</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Hornetsecurity Holding GmbH - Delayed Draw &amp; Revolver</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2,041</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Laramie Energy, LLC - Delayed Draw</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OutSystems Luxco SARL - Delayed Draw</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Ping Identity Holding Corp. - Revolver</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13,636</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Rapid Data GmbH Unternehmensberatung - Delayed Draw &amp; Revolver</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SkyLark UK DebtCo - Delayed Draw &amp; Revolver</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SL Buyer Corp. - Delyaed Draw</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Wrangler TopCo, LLC - Revolver</w:t>
            </w:r>
          </w:p>
        </w:tc>
        <w:tc>
          <w:tcPr>
            <w:tcW w:w="146" w:type="dxa"/>
            <w:tcBorders/>
            <w:shd w:fill="FFFFFF" w:val="cle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8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CFF0FC" w:val="cle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Company’s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Other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had an unfunded commitment of EUR 0.9</w:t>
      </w:r>
      <w:r>
        <w:rPr>
          <w:rFonts w:ascii="Times New Roman" w:hAnsi="Times New Roman"/>
          <w:color w:val="000000"/>
          <w:sz w:val="20"/>
        </w:rPr>
        <w:t xml:space="preserve"> </w:t>
      </w:r>
      <w:r>
        <w:rPr>
          <w:rFonts w:ascii="Times New Roman" w:hAnsi="Times New Roman"/>
          <w:b w:val="false"/>
          <w:color w:val="000000"/>
          <w:sz w:val="20"/>
        </w:rPr>
        <w:t>million to a new borrower that is not a current portfolio company. As of December 31, 2022 the Company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From time to time, the Company may become a party to certain legal proceedings incidental to the normal course of its business.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management is not aware of any material pending or threatened litigation that would require accounting recognition or financial statement disclosure.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Net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its formation, the Company has the authority to issue an unlimited number of Common Shares of beneficial interest at $0.001</w:t>
      </w:r>
      <w:r>
        <w:rPr>
          <w:rFonts w:ascii="Times New Roman" w:hAnsi="Times New Roman"/>
          <w:color w:val="000000"/>
          <w:sz w:val="20"/>
        </w:rPr>
        <w:t xml:space="preserve"> </w:t>
      </w:r>
      <w:r>
        <w:rPr>
          <w:rFonts w:ascii="Times New Roman" w:hAnsi="Times New Roman"/>
          <w:b w:val="false"/>
          <w:color w:val="000000"/>
          <w:sz w:val="20"/>
        </w:rPr>
        <w:t>per share par value. On June 24, 2022, our Adviser purchased $30</w:t>
      </w:r>
      <w:r>
        <w:rPr>
          <w:rFonts w:ascii="Times New Roman" w:hAnsi="Times New Roman"/>
          <w:color w:val="000000"/>
          <w:sz w:val="20"/>
        </w:rPr>
        <w:t xml:space="preserve"> </w:t>
      </w:r>
      <w:r>
        <w:rPr>
          <w:rFonts w:ascii="Times New Roman" w:hAnsi="Times New Roman"/>
          <w:b w:val="false"/>
          <w:color w:val="000000"/>
          <w:sz w:val="20"/>
        </w:rPr>
        <w:t>thousand of Common Shares of the Company at a price of $25.00</w:t>
      </w:r>
      <w:r>
        <w:rPr>
          <w:rFonts w:ascii="Times New Roman" w:hAnsi="Times New Roman"/>
          <w:color w:val="000000"/>
          <w:sz w:val="20"/>
        </w:rPr>
        <w:t xml:space="preserve"> </w:t>
      </w:r>
      <w:r>
        <w:rPr>
          <w:rFonts w:ascii="Times New Roman" w:hAnsi="Times New Roman"/>
          <w:b w:val="false"/>
          <w:color w:val="000000"/>
          <w:sz w:val="20"/>
        </w:rPr>
        <w:t>per Common Share as our initial capital. These Common Shares were issued and sold in reliance upon Section 4(a)(2) of the Securities Act, which provides an exemption from the registration requirements of the Securities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period ended September 30, 2023, the Company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September 30, 2023, the Company had received Capital Commitments totaling $6.2</w:t>
      </w:r>
      <w:r>
        <w:rPr>
          <w:rFonts w:ascii="Times New Roman" w:hAnsi="Times New Roman"/>
          <w:color w:val="000000"/>
          <w:sz w:val="20"/>
        </w:rPr>
        <w:t xml:space="preserve"> </w:t>
      </w:r>
      <w:r>
        <w:rPr>
          <w:rFonts w:ascii="Times New Roman" w:hAnsi="Times New Roman"/>
          <w:b w:val="false"/>
          <w:color w:val="000000"/>
          <w:sz w:val="20"/>
        </w:rPr>
        <w:t>billion ($5.2</w:t>
      </w:r>
      <w:r>
        <w:rPr>
          <w:rFonts w:ascii="Times New Roman" w:hAnsi="Times New Roman"/>
          <w:color w:val="000000"/>
          <w:sz w:val="20"/>
        </w:rPr>
        <w:t xml:space="preserve"> </w:t>
      </w:r>
      <w:r>
        <w:rPr>
          <w:rFonts w:ascii="Times New Roman" w:hAnsi="Times New Roman"/>
          <w:b w:val="false"/>
          <w:color w:val="000000"/>
          <w:sz w:val="20"/>
        </w:rPr>
        <w:t>billion remaining undrawn).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Pursuant to the Company’s dividend reinvestment plan, the following tables summarize the Common Shares issued to shareholders who have not opted out of the Company’s dividend reinvestment plan for the nine months ended September 30, 2023. All shares issued to shareholders in the tables below are newly issued shares. From April 5, 2022 (Inception) through September 30, 2022, no</w:t>
      </w:r>
      <w:r>
        <w:rPr>
          <w:rFonts w:ascii="Times New Roman" w:hAnsi="Times New Roman"/>
          <w:color w:val="000000"/>
          <w:sz w:val="20"/>
        </w:rPr>
        <w:t xml:space="preserve"> </w:t>
      </w:r>
      <w:r>
        <w:rPr>
          <w:rFonts w:ascii="Times New Roman" w:hAnsi="Times New Roman"/>
          <w:b w:val="false"/>
          <w:color w:val="000000"/>
          <w:sz w:val="20"/>
        </w:rPr>
        <w:t>Common Shares were issued to shareholders who have not opted out of the Company’s dividend reinvestment plan.</w:t>
      </w:r>
      <w:r>
        <w:rPr>
          <w:rFonts w:ascii="Times New Roman" w:hAnsi="Times New Roman"/>
          <w:color w:val="000000"/>
          <w:sz w:val="20"/>
        </w:rPr>
        <w:t xml:space="preserve"> </w:t>
      </w:r>
    </w:p>
    <w:tbl>
      <w:tblPr>
        <w:tblW w:w="8246" w:type="dxa"/>
        <w:jc w:val="left"/>
        <w:tblInd w:w="0" w:type="dxa"/>
        <w:tblLayout w:type="fixed"/>
        <w:tblCellMar>
          <w:top w:w="28" w:type="dxa"/>
          <w:left w:w="28" w:type="dxa"/>
          <w:bottom w:w="28" w:type="dxa"/>
          <w:right w:w="28" w:type="dxa"/>
        </w:tblCellMar>
      </w:tblPr>
      <w:tblGrid>
        <w:gridCol w:w="2796"/>
        <w:gridCol w:w="346"/>
        <w:gridCol w:w="346"/>
        <w:gridCol w:w="146"/>
        <w:gridCol w:w="1396"/>
        <w:gridCol w:w="146"/>
        <w:gridCol w:w="1456"/>
        <w:gridCol w:w="146"/>
        <w:gridCol w:w="146"/>
        <w:gridCol w:w="931"/>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713"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713"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07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30, 2023</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3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31, 2023</w:t>
            </w:r>
          </w:p>
        </w:tc>
        <w:tc>
          <w:tcPr>
            <w:tcW w:w="146" w:type="dxa"/>
            <w:tcBorders/>
            <w:shd w:fill="CFF0FC" w:val="clear"/>
            <w:vAlign w:val="center"/>
          </w:tcPr>
          <w:p>
            <w:pPr>
              <w:pStyle w:val="TableContents"/>
              <w:bidi w:val="0"/>
              <w:spacing w:before="0" w:after="283"/>
              <w:jc w:val="righ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May 10, 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371,108</w:t>
            </w:r>
          </w:p>
        </w:tc>
        <w:tc>
          <w:tcPr>
            <w:tcW w:w="391" w:type="dxa"/>
            <w:tcBorders/>
            <w:shd w:fill="CFF0FC"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June 30, 2023</w:t>
            </w:r>
          </w:p>
        </w:tc>
        <w:tc>
          <w:tcPr>
            <w:tcW w:w="34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August 16, 2023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629,647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Common Shares Issued</w:t>
            </w:r>
          </w:p>
        </w:tc>
        <w:tc>
          <w:tcPr>
            <w:tcW w:w="346" w:type="dxa"/>
            <w:tcBorders/>
            <w:shd w:fill="CFF0FC" w:val="clear"/>
            <w:vAlign w:val="center"/>
          </w:tcPr>
          <w:p>
            <w:pPr>
              <w:pStyle w:val="TableContents"/>
              <w:bidi w:val="0"/>
              <w:spacing w:before="0" w:after="283"/>
              <w:ind w:left="0" w:right="0" w:firstLine="200"/>
              <w:jc w:val="righ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3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1,000,755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summarizes the total Common Shares issued and proceeds received related to the Company’s capital drawdowns delivered pursuant to the Subscription Agreements for the nine months ended September 30, 2023 and from April 5, 2022 (Inception) through September 30, 2022.</w:t>
      </w:r>
      <w:r>
        <w:rPr>
          <w:rFonts w:ascii="Times New Roman" w:hAnsi="Times New Roman"/>
          <w:color w:val="000000"/>
          <w:sz w:val="20"/>
        </w:rPr>
        <w:t xml:space="preserve"> </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20"/>
        <w:gridCol w:w="2275"/>
        <w:gridCol w:w="146"/>
        <w:gridCol w:w="146"/>
        <w:gridCol w:w="306"/>
        <w:gridCol w:w="113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21, 2023</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22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June 28, 2023</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2,798,480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26, 2023</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5,387,887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17,830,180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51"/>
        <w:gridCol w:w="2244"/>
        <w:gridCol w:w="146"/>
        <w:gridCol w:w="146"/>
        <w:gridCol w:w="306"/>
        <w:gridCol w:w="113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June 24, 2022</w:t>
            </w:r>
          </w:p>
        </w:tc>
        <w:tc>
          <w:tcPr>
            <w:tcW w:w="146" w:type="dxa"/>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jc w:val="left"/>
              <w:rPr/>
            </w:pPr>
            <w:r>
              <w:rPr/>
              <w:t> </w:t>
            </w:r>
          </w:p>
        </w:tc>
        <w:tc>
          <w:tcPr>
            <w:tcW w:w="22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31, 2022</w:t>
            </w:r>
          </w:p>
        </w:tc>
        <w:tc>
          <w:tcPr>
            <w:tcW w:w="146"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jc w:val="left"/>
              <w:rPr/>
            </w:pPr>
            <w:r>
              <w:rPr/>
              <w:t> </w:t>
            </w:r>
          </w:p>
        </w:tc>
        <w:tc>
          <w:tcPr>
            <w:tcW w:w="22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2,205,694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55,142</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28, 2022</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5,080,906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125,430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7,287,800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Earnings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set forth the computation of basic and diluted earnings per common share:</w:t>
      </w:r>
      <w:r>
        <w:rPr>
          <w:rFonts w:ascii="Times New Roman" w:hAnsi="Times New Roman"/>
          <w:color w:val="000000"/>
          <w:sz w:val="20"/>
        </w:rPr>
        <w:t xml:space="preserve"> </w:t>
      </w:r>
    </w:p>
    <w:p>
      <w:pPr>
        <w:pStyle w:val="TextBody"/>
        <w:bidi w:val="0"/>
        <w:spacing w:before="120" w:after="283"/>
        <w:jc w:val="left"/>
        <w:rPr/>
      </w:pPr>
      <w:r>
        <w:rPr/>
        <w:t> </w:t>
      </w:r>
    </w:p>
    <w:tbl>
      <w:tblPr>
        <w:tblW w:w="9949" w:type="dxa"/>
        <w:jc w:val="left"/>
        <w:tblInd w:w="0" w:type="dxa"/>
        <w:tblLayout w:type="fixed"/>
        <w:tblCellMar>
          <w:top w:w="28" w:type="dxa"/>
          <w:left w:w="28" w:type="dxa"/>
          <w:bottom w:w="28" w:type="dxa"/>
          <w:right w:w="28" w:type="dxa"/>
        </w:tblCellMar>
      </w:tblPr>
      <w:tblGrid>
        <w:gridCol w:w="6316"/>
        <w:gridCol w:w="146"/>
        <w:gridCol w:w="271"/>
        <w:gridCol w:w="1334"/>
        <w:gridCol w:w="146"/>
        <w:gridCol w:w="261"/>
        <w:gridCol w:w="1284"/>
        <w:gridCol w:w="19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6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common share—basic and diluted</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61,503</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122,553</w:t>
            </w:r>
          </w:p>
        </w:tc>
        <w:tc>
          <w:tcPr>
            <w:tcW w:w="19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of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35,303,072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30,109,493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(losses) per common share—basic and diluted</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77"/>
        <w:gridCol w:w="146"/>
        <w:gridCol w:w="281"/>
        <w:gridCol w:w="1245"/>
        <w:gridCol w:w="166"/>
        <w:gridCol w:w="494"/>
        <w:gridCol w:w="2183"/>
        <w:gridCol w:w="213"/>
      </w:tblGrid>
      <w:tr>
        <w:trPr/>
        <w:tc>
          <w:tcPr>
            <w:tcW w:w="5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26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213" w:type="dxa"/>
            <w:tcBorders/>
            <w:shd w:fill="FFFFFF" w:val="clear"/>
            <w:vAlign w:val="center"/>
          </w:tcPr>
          <w:p>
            <w:pPr>
              <w:pStyle w:val="TableContents"/>
              <w:bidi w:val="0"/>
              <w:spacing w:before="0" w:after="283"/>
              <w:jc w:val="center"/>
              <w:rPr/>
            </w:pPr>
            <w:r>
              <w:rPr/>
              <w:t> </w:t>
            </w:r>
          </w:p>
        </w:tc>
      </w:tr>
      <w:tr>
        <w:trPr/>
        <w:tc>
          <w:tcPr>
            <w:tcW w:w="54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common share—basic and diluted</w:t>
            </w:r>
          </w:p>
        </w:tc>
        <w:tc>
          <w:tcPr>
            <w:tcW w:w="146" w:type="dxa"/>
            <w:tcBorders/>
            <w:shd w:fill="CFF0FC" w:val="clear"/>
            <w:vAlign w:val="center"/>
          </w:tcPr>
          <w:p>
            <w:pPr>
              <w:pStyle w:val="TableContents"/>
              <w:bidi w:val="0"/>
              <w:spacing w:before="0" w:after="283"/>
              <w:jc w:val="left"/>
              <w:rPr/>
            </w:pPr>
            <w:r>
              <w:rPr/>
              <w:t> </w:t>
            </w:r>
          </w:p>
        </w:tc>
        <w:tc>
          <w:tcPr>
            <w:tcW w:w="15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677" w:type="dxa"/>
            <w:gridSpan w:val="2"/>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of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2,698,595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2,698,595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(losses) per common share—basic and diluted</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10.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dividends declared during the nine months ended September 30, 2023:</w:t>
      </w:r>
    </w:p>
    <w:p>
      <w:pPr>
        <w:pStyle w:val="TextBody"/>
        <w:bidi w:val="0"/>
        <w:jc w:val="left"/>
        <w:rPr/>
      </w:pPr>
      <w:r>
        <w:rPr/>
        <w:t> </w:t>
      </w:r>
    </w:p>
    <w:tbl>
      <w:tblPr>
        <w:tblW w:w="8939" w:type="dxa"/>
        <w:jc w:val="left"/>
        <w:tblInd w:w="0" w:type="dxa"/>
        <w:tblLayout w:type="fixed"/>
        <w:tblCellMar>
          <w:top w:w="28" w:type="dxa"/>
          <w:left w:w="28" w:type="dxa"/>
          <w:bottom w:w="28" w:type="dxa"/>
          <w:right w:w="28" w:type="dxa"/>
        </w:tblCellMar>
      </w:tblPr>
      <w:tblGrid>
        <w:gridCol w:w="2481"/>
        <w:gridCol w:w="346"/>
        <w:gridCol w:w="346"/>
        <w:gridCol w:w="146"/>
        <w:gridCol w:w="1726"/>
        <w:gridCol w:w="146"/>
        <w:gridCol w:w="1711"/>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5721"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5721"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30, 2023</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31, 2023</w:t>
            </w:r>
          </w:p>
        </w:tc>
        <w:tc>
          <w:tcPr>
            <w:tcW w:w="146" w:type="dxa"/>
            <w:tcBorders/>
            <w:shd w:fill="CFF0FC" w:val="clear"/>
            <w:vAlign w:val="center"/>
          </w:tcPr>
          <w:p>
            <w:pPr>
              <w:pStyle w:val="TableContents"/>
              <w:bidi w:val="0"/>
              <w:spacing w:before="0" w:after="283"/>
              <w:jc w:val="right"/>
              <w:rPr/>
            </w:pPr>
            <w:r>
              <w:rPr/>
              <w:t> </w:t>
            </w:r>
          </w:p>
        </w:tc>
        <w:tc>
          <w:tcPr>
            <w:tcW w:w="1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May 9,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0.40</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June 30, 2023</w:t>
            </w:r>
          </w:p>
        </w:tc>
        <w:tc>
          <w:tcPr>
            <w:tcW w:w="34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1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August 15, 2023</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0.67</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29, 2023</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30, 2023</w:t>
            </w:r>
          </w:p>
        </w:tc>
        <w:tc>
          <w:tcPr>
            <w:tcW w:w="146" w:type="dxa"/>
            <w:tcBorders/>
            <w:shd w:fill="CFF0FC" w:val="clear"/>
            <w:vAlign w:val="center"/>
          </w:tcPr>
          <w:p>
            <w:pPr>
              <w:pStyle w:val="TableContents"/>
              <w:bidi w:val="0"/>
              <w:spacing w:before="0" w:after="283"/>
              <w:jc w:val="right"/>
              <w:rPr/>
            </w:pPr>
            <w:r>
              <w:rPr/>
              <w:t> </w:t>
            </w:r>
          </w:p>
        </w:tc>
        <w:tc>
          <w:tcPr>
            <w:tcW w:w="1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November 15, 2023</w:t>
            </w:r>
          </w:p>
        </w:tc>
        <w:tc>
          <w:tcPr>
            <w:tcW w:w="146" w:type="dxa"/>
            <w:tcBorders/>
            <w:shd w:fill="CFF0FC" w:val="clear"/>
            <w:vAlign w:val="center"/>
          </w:tcPr>
          <w:p>
            <w:pPr>
              <w:pStyle w:val="TableContents"/>
              <w:bidi w:val="0"/>
              <w:spacing w:before="0" w:after="283"/>
              <w:jc w:val="righ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346" w:type="dxa"/>
            <w:tcBorders/>
            <w:shd w:fill="FFFFFF" w:val="clear"/>
            <w:vAlign w:val="center"/>
          </w:tcPr>
          <w:p>
            <w:pPr>
              <w:pStyle w:val="TableContents"/>
              <w:bidi w:val="0"/>
              <w:spacing w:before="0" w:after="283"/>
              <w:ind w:left="0" w:right="0" w:firstLine="200"/>
              <w:jc w:val="righ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dividends declared during the nine months ended September 30, 2023 were derived from net investment income, determined on a tax basis. From April 5, 2022 (Inception) through September 30, 2022, no distributions had been declared or paid by the Company.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Financial Highlights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per share data and ratios have been derived from information provided in the consolidated financial statements. The following are the financial highlights for one share of Common Shares outstanding for the nine months ended September 30, 2023 and the period from April 5, 2022 (Inception) through September 30, 2022.</w:t>
      </w:r>
    </w:p>
    <w:tbl>
      <w:tblPr>
        <w:tblW w:w="9085" w:type="dxa"/>
        <w:jc w:val="left"/>
        <w:tblInd w:w="0" w:type="dxa"/>
        <w:tblLayout w:type="fixed"/>
        <w:tblCellMar>
          <w:top w:w="28" w:type="dxa"/>
          <w:left w:w="28" w:type="dxa"/>
          <w:bottom w:w="28" w:type="dxa"/>
          <w:right w:w="28" w:type="dxa"/>
        </w:tblCellMar>
      </w:tblPr>
      <w:tblGrid>
        <w:gridCol w:w="3601"/>
        <w:gridCol w:w="146"/>
        <w:gridCol w:w="261"/>
        <w:gridCol w:w="1284"/>
        <w:gridCol w:w="271"/>
        <w:gridCol w:w="146"/>
        <w:gridCol w:w="551"/>
        <w:gridCol w:w="2434"/>
        <w:gridCol w:w="3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391" w:type="dxa"/>
            <w:tcBorders/>
            <w:shd w:fill="FFFFFF" w:val="clear"/>
            <w:vAlign w:val="center"/>
          </w:tcPr>
          <w:p>
            <w:pPr>
              <w:pStyle w:val="TableContents"/>
              <w:bidi w:val="0"/>
              <w:spacing w:before="0" w:after="283"/>
              <w:jc w:val="center"/>
              <w:rPr/>
            </w:pPr>
            <w:r>
              <w:rPr/>
              <w:t> </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5"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 value, beginning of period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391" w:type="dxa"/>
            <w:tcBorders/>
            <w:shd w:fill="FFFFFF" w:val="clear"/>
            <w:vAlign w:val="center"/>
          </w:tcPr>
          <w:p>
            <w:pPr>
              <w:pStyle w:val="TableContents"/>
              <w:bidi w:val="0"/>
              <w:spacing w:before="0" w:after="283"/>
              <w:jc w:val="left"/>
              <w:rPr/>
            </w:pPr>
            <w:r>
              <w:rPr/>
              <w:t> </w:t>
            </w:r>
          </w:p>
        </w:tc>
      </w:tr>
      <w:tr>
        <w:trPr/>
        <w:tc>
          <w:tcPr>
            <w:tcW w:w="36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98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6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investment income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jc w:val="left"/>
              <w:rPr/>
            </w:pPr>
            <w:r>
              <w:rPr/>
              <w:t> </w:t>
            </w:r>
          </w:p>
        </w:tc>
        <w:tc>
          <w:tcPr>
            <w:tcW w:w="2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(0.61</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realized and unrealized </w:t>
              <w:br/>
              <w:t xml:space="preserve">   gain (loss)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from operations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jc w:val="left"/>
              <w:rPr/>
            </w:pPr>
            <w:r>
              <w:rPr/>
              <w:t> </w:t>
            </w:r>
          </w:p>
        </w:tc>
        <w:tc>
          <w:tcPr>
            <w:tcW w:w="2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(0.47</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Common Share Issuance </w:t>
            </w:r>
            <w:r>
              <w:rPr>
                <w:rFonts w:ascii="Times New Roman" w:hAnsi="Times New Roman"/>
                <w:b w:val="false"/>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51" w:type="dxa"/>
            <w:tcBorders/>
            <w:shd w:fill="CFF0FC" w:val="clear"/>
            <w:vAlign w:val="center"/>
          </w:tcPr>
          <w:p>
            <w:pPr>
              <w:pStyle w:val="TableContents"/>
              <w:bidi w:val="0"/>
              <w:spacing w:before="0" w:after="283"/>
              <w:jc w:val="left"/>
              <w:rPr/>
            </w:pPr>
            <w:r>
              <w:rPr/>
              <w:t> </w:t>
            </w:r>
          </w:p>
        </w:tc>
        <w:tc>
          <w:tcPr>
            <w:tcW w:w="2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0.08</w:t>
            </w:r>
          </w:p>
        </w:tc>
        <w:tc>
          <w:tcPr>
            <w:tcW w:w="391" w:type="dxa"/>
            <w:tcBorders/>
            <w:shd w:fill="CFF0FC" w:val="clear"/>
            <w:vAlign w:val="center"/>
          </w:tcPr>
          <w:p>
            <w:pPr>
              <w:pStyle w:val="TableContents"/>
              <w:bidi w:val="0"/>
              <w:spacing w:before="0" w:after="283"/>
              <w:jc w:val="left"/>
              <w:rPr/>
            </w:pPr>
            <w:r>
              <w:rPr/>
              <w:t> </w:t>
            </w:r>
          </w:p>
        </w:tc>
      </w:tr>
      <w:tr>
        <w:trPr/>
        <w:tc>
          <w:tcPr>
            <w:tcW w:w="3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 declared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increase (decrease) in net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return based on net asset</w:t>
              <w:br/>
              <w:t xml:space="preserve">   value </w:t>
            </w:r>
            <w:r>
              <w:rPr>
                <w:rFonts w:ascii="Times New Roman" w:hAnsi="Times New Roman"/>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51" w:type="dxa"/>
            <w:tcBorders/>
            <w:shd w:fill="CFF0FC" w:val="clear"/>
            <w:vAlign w:val="center"/>
          </w:tcPr>
          <w:p>
            <w:pPr>
              <w:pStyle w:val="TableContents"/>
              <w:bidi w:val="0"/>
              <w:spacing w:before="0" w:after="283"/>
              <w:jc w:val="left"/>
              <w:rPr/>
            </w:pPr>
            <w:r>
              <w:rPr/>
              <w:t> </w:t>
            </w:r>
          </w:p>
        </w:tc>
        <w:tc>
          <w:tcPr>
            <w:tcW w:w="2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shares outstanding, end of period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40,712,963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jc w:val="left"/>
              <w:rPr/>
            </w:pPr>
            <w:r>
              <w:rPr/>
              <w:t> </w:t>
            </w:r>
          </w:p>
        </w:tc>
        <w:tc>
          <w:tcPr>
            <w:tcW w:w="2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7,287,800</w:t>
            </w:r>
          </w:p>
        </w:tc>
        <w:tc>
          <w:tcPr>
            <w:tcW w:w="391" w:type="dxa"/>
            <w:tcBorders/>
            <w:shd w:fill="FFFFFF" w:val="clear"/>
            <w:vAlign w:val="center"/>
          </w:tcPr>
          <w:p>
            <w:pPr>
              <w:pStyle w:val="TableContents"/>
              <w:bidi w:val="0"/>
              <w:spacing w:before="0" w:after="283"/>
              <w:jc w:val="left"/>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Ratios / Supplemental Data </w:t>
            </w:r>
            <w:r>
              <w:rPr>
                <w:rFonts w:ascii="Times New Roman" w:hAnsi="Times New Roman"/>
                <w:b/>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98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6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Ratio of net expenses to average</w:t>
              <w:br/>
              <w:t xml:space="preserve">   net assets </w:t>
            </w:r>
            <w:r>
              <w:rPr>
                <w:rFonts w:ascii="Times New Roman" w:hAnsi="Times New Roman"/>
                <w:b w:val="false"/>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jc w:val="left"/>
              <w:rPr/>
            </w:pPr>
            <w:r>
              <w:rPr/>
              <w:t> </w:t>
            </w:r>
          </w:p>
        </w:tc>
        <w:tc>
          <w:tcPr>
            <w:tcW w:w="2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Ratio of net investment income </w:t>
              <w:br/>
              <w:t>     to average net assets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51" w:type="dxa"/>
            <w:tcBorders/>
            <w:shd w:fill="CFF0FC" w:val="clear"/>
            <w:vAlign w:val="center"/>
          </w:tcPr>
          <w:p>
            <w:pPr>
              <w:pStyle w:val="TableContents"/>
              <w:bidi w:val="0"/>
              <w:spacing w:before="0" w:after="283"/>
              <w:jc w:val="left"/>
              <w:rPr/>
            </w:pPr>
            <w:r>
              <w:rPr/>
              <w:t> </w:t>
            </w:r>
          </w:p>
        </w:tc>
        <w:tc>
          <w:tcPr>
            <w:tcW w:w="2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Portfolio turnover</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985"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assets, end of period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1,107,145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179,328</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per share data was derived by using the weighted average Common Shares outstanding during the period.</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sz w:val="24"/>
        </w:rPr>
      </w:pPr>
      <w:r>
        <w:rPr>
          <w:rFonts w:ascii="Times New Roman" w:hAnsi="Times New Roman"/>
          <w:b w:val="false"/>
          <w:color w:val="000000"/>
          <w:sz w:val="20"/>
        </w:rPr>
        <w:t>Total return based on net asset value is calculated as the change in net asset value per share during the period plus declared dividends per share, divided by the beginning net asset value per share.</w:t>
      </w:r>
      <w:r>
        <w:rPr>
          <w:rFonts w:ascii="Times New Roman" w:hAnsi="Times New Roman"/>
          <w:color w:val="000000"/>
          <w:sz w:val="24"/>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ratios, excluding nonrecurring expenses, such as organization costs, are annualized.</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left"/>
        <w:rPr>
          <w:rFonts w:ascii="Times New Roman" w:hAnsi="Times New Roman"/>
          <w:sz w:val="24"/>
        </w:rPr>
      </w:pPr>
      <w:r>
        <w:rPr>
          <w:rFonts w:ascii="Times New Roman" w:hAnsi="Times New Roman"/>
          <w:b w:val="false"/>
          <w:color w:val="000000"/>
          <w:sz w:val="20"/>
        </w:rPr>
        <w:t>The ratio of net expenses to average net assets in the table above reflects the Adviser’s waiver of its right to receive a portion of the Management Fee pursuant to the Management Fee waiver for the nine months ended September 30, 2023 and from April 5, 2022 (Inception) through September 30, 2022. Excluding the effect of the Management Fee waiver, the ratio of net expenses to average net assets would have been 13.69%</w:t>
      </w:r>
      <w:r>
        <w:rPr>
          <w:rFonts w:ascii="Times New Roman" w:hAnsi="Times New Roman"/>
          <w:color w:val="000000"/>
          <w:sz w:val="24"/>
        </w:rPr>
        <w:t xml:space="preserve"> </w:t>
      </w:r>
      <w:r>
        <w:rPr>
          <w:rFonts w:ascii="Times New Roman" w:hAnsi="Times New Roman"/>
          <w:b w:val="false"/>
          <w:color w:val="000000"/>
          <w:sz w:val="20"/>
        </w:rPr>
        <w:t>and 13.13% for the nine months ended September 30, 2023</w:t>
      </w:r>
      <w:r>
        <w:rPr>
          <w:rFonts w:ascii="Times New Roman" w:hAnsi="Times New Roman"/>
          <w:color w:val="000000"/>
          <w:sz w:val="24"/>
        </w:rPr>
        <w:t xml:space="preserve"> </w:t>
      </w:r>
      <w:r>
        <w:rPr>
          <w:rFonts w:ascii="Times New Roman" w:hAnsi="Times New Roman"/>
          <w:b w:val="false"/>
          <w:color w:val="000000"/>
          <w:sz w:val="20"/>
        </w:rPr>
        <w:t>and from April 5, 2022 (Inception) through September 30, 2022, respectively.</w:t>
      </w:r>
      <w:r>
        <w:rPr>
          <w:rFonts w:ascii="Times New Roman" w:hAnsi="Times New Roman"/>
          <w:color w:val="000000"/>
          <w:sz w:val="24"/>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amount shown at this caption is the balancing amount derived from share issuances. The amount shown for share issuance will fluctuate due to the timing of share issuances and the weighting of average shares over the period.</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(6)</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Table may not sum due to rounding.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LLC and Sixth Street LP Holding II, LLC in which we may hold certain investments.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elected to be regulated as a BDC under the 1940 Act and intend to elect to be treated as a RIC under the Code. As a result, we are required to comply with various statutory and regulatory requirements,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Investment Framework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investment objective is to generate current income by targeting investments with favorable “risk-adjusted returns,” which are expected returns that are adjusted based on the levels of risk associated with the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September 30, 2023, our portfolio companies had a weighted average annual revenue of $420.8 million and weighted average annual EBITDA of $153.2 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seek to create a portfolio over time that includes primarily senior secured investments by investing approximately $125 million to $300 million of capital, on average, across our core positions of upper middle-market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companies in which we invest use our capital to support organic growth, acquisitions, market or product expansion and recapitalizations (including restructurings). As of September 30, 2023, the largest single investment based on fair value represented 7.9% of our total investment portfolio.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average investment size in each of our portfolio companies was approximately $70.6 million based on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Through our Adviser, we consider potential investments utilizing a four-tiered investment framework and against our existing portfolio as a whole: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Business and sector selection.</w:t>
      </w:r>
      <w:r>
        <w:rPr>
          <w:rFonts w:ascii="Times New Roman" w:hAnsi="Times New Roman"/>
          <w:color w:val="000000"/>
          <w:sz w:val="20"/>
        </w:rPr>
        <w:t xml:space="preserve"> </w:t>
      </w:r>
      <w:r>
        <w:rPr>
          <w:rFonts w:ascii="Times New Roman" w:hAnsi="Times New Roman"/>
          <w:b w:val="false"/>
          <w:color w:val="000000"/>
          <w:sz w:val="20"/>
        </w:rPr>
        <w:t>We focus on companies with enterprise values above $750 million. When reviewing potential investments, we will 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largest industry represented 18.0% of our total investment portfolio based on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Investment Structuring.</w:t>
      </w:r>
      <w:r>
        <w:rPr>
          <w:rFonts w:ascii="Times New Roman" w:hAnsi="Times New Roman"/>
          <w:color w:val="000000"/>
          <w:sz w:val="20"/>
        </w:rPr>
        <w:t xml:space="preserve"> </w:t>
      </w:r>
      <w:r>
        <w:rPr>
          <w:rFonts w:ascii="Times New Roman" w:hAnsi="Times New Roman"/>
          <w:b w:val="false"/>
          <w:color w:val="000000"/>
          <w:sz w:val="20"/>
        </w:rPr>
        <w:t>We focus on investing at the top of the capital structure and protecting that position. As of September 30, 2023, approximately 93.5% of our portfolio was invested in secured debt, including 93.5%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2023, the weighted average term on new debt investment commitments in new portfolio companies was 6.6 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Deal Dynamics.</w:t>
      </w:r>
      <w:r>
        <w:rPr>
          <w:rFonts w:ascii="Times New Roman" w:hAnsi="Times New Roman"/>
          <w:color w:val="000000"/>
          <w:sz w:val="20"/>
        </w:rPr>
        <w:t xml:space="preserve"> </w:t>
      </w:r>
      <w:r>
        <w:rPr>
          <w:rFonts w:ascii="Times New Roman" w:hAnsi="Times New Roman"/>
          <w:b w:val="false"/>
          <w:color w:val="000000"/>
          <w:sz w:val="20"/>
        </w:rPr>
        <w:t>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Risk Mitigation. </w:t>
      </w:r>
      <w:r>
        <w:rPr>
          <w:rFonts w:ascii="Times New Roman" w:hAnsi="Times New Roman"/>
          <w:b w:val="false"/>
          <w:color w:val="000000"/>
          <w:sz w:val="20"/>
        </w:rPr>
        <w:t>We seek to mitigate non-credit-related risk on our returns in several ways, including call protection provisions to protect future interest income. As of September 30, 2023, we had call protection on 92.5% of our debt investments based on fair value, with weighted average call prices of 106.2% for the first year, 102.9% for the second year and 101.2% for the third year, in each case from the date of the initial investment. As of September 30, 2023, 99.9% of our debt investments based on fair value bore interest at floating rates, with 100%</w:t>
      </w:r>
      <w:r>
        <w:rPr>
          <w:rFonts w:ascii="Times New Roman" w:hAnsi="Times New Roman"/>
          <w:color w:val="000000"/>
          <w:sz w:val="20"/>
        </w:rPr>
        <w:t xml:space="preserve"> </w:t>
      </w:r>
      <w:r>
        <w:rPr>
          <w:rFonts w:ascii="Times New Roman" w:hAnsi="Times New Roman"/>
          <w:b w:val="false"/>
          <w:color w:val="000000"/>
          <w:sz w:val="20"/>
        </w:rPr>
        <w:t>of these subject to interest rate floors, which we believe helps act as a portfolio-wide hedge against inflation.</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Sixth Street is a global investment business with over $70 billion of assets under management as of September 30, 2023.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560 investment and operating professionals. As of September 30, 2023, sixty-seven (67) of these personnel are dedicated to direct lending, including fifty-three (53) investment professionals.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United States to us and conduct those activities through us. The Adviser will determine whether it would be permissible, advisable or otherwise appropriate for us to pursue a particular investment opportunity allocated to us.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focus primarily on the direct origination of loans to upper middle-market companies domiciled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as part of our risk strategy on investments, we may reduce certain levels of investments through partial sales or syndication to additional investors.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2023, 99.9%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and nine months ended September 30, 2023, 7.6% and 5.7%, respectively, of our total investment income was comprised of PIK interest.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to interest income, our net investment income may also be driven by prepayment and other fees, which also can vary significantly from quarter to quarter. The level of prepayment fees is generally correlated to the movement in credit spreads and risk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Dividend income on common equity investments is recorded on the record date for private portfolio companies or on the ex-dividend date for publicly traded portfolio companies.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portfolio activity may also reflect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any public offerings of our Common Shares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Management Fee and any Incentive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certain costs and expenses relating to distributions paid on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administration fees payable under our Administration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commissions and other compensation payable to brokers or dealers;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Independent Trustees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any reports, proxy statements or other notices to our shareholders (including printing and mailing costs), the costs of any shareholders’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trustees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expect that during periods of asset growth, our general and administrative expenses will be relatively stable or will decline as a percentage of total assets, and will increase as a percentage of total assets during periods of asset declines.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360" w:after="283"/>
        <w:jc w:val="left"/>
        <w:rPr>
          <w:rFonts w:ascii="Times New Roman" w:hAnsi="Times New Roman"/>
          <w:sz w:val="20"/>
        </w:rPr>
      </w:pPr>
      <w:r>
        <w:rPr>
          <w:rFonts w:ascii="Times New Roman" w:hAnsi="Times New Roman"/>
          <w:b/>
          <w:color w:val="000000"/>
          <w:sz w:val="20"/>
        </w:rPr>
        <w:t>Portfolio and 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our portfolio based on fair value consisted of 93.5% first-lien debt investments, 5.0% mezzanine investments and 1.5% equity and other investments. As of December 31, 2022, our portfolio based on fair value consisted of 99.0% first-lien debt investments and 1.0% equity and other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our weighted average total yield of debt and income-producing securities at fair value (which includes interest income and amortization of fees and discounts) was 13.5% and 12.4% respectively, and our weighted average total yield of debt and income-producing securities at amortized cost (which includes interest income and amortization of fees and discounts) was 13.7% and 12.8%,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we had investments in 29 and 10 portfolio companies, respectively, with an aggregate fair value of $2,048.4 billion and $808.8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the principal amount of new investments funded was $291.8 million in seven new portfolio companies. For this period, we had $26.2 million aggregate principal amount in repayments.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 ended September 30, 2022, the principal amount of new investments funded was $106.9 million in two new portfolio companies. There have been no exits or repayments.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investment activity for the three months ended September 30, 2023 and 2022, is presented below (information presented herein is at par value unless otherwise indicated).</w:t>
      </w:r>
      <w:r>
        <w:rPr>
          <w:rFonts w:ascii="Times New Roman" w:hAnsi="Times New Roman"/>
          <w:color w:val="000000"/>
          <w:sz w:val="20"/>
        </w:rPr>
        <w:t xml:space="preserve"> </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4246"/>
        <w:gridCol w:w="146"/>
        <w:gridCol w:w="417"/>
        <w:gridCol w:w="1128"/>
        <w:gridCol w:w="271"/>
        <w:gridCol w:w="146"/>
        <w:gridCol w:w="417"/>
        <w:gridCol w:w="1128"/>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Gross originations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Less: Syndications/sell downs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new investment commitments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w:t>
            </w:r>
          </w:p>
        </w:tc>
        <w:tc>
          <w:tcPr>
            <w:tcW w:w="3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First-lien</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Mezzanine</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Equity and other</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w:t>
            </w:r>
          </w:p>
        </w:tc>
        <w:tc>
          <w:tcPr>
            <w:tcW w:w="3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First-lien</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Mezzanine</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Equity and other</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w:t>
            </w:r>
          </w:p>
        </w:tc>
        <w:tc>
          <w:tcPr>
            <w:tcW w:w="3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3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w:t>
              <w:br/>
              <w:t>   new floating rate investment commitments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Includes affiliates of Sixth Street.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our investments consisted of the following:</w:t>
      </w:r>
      <w:r>
        <w:rPr>
          <w:rFonts w:ascii="Times New Roman" w:hAnsi="Times New Roman"/>
          <w:color w:val="000000"/>
          <w:sz w:val="20"/>
        </w:rPr>
        <w:t xml:space="preserve"> </w:t>
      </w:r>
    </w:p>
    <w:p>
      <w:pPr>
        <w:pStyle w:val="TextBody"/>
        <w:bidi w:val="0"/>
        <w:jc w:val="left"/>
        <w:rPr/>
      </w:pPr>
      <w:r>
        <w:rPr/>
        <w:t> </w:t>
      </w:r>
    </w:p>
    <w:tbl>
      <w:tblPr>
        <w:tblW w:w="8826" w:type="dxa"/>
        <w:jc w:val="left"/>
        <w:tblInd w:w="0" w:type="dxa"/>
        <w:tblLayout w:type="fixed"/>
        <w:tblCellMar>
          <w:top w:w="28" w:type="dxa"/>
          <w:left w:w="28" w:type="dxa"/>
          <w:bottom w:w="28" w:type="dxa"/>
          <w:right w:w="28" w:type="dxa"/>
        </w:tblCellMar>
      </w:tblPr>
      <w:tblGrid>
        <w:gridCol w:w="2506"/>
        <w:gridCol w:w="146"/>
        <w:gridCol w:w="211"/>
        <w:gridCol w:w="721"/>
        <w:gridCol w:w="246"/>
        <w:gridCol w:w="246"/>
        <w:gridCol w:w="282"/>
        <w:gridCol w:w="963"/>
        <w:gridCol w:w="246"/>
        <w:gridCol w:w="246"/>
        <w:gridCol w:w="239"/>
        <w:gridCol w:w="646"/>
        <w:gridCol w:w="246"/>
        <w:gridCol w:w="246"/>
        <w:gridCol w:w="336"/>
        <w:gridCol w:w="909"/>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1,916.5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1,877.4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801.2</w:t>
            </w:r>
          </w:p>
        </w:tc>
        <w:tc>
          <w:tcPr>
            <w:tcW w:w="3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2,048.4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have no non-accrual investments as of September 30, 2023 or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weighted average yields and interest rates of our performing debt investments at fair value as of September 30, 2023 and December 31, 2022 were as follows:</w:t>
      </w:r>
      <w:r>
        <w:rPr>
          <w:rFonts w:ascii="Times New Roman" w:hAnsi="Times New Roman"/>
          <w:color w:val="000000"/>
          <w:sz w:val="20"/>
        </w:rPr>
        <w:t xml:space="preserve"> </w:t>
      </w:r>
    </w:p>
    <w:p>
      <w:pPr>
        <w:pStyle w:val="TextBody"/>
        <w:bidi w:val="0"/>
        <w:jc w:val="left"/>
        <w:rPr/>
      </w:pPr>
      <w:r>
        <w:rPr/>
        <w:t> </w:t>
      </w:r>
    </w:p>
    <w:tbl>
      <w:tblPr>
        <w:tblW w:w="8310" w:type="dxa"/>
        <w:jc w:val="left"/>
        <w:tblInd w:w="0" w:type="dxa"/>
        <w:tblLayout w:type="fixed"/>
        <w:tblCellMar>
          <w:top w:w="28" w:type="dxa"/>
          <w:left w:w="28" w:type="dxa"/>
          <w:bottom w:w="28" w:type="dxa"/>
          <w:right w:w="28" w:type="dxa"/>
        </w:tblCellMar>
      </w:tblPr>
      <w:tblGrid>
        <w:gridCol w:w="4186"/>
        <w:gridCol w:w="146"/>
        <w:gridCol w:w="367"/>
        <w:gridCol w:w="1178"/>
        <w:gridCol w:w="371"/>
        <w:gridCol w:w="246"/>
        <w:gridCol w:w="357"/>
        <w:gridCol w:w="1143"/>
        <w:gridCol w:w="31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Weighted average total yield of debt and income</w:t>
              <w:br/>
              <w:t xml:space="preserve">   producing securities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interest rate of debt and income</w:t>
              <w:br/>
              <w:t>   producing securities</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spread over reference rate of all</w:t>
              <w:br/>
              <w:t>   floating rate investments</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Weighted average total portfolio yield at fair value was 13.3% at September 30, 2023 and 12.7% at December 31, 2022.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review of monthly and quarterly financial statements and financial projections for portfolio companies.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shows the distribution of our investments on the 1 to 5 investment performance rating scale at fair value as of September 30, 2023 and December 31, 2022.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311"/>
        <w:gridCol w:w="84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1,817.3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88.7</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06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3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2,048.4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Operating results for the three and nine months ended September 30, 2023 and 2022,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7"/>
        <w:gridCol w:w="346"/>
        <w:gridCol w:w="434"/>
        <w:gridCol w:w="662"/>
        <w:gridCol w:w="346"/>
        <w:gridCol w:w="346"/>
        <w:gridCol w:w="468"/>
        <w:gridCol w:w="628"/>
        <w:gridCol w:w="366"/>
        <w:gridCol w:w="346"/>
        <w:gridCol w:w="336"/>
        <w:gridCol w:w="742"/>
        <w:gridCol w:w="346"/>
        <w:gridCol w:w="346"/>
        <w:gridCol w:w="513"/>
        <w:gridCol w:w="1028"/>
        <w:gridCol w:w="415"/>
      </w:tblGrid>
      <w:tr>
        <w:trPr/>
        <w:tc>
          <w:tcPr>
            <w:tcW w:w="25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53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6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54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415" w:type="dxa"/>
            <w:tcBorders/>
            <w:shd w:fill="FFFFFF" w:val="clear"/>
            <w:vAlign w:val="center"/>
          </w:tcPr>
          <w:p>
            <w:pPr>
              <w:pStyle w:val="TableContents"/>
              <w:bidi w:val="0"/>
              <w:spacing w:before="0" w:after="283"/>
              <w:jc w:val="center"/>
              <w:rPr/>
            </w:pPr>
            <w:r>
              <w:rPr/>
              <w:t> </w:t>
            </w:r>
          </w:p>
        </w:tc>
      </w:tr>
      <w:tr>
        <w:trPr/>
        <w:tc>
          <w:tcPr>
            <w:tcW w:w="25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investment income</w:t>
            </w:r>
          </w:p>
        </w:tc>
        <w:tc>
          <w:tcPr>
            <w:tcW w:w="3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415" w:type="dxa"/>
            <w:tcBorders/>
            <w:shd w:fill="CFF0FC" w:val="clear"/>
            <w:vAlign w:val="center"/>
          </w:tcPr>
          <w:p>
            <w:pPr>
              <w:pStyle w:val="TableContents"/>
              <w:bidi w:val="0"/>
              <w:spacing w:before="0" w:after="283"/>
              <w:jc w:val="left"/>
              <w:rPr/>
            </w:pPr>
            <w:r>
              <w:rPr/>
              <w:t> </w:t>
            </w:r>
          </w:p>
        </w:tc>
      </w:tr>
      <w:tr>
        <w:trPr/>
        <w:tc>
          <w:tcPr>
            <w:tcW w:w="25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Net expenses</w:t>
            </w:r>
          </w:p>
        </w:tc>
        <w:tc>
          <w:tcPr>
            <w:tcW w:w="3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investment income before income taxes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43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468"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36"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4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3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Less: Income taxes, including excise taxes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investment income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43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468"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36"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4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realized gains (losses) </w:t>
            </w:r>
            <w:r>
              <w:rPr>
                <w:rFonts w:ascii="Times New Roman" w:hAnsi="Times New Roman"/>
                <w:b w:val="false"/>
                <w:color w:val="000000"/>
                <w:sz w:val="13"/>
              </w:rPr>
              <w:t>(1)</w:t>
            </w:r>
          </w:p>
        </w:tc>
        <w:tc>
          <w:tcPr>
            <w:tcW w:w="3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3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change in unrealized gains (losses) </w:t>
            </w:r>
            <w:r>
              <w:rPr>
                <w:rFonts w:ascii="Times New Roman" w:hAnsi="Times New Roman"/>
                <w:b w:val="false"/>
                <w:color w:val="000000"/>
                <w:sz w:val="13"/>
              </w:rPr>
              <w:t>(1)</w:t>
            </w:r>
          </w:p>
        </w:tc>
        <w:tc>
          <w:tcPr>
            <w:tcW w:w="346" w:type="dxa"/>
            <w:tcBorders/>
            <w:shd w:fill="CFF0FC" w:val="cle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7"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Includes foreign exchange hedging activity.</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Income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818"/>
        <w:gridCol w:w="346"/>
        <w:gridCol w:w="451"/>
        <w:gridCol w:w="777"/>
        <w:gridCol w:w="346"/>
        <w:gridCol w:w="346"/>
        <w:gridCol w:w="525"/>
        <w:gridCol w:w="703"/>
        <w:gridCol w:w="346"/>
        <w:gridCol w:w="346"/>
        <w:gridCol w:w="357"/>
        <w:gridCol w:w="842"/>
        <w:gridCol w:w="346"/>
        <w:gridCol w:w="346"/>
        <w:gridCol w:w="706"/>
        <w:gridCol w:w="1210"/>
        <w:gridCol w:w="394"/>
      </w:tblGrid>
      <w:tr>
        <w:trPr/>
        <w:tc>
          <w:tcPr>
            <w:tcW w:w="18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81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394" w:type="dxa"/>
            <w:tcBorders/>
            <w:shd w:fill="FFFFFF" w:val="clear"/>
            <w:vAlign w:val="center"/>
          </w:tcPr>
          <w:p>
            <w:pPr>
              <w:pStyle w:val="TableContents"/>
              <w:bidi w:val="0"/>
              <w:spacing w:before="0" w:after="283"/>
              <w:jc w:val="center"/>
              <w:rPr/>
            </w:pPr>
            <w:r>
              <w:rPr/>
              <w:t> </w:t>
            </w:r>
          </w:p>
        </w:tc>
      </w:tr>
      <w:tr>
        <w:trPr/>
        <w:tc>
          <w:tcPr>
            <w:tcW w:w="18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from investments</w:t>
            </w:r>
          </w:p>
        </w:tc>
        <w:tc>
          <w:tcPr>
            <w:tcW w:w="3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94" w:type="dxa"/>
            <w:tcBorders/>
            <w:shd w:fill="CFF0FC"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 income</w:t>
            </w:r>
          </w:p>
        </w:tc>
        <w:tc>
          <w:tcPr>
            <w:tcW w:w="3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18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Other income </w:t>
            </w:r>
            <w:r>
              <w:rPr>
                <w:rFonts w:ascii="Times New Roman" w:hAnsi="Times New Roman"/>
                <w:b w:val="false"/>
                <w:color w:val="000000"/>
                <w:sz w:val="13"/>
              </w:rPr>
              <w:t>(1)</w:t>
            </w:r>
          </w:p>
        </w:tc>
        <w:tc>
          <w:tcPr>
            <w:tcW w:w="346" w:type="dxa"/>
            <w:tcBorders/>
            <w:shd w:fill="CFF0FC" w:val="cle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8"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Amounts round to less than $0.1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from investments, which includes amortization of upfront fees and prepayment fees, increased from $1.0 million for the three months ended September 30, 2022 to $60.7 million for the three months ended September 30, 2023. The increase in interest from investments was primarily the result of growth in our investment portfolio. Paid-in-kind interest income increased from $0.0 million for the three months ended September 30, 2022 to $5.0 million for the three months ended September 30, 2023. Other income increased from less than $0.1 million for the three months ended September 30, 2022 to $0.8 million three months ended September 30, 2023, primarily due to increased unfunded commitment fees.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from investments, which includes amortization of upfront fees and prepayment fees, increased from $1.0 million from April 5, 2022 (Inception) through September 30, 2022 to $140.5 million for the nine months ended September 30, 2023. The increase in interest from investments was primarily the result of growth in our investment portfolio. Paid-in-kind interest income increased from $0.0 million from April 5, 2022 (Inception) through September 30, 2022 to $8.8 million for the nine months ended September 30, 2023. Other income increased from less than $0.1 million from April 5, 2022 (Inception) through September 30, 2022 to $6.0 million for the nine months ended September 30, 2023, primarily due to increased miscellaneous fees. Additionally, we commenced operations and began investing activities August 31, 2022. As a result, year to date comparisons may not be meaningful.</w:t>
      </w:r>
    </w:p>
    <w:p>
      <w:pPr>
        <w:pStyle w:val="TextBody"/>
        <w:bidi w:val="0"/>
        <w:spacing w:before="1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Operating expenses for the three and nine months ended September 30, 2023 and 2022, were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997"/>
        <w:gridCol w:w="346"/>
        <w:gridCol w:w="447"/>
        <w:gridCol w:w="750"/>
        <w:gridCol w:w="146"/>
        <w:gridCol w:w="146"/>
        <w:gridCol w:w="519"/>
        <w:gridCol w:w="677"/>
        <w:gridCol w:w="346"/>
        <w:gridCol w:w="346"/>
        <w:gridCol w:w="438"/>
        <w:gridCol w:w="732"/>
        <w:gridCol w:w="146"/>
        <w:gridCol w:w="146"/>
        <w:gridCol w:w="673"/>
        <w:gridCol w:w="1154"/>
        <w:gridCol w:w="196"/>
      </w:tblGrid>
      <w:tr>
        <w:trPr/>
        <w:tc>
          <w:tcPr>
            <w:tcW w:w="29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9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196" w:type="dxa"/>
            <w:tcBorders/>
            <w:shd w:fill="FFFFFF" w:val="clear"/>
            <w:vAlign w:val="center"/>
          </w:tcPr>
          <w:p>
            <w:pPr>
              <w:pStyle w:val="TableContents"/>
              <w:bidi w:val="0"/>
              <w:spacing w:before="0" w:after="283"/>
              <w:jc w:val="center"/>
              <w:rPr/>
            </w:pPr>
            <w:r>
              <w:rPr/>
              <w:t> </w:t>
            </w:r>
          </w:p>
        </w:tc>
      </w:tr>
      <w:tr>
        <w:trPr/>
        <w:tc>
          <w:tcPr>
            <w:tcW w:w="29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w:t>
            </w:r>
          </w:p>
        </w:tc>
        <w:tc>
          <w:tcPr>
            <w:tcW w:w="346"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96" w:type="dxa"/>
            <w:tcBorders/>
            <w:shd w:fill="CFF0FC" w:val="clear"/>
            <w:vAlign w:val="center"/>
          </w:tcPr>
          <w:p>
            <w:pPr>
              <w:pStyle w:val="TableContents"/>
              <w:bidi w:val="0"/>
              <w:spacing w:before="0" w:after="283"/>
              <w:jc w:val="left"/>
              <w:rPr/>
            </w:pPr>
            <w:r>
              <w:rPr/>
              <w:t> </w:t>
            </w:r>
          </w:p>
        </w:tc>
      </w:tr>
      <w:tr>
        <w:trPr/>
        <w:tc>
          <w:tcPr>
            <w:tcW w:w="299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Management fees (net of waivers) </w:t>
            </w:r>
            <w:r>
              <w:rPr>
                <w:rFonts w:ascii="Times New Roman" w:hAnsi="Times New Roman"/>
                <w:b w:val="false"/>
                <w:color w:val="000000"/>
                <w:sz w:val="13"/>
              </w:rPr>
              <w:t>(1)</w:t>
            </w:r>
          </w:p>
        </w:tc>
        <w:tc>
          <w:tcPr>
            <w:tcW w:w="346"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96" w:type="dxa"/>
            <w:tcBorders/>
            <w:shd w:fill="FFFFFF" w:val="clear"/>
            <w:vAlign w:val="center"/>
          </w:tcPr>
          <w:p>
            <w:pPr>
              <w:pStyle w:val="TableContents"/>
              <w:bidi w:val="0"/>
              <w:spacing w:before="0" w:after="283"/>
              <w:jc w:val="left"/>
              <w:rPr/>
            </w:pPr>
            <w:r>
              <w:rPr/>
              <w:t> </w:t>
            </w:r>
          </w:p>
        </w:tc>
      </w:tr>
      <w:tr>
        <w:trPr/>
        <w:tc>
          <w:tcPr>
            <w:tcW w:w="29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Incentive fees related to pre-incentive net investment income</w:t>
            </w:r>
          </w:p>
        </w:tc>
        <w:tc>
          <w:tcPr>
            <w:tcW w:w="346"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115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299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Incentive fees related to realized/unrealized capital gains </w:t>
            </w:r>
            <w:r>
              <w:rPr>
                <w:rFonts w:ascii="Times New Roman" w:hAnsi="Times New Roman"/>
                <w:b w:val="false"/>
                <w:color w:val="000000"/>
                <w:sz w:val="13"/>
              </w:rPr>
              <w:t>(1)</w:t>
            </w:r>
          </w:p>
        </w:tc>
        <w:tc>
          <w:tcPr>
            <w:tcW w:w="346"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96" w:type="dxa"/>
            <w:tcBorders/>
            <w:shd w:fill="FFFFFF" w:val="clear"/>
            <w:vAlign w:val="center"/>
          </w:tcPr>
          <w:p>
            <w:pPr>
              <w:pStyle w:val="TableContents"/>
              <w:bidi w:val="0"/>
              <w:spacing w:before="0" w:after="283"/>
              <w:jc w:val="left"/>
              <w:rPr/>
            </w:pPr>
            <w:r>
              <w:rPr/>
              <w:t> </w:t>
            </w:r>
          </w:p>
        </w:tc>
      </w:tr>
      <w:tr>
        <w:trPr/>
        <w:tc>
          <w:tcPr>
            <w:tcW w:w="29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Organizational and offering expense</w:t>
            </w:r>
          </w:p>
        </w:tc>
        <w:tc>
          <w:tcPr>
            <w:tcW w:w="346"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11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96" w:type="dxa"/>
            <w:tcBorders/>
            <w:shd w:fill="CFF0FC" w:val="clear"/>
            <w:vAlign w:val="center"/>
          </w:tcPr>
          <w:p>
            <w:pPr>
              <w:pStyle w:val="TableContents"/>
              <w:bidi w:val="0"/>
              <w:spacing w:before="0" w:after="283"/>
              <w:jc w:val="left"/>
              <w:rPr/>
            </w:pPr>
            <w:r>
              <w:rPr/>
              <w:t> </w:t>
            </w:r>
          </w:p>
        </w:tc>
      </w:tr>
      <w:tr>
        <w:trPr/>
        <w:tc>
          <w:tcPr>
            <w:tcW w:w="29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fees</w:t>
            </w:r>
          </w:p>
        </w:tc>
        <w:tc>
          <w:tcPr>
            <w:tcW w:w="346"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96" w:type="dxa"/>
            <w:tcBorders/>
            <w:shd w:fill="FFFFFF" w:val="clear"/>
            <w:vAlign w:val="center"/>
          </w:tcPr>
          <w:p>
            <w:pPr>
              <w:pStyle w:val="TableContents"/>
              <w:bidi w:val="0"/>
              <w:spacing w:before="0" w:after="283"/>
              <w:jc w:val="left"/>
              <w:rPr/>
            </w:pPr>
            <w:r>
              <w:rPr/>
              <w:t> </w:t>
            </w:r>
          </w:p>
        </w:tc>
      </w:tr>
      <w:tr>
        <w:trPr/>
        <w:tc>
          <w:tcPr>
            <w:tcW w:w="29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Trustees fees</w:t>
            </w:r>
          </w:p>
        </w:tc>
        <w:tc>
          <w:tcPr>
            <w:tcW w:w="346"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11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96" w:type="dxa"/>
            <w:tcBorders/>
            <w:shd w:fill="CFF0FC" w:val="clear"/>
            <w:vAlign w:val="center"/>
          </w:tcPr>
          <w:p>
            <w:pPr>
              <w:pStyle w:val="TableContents"/>
              <w:bidi w:val="0"/>
              <w:spacing w:before="0" w:after="283"/>
              <w:jc w:val="left"/>
              <w:rPr/>
            </w:pPr>
            <w:r>
              <w:rPr/>
              <w:t> </w:t>
            </w:r>
          </w:p>
        </w:tc>
      </w:tr>
      <w:tr>
        <w:trPr/>
        <w:tc>
          <w:tcPr>
            <w:tcW w:w="29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general and administrative</w:t>
            </w:r>
          </w:p>
        </w:tc>
        <w:tc>
          <w:tcPr>
            <w:tcW w:w="346" w:type="dxa"/>
            <w:tcBorders/>
            <w:shd w:fill="FFFFFF" w:val="cle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7"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Amounts round to less than $0.1 million</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Interest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including other debt financing costs, increased from $0.4 million for the three months ended September 30, 2022 to $20.4 million for the three months ended September 30, 2023. This increase was primarily due to an increase in average debt outstanding from $71.2 million for the three months ended September 30, 2022 to $1,005.6 million for the three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expense, including other debt financing costs, increased from $0.4 million from April 5, 2022 (Inception) through September 30, 2022 to $45.6 million for the nine months ended September 30, 2023. This increase was primarily due to an increase in average debt outstanding from $71.2 million from April 5, 2022 (Inception) through September 30, 2022 to $733.1 million for the nine months ended September 30, 2023. Additionally, we commenced operations and began investing activities August 31, 2022. As a result, year to date comparisons may not be meaningful.</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Management Fees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Management Fees (gross of waivers) increased from $0.4 million for the three months ended September 30, 2022 to $7.1 million for the three months ended September 30, 2023 due to an increase in average assets for the three months ended September 30, 2023 compared to the same period in 2022. Management Fees (net of waivers) increased from less than $0.1 million for the three months ended September 30, 2022 to $2.2 million for the three months ended September 30, 2023. The Adviser waived Management Fees of $4.9 million for the three months ended September 30, 2023. The Adviser waived Management Fees of $0.4 million for the three months ended September 30,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Management Fees (gross of waivers) increased from $0.4 million from April 5, 2022 (Inception) through September 30, 2022 to $16.6 million for the nine months ended September 30, 2023 due to an increase in average assets for the nine months ended September 30, 2023 compared to the same period in 2022. Management Fees (net of waivers) increased from less than $0.1 million from April 5, 2022 (Inception) through September 30, 2022 to $5.6 million for the nine months ended September 30, 2023. The Adviser waived Management Fees of $11.0 million for the nine months ended September 30, 2023. The Adviser waived Management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Fees of $0.4 million from April 5, 2022 (Inception) through September 30, 2022. Additionally, we commenced operations and began investing activities August 31, 2022. As a result, year to date comparisons may not be meaningful.</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Incentive Fees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Incentive Fees related to pre-incentive net investment income increased from $0.0 million for the three months ended September 30, 2022 to $5.1 million three months ended September 30, 2023 due to the Company commencing operations on August 31, 2022. The Adviser did not waive any Incentive Fees related to pre-Incentive Fee net investment income for the three months ended September 30, 2023 and 2022. For the three months ended September 30, 2023 and 2022, $3.7 million and less than $0.1 million were accrued related to Capital Gains Fees. As of September 30, 2023, these accrued Incentive Fees are not contractually payable to the Adviser.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Incentive Fees related to pre-incentive net investment income increased from $0.0 million from April 5, 2022 (Inception) through September 30, 2022 to $12.1 million for the nine months ended September 30, 2023. The Adviser did not waive any Incentive Fees related to pre-Incentive Fee net investment income from April 5, 2022 (Inception) through September 30, 2022 and for the nine months ended September 30, 2023. From April 5, 2022 (Inception) through September 30, 2022 less than $0.1 million was accrued related to Capital Gains Fees. For the nine months ended September 30, 2023, $5.2 million of Incentive Fees were accrued related to Capital Gains Fees. As of September 30, 2023, these accrued Incentive Fees are not contractually payable to the Adviser. Additionally, we commenced operations and began investing activities August 31, 2022. As a result, year to date comparisons may not be meaningful.</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Organizational and Offering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Organizational and offering expenses decreased from $0.5 million for the three months ended September 30, 2022 to $0.3 million for the three months ended September 30, 2023. We will not bear more than an amount equal to 0.10% of the aggregate capital commitments for organizational and offering expenses in connection with the offering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Organizational and offering expenses decreased from $1.5 million from April 5, 2022 (Inception) through September 30, 2022 to $0.6 million for the nine months ended September 30, 2023. We will not bear more than an amount equal to 0.10% of the aggregate capital commitments for organizational and offering expenses in connection with the offering of our Common Shares. Additionally, we commenced operations and began investing activities August 31, 2022. As a result, year to date comparisons may not be meaningful.</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Professional Fees and Other General and Administrative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Professional fees increased from $0.3 million for the three months ended September 30, 2022 to $0.7 million for the three months ended September 30, 2023. Trustees Fees increased from $0.1 million for the three months ended September 30, 2022 to $0.3 million for the three months ended September 30, 2023. Other general and administrative expenses increased from $0.4 million for the three months ended September 30, 2022 to $1.3 million for the three months ended September 30,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Professional fees increased from $0.3 million from April 5, 2022 (Inception) through September 30, 2022 to $2.0 million for the nine months ended September 30, 2023. Trustee Fees increased from $0.1 million from April 5, 2022 (Inception) through September 30, 2022 to $0.6 million for the nine months ended September 30, 2023. Other general and administrative expenses increased from $0.4 million from April 5, 2022 (Inception) through September 30, 2022 to $2.9 million for the nine months ended September 30, 2023. Additionally, we commenced operations and began investing activities August 31, 2022. As a result, year to date comparisons may not be meaningful.</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intend to elect to be treated as a RIC under Subchapter M of the Code, and we intend to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we recorded a net expense of $0.4 million and $1.1 million, respectively, for U.S. federal excise tax and other taxes. For the three months ended September 30, 2022 and from April 5, 2022 (Inception) through September 30, 2022, the Company recorded no net expenses for U.S. federal excise tax and other taxes.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net realized and unrealized gains (losses) for the three and nine months ended September 30, 2023, the three months ended September 30, 2022 and from April 5, 2022 (Inception) through September 30, 2022:</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168"/>
        <w:gridCol w:w="146"/>
        <w:gridCol w:w="455"/>
        <w:gridCol w:w="803"/>
        <w:gridCol w:w="166"/>
        <w:gridCol w:w="146"/>
        <w:gridCol w:w="489"/>
        <w:gridCol w:w="768"/>
        <w:gridCol w:w="166"/>
        <w:gridCol w:w="146"/>
        <w:gridCol w:w="445"/>
        <w:gridCol w:w="781"/>
        <w:gridCol w:w="166"/>
        <w:gridCol w:w="146"/>
        <w:gridCol w:w="666"/>
        <w:gridCol w:w="1334"/>
        <w:gridCol w:w="214"/>
      </w:tblGrid>
      <w:tr>
        <w:trPr/>
        <w:tc>
          <w:tcPr>
            <w:tcW w:w="3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April 5, 2022 (Inception) through</w:t>
            </w:r>
          </w:p>
        </w:tc>
        <w:tc>
          <w:tcPr>
            <w:tcW w:w="214" w:type="dxa"/>
            <w:tcBorders/>
            <w:shd w:fill="FFFFFF" w:val="clear"/>
            <w:vAlign w:val="center"/>
          </w:tcPr>
          <w:p>
            <w:pPr>
              <w:pStyle w:val="TableContents"/>
              <w:bidi w:val="0"/>
              <w:spacing w:before="0" w:after="283"/>
              <w:jc w:val="center"/>
              <w:rPr/>
            </w:pPr>
            <w:r>
              <w:rPr/>
              <w:t> </w:t>
            </w:r>
          </w:p>
        </w:tc>
      </w:tr>
      <w:tr>
        <w:trPr/>
        <w:tc>
          <w:tcPr>
            <w:tcW w:w="316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 on foreign currency transactions</w:t>
            </w:r>
          </w:p>
        </w:tc>
        <w:tc>
          <w:tcPr>
            <w:tcW w:w="146" w:type="dxa"/>
            <w:tcBorders/>
            <w:shd w:fill="CFF0FC" w:val="cle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00"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1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unrealized gains on investments</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14" w:type="dxa"/>
            <w:tcBorders/>
            <w:shd w:fill="FFFFFF" w:val="clear"/>
            <w:vAlign w:val="center"/>
          </w:tcPr>
          <w:p>
            <w:pPr>
              <w:pStyle w:val="TableContents"/>
              <w:bidi w:val="0"/>
              <w:spacing w:before="0" w:after="283"/>
              <w:jc w:val="left"/>
              <w:rPr/>
            </w:pPr>
            <w:r>
              <w:rPr/>
              <w:t> </w:t>
            </w:r>
          </w:p>
        </w:tc>
      </w:tr>
      <w:tr>
        <w:trPr/>
        <w:tc>
          <w:tcPr>
            <w:tcW w:w="31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unrealized (losses) on investments</w:t>
            </w:r>
          </w:p>
        </w:tc>
        <w:tc>
          <w:tcPr>
            <w:tcW w:w="146" w:type="dxa"/>
            <w:tcBorders/>
            <w:shd w:fill="CFF0FC" w:val="cle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14" w:type="dxa"/>
            <w:tcBorders/>
            <w:shd w:fill="FFFFFF" w:val="clear"/>
            <w:vAlign w:val="center"/>
          </w:tcPr>
          <w:p>
            <w:pPr>
              <w:pStyle w:val="TableContents"/>
              <w:bidi w:val="0"/>
              <w:spacing w:before="0" w:after="283"/>
              <w:jc w:val="left"/>
              <w:rPr/>
            </w:pPr>
            <w:r>
              <w:rPr/>
              <w:t> </w:t>
            </w:r>
          </w:p>
        </w:tc>
      </w:tr>
      <w:tr>
        <w:trPr/>
        <w:tc>
          <w:tcPr>
            <w:tcW w:w="3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00"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1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gains (losses) on foreign currency borrowings</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14" w:type="dxa"/>
            <w:tcBorders/>
            <w:shd w:fill="FFFFFF" w:val="clear"/>
            <w:vAlign w:val="center"/>
          </w:tcPr>
          <w:p>
            <w:pPr>
              <w:pStyle w:val="TableContents"/>
              <w:bidi w:val="0"/>
              <w:spacing w:before="0" w:after="283"/>
              <w:jc w:val="left"/>
              <w:rPr/>
            </w:pPr>
            <w:r>
              <w:rPr/>
              <w:t> </w:t>
            </w:r>
          </w:p>
        </w:tc>
      </w:tr>
      <w:tr>
        <w:trPr/>
        <w:tc>
          <w:tcPr>
            <w:tcW w:w="316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Unrealized gains (losses) on foreign currency cash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14" w:type="dxa"/>
            <w:tcBorders/>
            <w:shd w:fill="FFFFFF" w:val="clear"/>
            <w:vAlign w:val="center"/>
          </w:tcPr>
          <w:p>
            <w:pPr>
              <w:pStyle w:val="TableContents"/>
              <w:bidi w:val="0"/>
              <w:spacing w:before="0" w:after="283"/>
              <w:jc w:val="left"/>
              <w:rPr/>
            </w:pPr>
            <w:r>
              <w:rPr/>
              <w:t> </w:t>
            </w:r>
          </w:p>
        </w:tc>
      </w:tr>
      <w:tr>
        <w:trPr/>
        <w:tc>
          <w:tcPr>
            <w:tcW w:w="3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Amounts round to less than $0.1 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we had $3.9 million and $2.8 million, respectively, in unrealized gains on foreign currency transactions primarily as a result of translating foreign currency related to our non-USD denominated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we had $28.9 million in unrealized gains on 20 portfolio company investments, which was offset by $2.8 million in unrealized losses on 9 portfolio company investments. Unrealized gains were driven by an increase in fair value, primarily due to tightening credit spreads. For the nine months ended September 30, 2023, we had $44.2 million in unrealized gains on 25 portfolio company investments, which was offset by $3.6 million in unrealized losses on 4 portfolio company investments. Unrealized gains were driven by an increase in fair value, primarily due to tightening credit spreads.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unrealized gains on foreign currency borrowings were driven by fluctuations in the GBP and EUR exchange rates.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months ended September 30, 2022 and from April 5, 2022 (Inception) through September 30, 2022 we had $0.5 million in unrealized gains on investments, which were offset by $0.2 million in unrealized losses on investments. Unrealized gains were driven by an increase in fair value, primarily due to positive portfolio company specific developments. Unrealized losses were driven by fluctuations in the GBP and EUR exchange rates.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2022 and from April 5, 2022 (Inception) through September 30, 2022 unrealized gains on foreign currency borrowings were driven by fluctuations in the GBP and EUR exchange rates.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approach to hedging the foreign currency exposure in our non-U.S. dollar denominated investments is primarily to borrow the par amount in local currency under our Credit Facilities to fund these investments. For the three and nine months ended September 30, 2023, we had no unrealized gains/losses and less than $0.1 million, respectively, of unrealized losses, on the translation of our non-U.S. dollar denominated debt into U.S. dollars; such amounts approximate the corresponding unrealized gains on the translation of our non-U.S. dollar denominated investments into U.S. dollars for the three and nine months ended September 30, 2023. See Note 2 for additional disclosure regarding our accounting for foreign currency. See Note 6 for additional disclosure regarding the amounts of outstanding debt denominated in each foreign currency at September 30, 2023. See our consolidated schedule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liquidity and capital resources are derived primarily from proceeds from equity issuances, advances from our Credit Facilities, and cash flows from operations. The primary uses of our cash and cash equivalents are: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operations (including paying our Adviser);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cash dividends to the holders of our shares.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hAnsi="Times New Roman"/>
          <w:b w:val="false"/>
          <w:i/>
          <w:color w:val="000000"/>
          <w:sz w:val="20"/>
        </w:rPr>
        <w:t>Key Components of Our Results of Operations —Leverage</w:t>
      </w:r>
      <w:r>
        <w:rPr>
          <w:rFonts w:ascii="Times New Roman" w:hAnsi="Times New Roman"/>
          <w:color w:val="000000"/>
          <w:sz w:val="20"/>
        </w:rPr>
        <w:t xml:space="preserve">” </w:t>
      </w:r>
      <w:r>
        <w:rPr>
          <w:rFonts w:ascii="Times New Roman" w:hAnsi="Times New Roman"/>
          <w:b w:val="false"/>
          <w:color w:val="000000"/>
          <w:sz w:val="20"/>
        </w:rPr>
        <w:t>above. As of September 30, 2023 and December 31, 2022, our asset coverage ratio was 177.3% and 201.6%,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Cash and cash equivalents as of September 30, 2023 taken together with cash available under our Credit Facilities, and cash available from undrawn Capital Commitments, is expected to be sufficient for our investing activities and to conduct our operations in the near term. As of September 30, 2023, we had approximately $481.9 million and $156.6 million of availability on our Subscription Facility and Revolving Credit Facility, respectively, subject to asset coverage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we had $508.2 million in cash and cash equivalents. For the nine months ended September 30, 2023, cash used in operating activities was $1,119.3 million, primarily attributable to funding portfolio investments of $1,255.9 million and net change in unrealized gains on investments of $40.7 million, which was offset by repayments on investments of $71.1 million and other net operating activities of $106.2 million. Cash provided by financing activities was $1,352.9 million during the period due to borrowings of $1,971.4 million and proceeds from the capital calls of $475.0 million, which were partially offset by paydowns on debt of $1,075.0 million and other financing activities of $18.5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tables summarize the total Common Shares issued and proceeds received related to the Company’s capital drawdowns delivered pursuant to the Subscription Agreements for the nine months ended September 30, 2023 and from April 5, 2022 (Inception) through September 30, 2022:</w:t>
      </w:r>
    </w:p>
    <w:p>
      <w:pPr>
        <w:pStyle w:val="TextBody"/>
        <w:bidi w:val="0"/>
        <w:jc w:val="left"/>
        <w:rPr/>
      </w:pPr>
      <w:r>
        <w:rPr/>
        <w:t> </w:t>
      </w:r>
    </w:p>
    <w:tbl>
      <w:tblPr>
        <w:tblW w:w="7980" w:type="dxa"/>
        <w:jc w:val="left"/>
        <w:tblInd w:w="0" w:type="dxa"/>
        <w:tblLayout w:type="fixed"/>
        <w:tblCellMar>
          <w:top w:w="28" w:type="dxa"/>
          <w:left w:w="28" w:type="dxa"/>
          <w:bottom w:w="28" w:type="dxa"/>
          <w:right w:w="28" w:type="dxa"/>
        </w:tblCellMar>
      </w:tblPr>
      <w:tblGrid>
        <w:gridCol w:w="2281"/>
        <w:gridCol w:w="146"/>
        <w:gridCol w:w="320"/>
        <w:gridCol w:w="2275"/>
        <w:gridCol w:w="146"/>
        <w:gridCol w:w="146"/>
        <w:gridCol w:w="668"/>
        <w:gridCol w:w="180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 ($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21, 2023</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22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June 28, 2023</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2,798,480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26, 2023</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5,387,887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17,830,180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7980" w:type="dxa"/>
        <w:jc w:val="left"/>
        <w:tblInd w:w="0" w:type="dxa"/>
        <w:tblLayout w:type="fixed"/>
        <w:tblCellMar>
          <w:top w:w="28" w:type="dxa"/>
          <w:left w:w="28" w:type="dxa"/>
          <w:bottom w:w="28" w:type="dxa"/>
          <w:right w:w="28" w:type="dxa"/>
        </w:tblCellMar>
      </w:tblPr>
      <w:tblGrid>
        <w:gridCol w:w="2281"/>
        <w:gridCol w:w="146"/>
        <w:gridCol w:w="351"/>
        <w:gridCol w:w="2244"/>
        <w:gridCol w:w="146"/>
        <w:gridCol w:w="146"/>
        <w:gridCol w:w="668"/>
        <w:gridCol w:w="180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 ($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June 24, 2022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jc w:val="left"/>
              <w:rPr/>
            </w:pPr>
            <w:r>
              <w:rPr/>
              <w:t> </w:t>
            </w:r>
          </w:p>
        </w:tc>
        <w:tc>
          <w:tcPr>
            <w:tcW w:w="22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31, 2022</w:t>
            </w:r>
          </w:p>
        </w:tc>
        <w:tc>
          <w:tcPr>
            <w:tcW w:w="146"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jc w:val="left"/>
              <w:rPr/>
            </w:pPr>
            <w:r>
              <w:rPr/>
              <w:t> </w:t>
            </w:r>
          </w:p>
        </w:tc>
        <w:tc>
          <w:tcPr>
            <w:tcW w:w="22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2,205,694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28, 2022</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5,080,906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7,287,800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Amounts round to less than $0.1 million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we also issued 1,000,755 shares to investors who have not opted out of our dividend reinvestment plan for proceeds of $26.0 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period ended September 30, 2023, the Company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September 30, 2023, the Company had received Capital Commitments totaling $6.2 billion ($5.2 billion remaining undrawn).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From April 5, 2022 (Inception) through September 30, 2022, we entered into Subscription Agreements with investors providing for the private placement of our Shares. Under the terms of the Subscription Agreements, investors are required to fund drawdowns to purchase our Common Shares up to the amount of their respective Capital Commitment on an as-needed basis each time we deliver a drawdown notice to our investors. As of September 30, 2022, the we had received Capital Commitments totaling $1.6 billion ($1.4 billion remaining undrawn). On October 7, 2022, we received additional Capital Commitments of $620 million.</w:t>
      </w:r>
    </w:p>
    <w:p>
      <w:pPr>
        <w:pStyle w:val="TextBody"/>
        <w:bidi w:val="0"/>
        <w:spacing w:before="1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Subscription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1, 2022, (the “Closing Date”), the Company entered into a revolving credit agreement (the “Subscription Facility”) with Wells Fargo Bank, National Association, as administrative agent (the “Administrative Agent”), letter of credit issuer, lead arranger and as a lender.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2022, aggregate commitments under the facility were $400 million. Pursuant to an amendment to the Subscription Facility dated as of December 21, 2022 (the “Subscription Facility First Amendment”), the aggregate commitments under the Subscription Facility were increased to $700 million, with the increased amount being brought in by the joinder of State Street Bank and Trust Company as a new lender, subject to availability under the borrowing base, which is based on unfunded capital commitments. Pursuant to lender joinder agreements dated January 18, 2023 and January 27, 2023, aggregate commitments under the Subscription Facility were increased to $800 million and $850 million, respectively. Pursuant to lender joinder agreements dated March 28, 2023, the aggregate commitments under the facility were increased to $1.3 billion. Pursuant to a lender joinder agreement dated April 27, 2023, the aggregate commitments under the facility were increased to $1.35 billion (the “Maximum Commitment”).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Subscription Facility will mature upon the earliest of: (i) August 30, 2024 (the “Stated Maturity”);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Stated Maturity Date may be extended by up to 364 days, subject to satisfaction of customary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borrow amounts in U.S. dollars or certain other permitted currencies. As of September 30, 2023, we had outstanding debt denominated in British pounds of GBP 10.3 million, and Euro of EUR 13.4 million on our Subscription Facility, included in the outstanding principal amount in the table below.</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Subscription Facility also provides for the issuance of letters of credit up to an aggregate amount of 10% of the Maximum Commitment. As of September 30, 2023, we had no outstanding letters of credit issued through the Subscription Facility. The amount available for borrowing under the Subscription Facility is reduced by any letters of credit issued through the Subscription Facility.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Subscription Facility includes customary events of default, as well as customary covenants, including restrictions on certain distributions and financial covenants.</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Revolving Credit Facility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January 19, 2023 (the “Revolving Credit Facility Closing Date”),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aggregate commitments under the facility were $600 million and included an uncommitted accordion feature that allows us, under certain circumstances, to increase the size of the facility up to $1 billion. On February 28, 2023, the aggregate commitments under the facility were upsized to $700 million. On July 27, 2023, the aggregate commitments under the facility were upsized to $725 million. The Revolving Credit Facility will mature on January 19, 2028 (the “Revolving Credit Facility Maturity Date”). We may borrow amounts in U.S. dollars or certain other permitted currencies.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borrow amounts in U.S. dollars or certain other permitted currencies. As of September 30, 2023, we had outstanding debt denominated in British pounds (GBP) of 68.7 million and Euros (EUR) 28.0 million on its Revolving Credit Facility, included in the outstanding principal amount in the table below.</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Revolving Credit Facility also provides for the issuance of letters of credit up to an aggregate amount of $175 million. As of September 30, 2023, we had $4.8 million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Revolving Credit Facility includes customary events of default (with customary cure and notice provisions).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Debt obligations consisted of the following as of September 30, 2023 and December 31, 2022:</w:t>
      </w:r>
      <w:r>
        <w:rPr>
          <w:rFonts w:ascii="Times New Roman" w:hAnsi="Times New Roman"/>
          <w:color w:val="000000"/>
          <w:sz w:val="20"/>
        </w:rPr>
        <w:t xml:space="preserve"> </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Subscription Facility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863.9</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amount available may be subject to limitations related to the borrowing base under the Subscription Facility, Revolving Credit Facility and asset coverage requirements.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carrying values of the Subscription Facility and Revolving Credit Facility are presented net of deferred financing costs of $4.2 million and $4.7 million, respectively.</w:t>
      </w:r>
    </w:p>
    <w:p>
      <w:pPr>
        <w:pStyle w:val="TextBody"/>
        <w:bidi w:val="0"/>
        <w:spacing w:before="40" w:after="283"/>
        <w:jc w:val="left"/>
        <w:rPr/>
      </w:pPr>
      <w:r>
        <w:rPr/>
        <w:t> </w:t>
      </w:r>
    </w:p>
    <w:tbl>
      <w:tblPr>
        <w:tblW w:w="7567" w:type="dxa"/>
        <w:jc w:val="left"/>
        <w:tblInd w:w="0" w:type="dxa"/>
        <w:tblLayout w:type="fixed"/>
        <w:tblCellMar>
          <w:top w:w="28" w:type="dxa"/>
          <w:left w:w="28" w:type="dxa"/>
          <w:bottom w:w="28" w:type="dxa"/>
          <w:right w:w="28" w:type="dxa"/>
        </w:tblCellMar>
      </w:tblPr>
      <w:tblGrid>
        <w:gridCol w:w="1831"/>
        <w:gridCol w:w="146"/>
        <w:gridCol w:w="425"/>
        <w:gridCol w:w="1150"/>
        <w:gridCol w:w="146"/>
        <w:gridCol w:w="146"/>
        <w:gridCol w:w="271"/>
        <w:gridCol w:w="735"/>
        <w:gridCol w:w="146"/>
        <w:gridCol w:w="146"/>
        <w:gridCol w:w="258"/>
        <w:gridCol w:w="702"/>
        <w:gridCol w:w="146"/>
        <w:gridCol w:w="146"/>
        <w:gridCol w:w="211"/>
        <w:gridCol w:w="57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Subscription Facility</w:t>
            </w:r>
          </w:p>
        </w:tc>
        <w:tc>
          <w:tcPr>
            <w:tcW w:w="146" w:type="dxa"/>
            <w:tcBorders/>
            <w:shd w:fill="CFF0FC" w:val="clear"/>
            <w:vAlign w:val="center"/>
          </w:tcPr>
          <w:p>
            <w:pPr>
              <w:pStyle w:val="TableContents"/>
              <w:bidi w:val="0"/>
              <w:spacing w:before="0" w:after="283"/>
              <w:jc w:val="righ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vAlign w:val="center"/>
          </w:tcPr>
          <w:p>
            <w:pPr>
              <w:pStyle w:val="TableContents"/>
              <w:bidi w:val="0"/>
              <w:spacing w:before="0" w:after="283"/>
              <w:jc w:val="righ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amount available may be subject to limitations related to the borrowing base under the Subscription Facility and asset coverage requirements.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carrying value of the Subscription Facility is presented net deferred financing costs of $3.9 million.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Revolving Credit Facility includes customary events of default, as well as customary covenants, including restrictions 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certain distributions and financial covenants.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we were in compliance with the terms of our debt arrangements. We intend to continue to utilize our Credit Facilities to fund investments and for other general corporate purposes.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2023 and December 31, 2022 we had the following commitments to fund investments in current portfolio companies:</w:t>
      </w:r>
      <w:r>
        <w:rPr>
          <w:rFonts w:ascii="Times New Roman" w:hAnsi="Times New Roman"/>
          <w:color w:val="000000"/>
          <w:sz w:val="20"/>
        </w:rPr>
        <w:t xml:space="preserve"> </w:t>
      </w:r>
    </w:p>
    <w:p>
      <w:pPr>
        <w:pStyle w:val="TextBody"/>
        <w:bidi w:val="0"/>
        <w:jc w:val="left"/>
        <w:rPr/>
      </w:pPr>
      <w:r>
        <w:rPr/>
        <w:t> </w:t>
      </w:r>
    </w:p>
    <w:tbl>
      <w:tblPr>
        <w:tblW w:w="9695" w:type="dxa"/>
        <w:jc w:val="left"/>
        <w:tblInd w:w="0" w:type="dxa"/>
        <w:tblLayout w:type="fixed"/>
        <w:tblCellMar>
          <w:top w:w="28" w:type="dxa"/>
          <w:left w:w="28" w:type="dxa"/>
          <w:bottom w:w="28" w:type="dxa"/>
          <w:right w:w="28" w:type="dxa"/>
        </w:tblCellMar>
      </w:tblPr>
      <w:tblGrid>
        <w:gridCol w:w="5821"/>
        <w:gridCol w:w="146"/>
        <w:gridCol w:w="417"/>
        <w:gridCol w:w="1128"/>
        <w:gridCol w:w="146"/>
        <w:gridCol w:w="146"/>
        <w:gridCol w:w="467"/>
        <w:gridCol w:w="1033"/>
        <w:gridCol w:w="3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in millions)</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Alaska Bidco Oy - Delayed Draw &amp; Revolver</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Arrow Buyer, Inc. - Delayed Draw</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Avalara, Inc. - Revolver</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Banyan Software Holdings, LLC - Delayed Draw</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BCTO Bluebill Buyer, Inc. - Delayed Draw</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BTRS Holdings, Inc. - Delayed Draw &amp; Revolver</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Coupa Holdings, LLC - Delayed Draw &amp; Revolver</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Disco Parent, Inc. - Revolver</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Edge Bidco B.V - Delayed Draw &amp; Revolver</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Erling Lux Bidco SARL - Delayed Draw &amp; Revolver</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Galileo Parent, Inc. - Revolver</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Hirevue, Inc. - Revolver</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Hornetsecurity Holding GmbH - Delayed Draw &amp; Revolver</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Laramie Energy, LLC - Delayed Draw</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OutSystems Luxco SARL - Delayed Draw</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Ping Identity Holding Corp. - Revolver</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3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Rapid Data GmbH Unternehmensberatung - Delayed Draw &amp; Revolver</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SkyLark UK DebtCo - Delayed Draw &amp; Revolver</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SL Buyer Corp. - Delyaed Draw</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Wrangler TopCo, LLC - Revolver</w:t>
            </w:r>
          </w:p>
        </w:tc>
        <w:tc>
          <w:tcPr>
            <w:tcW w:w="146" w:type="dxa"/>
            <w:tcBorders/>
            <w:shd w:fill="FFFFFF" w:val="clear"/>
            <w:vAlign w:val="center"/>
          </w:tcPr>
          <w:p>
            <w:pPr>
              <w:pStyle w:val="TableContents"/>
              <w:bidi w:val="0"/>
              <w:spacing w:before="0" w:after="283"/>
              <w:jc w:val="righ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8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CFF0FC" w:val="clear"/>
            <w:vAlign w:val="center"/>
          </w:tcPr>
          <w:p>
            <w:pPr>
              <w:pStyle w:val="TableContents"/>
              <w:bidi w:val="0"/>
              <w:spacing w:before="0" w:after="283"/>
              <w:jc w:val="righ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Our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an unfunded commitment of EUR 0.9 million to a new borrower that is not a current portfolio company. As of December 31, 2022 we did not have any unfunded commitments to fund investments to new borrowers that were not current portfolio companies as of such date.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From time to time, we may become a party to certain legal proceedings incidental to the normal course of our business. As of September 30, 2023,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certain contracts under which we have material future commitments. Under the Investment Advisory Agreement, our Adviser provides us with investment advisory and management services. For these services, we pay the Management Fee and the Incentive Fee.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summary of our contractual payment obligations as of September 30, 2023 is as follows:</w:t>
      </w:r>
      <w:r>
        <w:rPr>
          <w:rFonts w:ascii="Times New Roman" w:hAnsi="Times New Roman"/>
          <w:color w:val="000000"/>
          <w:sz w:val="20"/>
        </w:rPr>
        <w:t xml:space="preserve"> </w:t>
      </w:r>
    </w:p>
    <w:p>
      <w:pPr>
        <w:pStyle w:val="TextBody"/>
        <w:bidi w:val="0"/>
        <w:jc w:val="left"/>
        <w:rPr/>
      </w:pPr>
      <w:r>
        <w:rPr/>
        <w:t> </w:t>
      </w:r>
    </w:p>
    <w:tbl>
      <w:tblPr>
        <w:tblW w:w="8932"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11"/>
        <w:gridCol w:w="571"/>
        <w:gridCol w:w="146"/>
        <w:gridCol w:w="146"/>
        <w:gridCol w:w="295"/>
        <w:gridCol w:w="485"/>
        <w:gridCol w:w="146"/>
        <w:gridCol w:w="146"/>
        <w:gridCol w:w="211"/>
        <w:gridCol w:w="571"/>
        <w:gridCol w:w="146"/>
        <w:gridCol w:w="146"/>
        <w:gridCol w:w="403"/>
        <w:gridCol w:w="662"/>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0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Subscription Facility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intend to elect to be regulated and qualify for U.S. federal income tax purposes as a RIC under subchapter M of the Code. To maintain RIC status, we must distribute (or be treated as distributing) in each taxable year dividends for tax purposes equal to at least 90 percent of the sum of our: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net tax-exempt interest income (which is the excess of our gross tax-exempt interest income over certain disallowed deductions) for such taxable year.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RIC, we (but not our shareholders) generally will not be subject to U.S. federal income tax on investment company taxable income and net capital gains that we distribute to our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100% of any income or gains recognized, but not distributed, in preceding years.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shares of Common Shares will be subject to the same U.S. federal, state and local tax consequences as if they received cash distributions.</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entered into a number of business relationships with affiliated or related parties,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Investment Advisory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Administration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disclosed in “Item 1A. Risk Factors” of our Annual Report on Form 10-K for the fiscal year ended December 31, 2022, filed with the SEC on February 17, 2023, and elsewhere in our filings with the SEC.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 of the valuation process, the Board takes into account relevant factors in determining the fair value of our investments, including and in combination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estimated enterprise value of a portfolio company (that is, the total value of the portfolio company’s net debt and equity);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nature and realizable value of any collateral;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portfolio company’s ability to make payments based on its earnings and cash flow;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markets in which the portfolio company does business;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comparison of the portfolio company’s securities to any similar publicly traded securities;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overall changes in the interest rate environment and the credit markets that may affect the price at which similar investments may be made in the future.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When an external event, such as a purchase transaction, public offering or subsequent equity sale occurs, the Board considers whether the pricing indicated by the external event corroborates our valuation.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Board undertakes a multi-step valuation process, which includes, among other procedures,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Adviser’s management reviews the preliminary valuations with the investment professionals. Agreed-upon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conduct this valuation process on a quarterly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Board has engaged independent third-party valuation firms to perform certain limited procedures that the Board has identified and requested them to perform in connection with the valuation process. At September 30, 2023,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We apply Financial Accounting Standards Board Accounting Standards Codification Topic 820, </w:t>
      </w:r>
      <w:r>
        <w:rPr>
          <w:rFonts w:ascii="Times New Roman" w:hAnsi="Times New Roman"/>
          <w:b w:val="false"/>
          <w:i/>
          <w:color w:val="000000"/>
          <w:sz w:val="20"/>
        </w:rPr>
        <w:t>Fair Value Measurement</w:t>
      </w:r>
      <w:r>
        <w:rPr>
          <w:rFonts w:ascii="Times New Roman" w:hAnsi="Times New Roman"/>
          <w:color w:val="000000"/>
          <w:sz w:val="20"/>
        </w:rPr>
        <w:t xml:space="preserve"> </w:t>
      </w:r>
      <w:r>
        <w:rPr>
          <w:rFonts w:ascii="Times New Roman" w:hAnsi="Times New Roman"/>
          <w:b w:val="false"/>
          <w:color w:val="000000"/>
          <w:sz w:val="20"/>
        </w:rPr>
        <w:t>(“ASC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1—Valuations based on quoted prices in active markets for identical assets or liabilities that we have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3—Valuations based on inputs that are unobservable and significant to the overall fair value measurement.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See Note 5 to our consolidated financial statements included in this Form 10-Q for more information on the fair value of our investments.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Unless providing services in connection with an investment, such as syndication, structuring or diligence, all or a portion of any loan fees received by us will be deferred and amortized over the investment’s life using the effective interest method.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accounting policy on interest and dividend income recognition is critical because it involves the primary source of our revenue and accordingly is significant to the financial results as disclosed in our consolidated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U.S. Federal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elected to be treated as a BDC under the 1940 Act. We also intend to be treated as a RIC under the Code. So long as we maintain our status as a RIC, we will generally not pay corporate-level U.S. federal income or excise taxes on any ordinary income or capital gains that we distribute at least annually to our shareholders as dividends. As a result, any tax liability related to income earned and distributed by us represents obligations of our shareholders and will not be reflected in our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accounting policy on income taxes is critical because if we are unable to maintain our status as a RIC, we would be required to record a provision for corporate-level U.S. federal income taxes which may be significant to our financial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the Company recorded a net expense of $0.4 million and $1.1 million, respectively, for U.S. federal excise tax and other taxes. For the three months ended September 30, 2022 and from April 5, 2022 (Inception) through September 30, 2022, the Company recorded no net expense for U.S. federal excise tax and other taxes.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99.9% of our debt investments based on fair value in our portfolio bore interest at floating rates, with 100% of these subject to interest rate floors. Our credit facility also bears interest at floating rates.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Assuming that our consolidated balance sheet as of September 30,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52"/>
        <w:gridCol w:w="878"/>
        <w:gridCol w:w="166"/>
        <w:gridCol w:w="146"/>
        <w:gridCol w:w="401"/>
        <w:gridCol w:w="889"/>
        <w:gridCol w:w="166"/>
        <w:gridCol w:w="146"/>
        <w:gridCol w:w="477"/>
        <w:gridCol w:w="1053"/>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Up 300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Up 200 basis points</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Up 100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Down 25 basis points</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Down 50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br/>
      </w:r>
      <w:r>
        <w:rPr>
          <w:rFonts w:ascii="Times New Roman" w:hAnsi="Times New Roman"/>
          <w:color w:val="000000"/>
          <w:sz w:val="20"/>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pStyle w:val="TextBody"/>
        <w:bidi w:val="0"/>
        <w:spacing w:before="360" w:after="283"/>
        <w:jc w:val="left"/>
        <w:rPr>
          <w:rFonts w:ascii="Times New Roman" w:hAnsi="Times New Roman"/>
          <w:sz w:val="20"/>
        </w:rPr>
      </w:pPr>
      <w:r>
        <w:rPr>
          <w:rFonts w:ascii="Times New Roman" w:hAnsi="Times New Roman"/>
          <w:b/>
          <w:i/>
          <w:color w:val="000000"/>
          <w:sz w:val="20"/>
        </w:rPr>
        <w:t>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r>
        <w:rPr>
          <w:rFonts w:ascii="Times New Roman" w:hAnsi="Times New Roman"/>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r>
        <w:rPr>
          <w:rFonts w:ascii="Times New Roman" w:hAnsi="Times New Roman"/>
          <w:b w:val="false"/>
          <w:color w:val="000000"/>
          <w:sz w:val="20"/>
        </w:rPr>
        <w:t>There have been no changes in our internal control over financial reporting that occurred during our most recently completed fiscal quarter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information regarding factors that could affect our results of operations, financial condition and liquidity, see the risk factors discussed in Part I, “Item 1A. Risk Factors” in our Annual Report on Form 10-K for the fiscal year ended December 31, 2022.</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Refer to our Current Reports on Form 8-K filed with SEC on September 30, 2023 for information about unregistered sales of our equity securities during the quarter.</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737"/>
        <w:gridCol w:w="146"/>
        <w:gridCol w:w="9322"/>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2" w:type="dxa"/>
            <w:tcBorders/>
            <w:vAlign w:val="center"/>
          </w:tcPr>
          <w:p>
            <w:pPr>
              <w:pStyle w:val="TableContents"/>
              <w:bidi w:val="0"/>
              <w:spacing w:before="0" w:after="283"/>
              <w:jc w:val="left"/>
              <w:rPr>
                <w:sz w:val="4"/>
                <w:szCs w:val="4"/>
              </w:rPr>
            </w:pPr>
            <w:r>
              <w:rPr>
                <w:sz w:val="4"/>
                <w:szCs w:val="4"/>
              </w:rPr>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jc w:val="left"/>
              <w:rPr/>
            </w:pPr>
            <w:hyperlink r:id="rId2">
              <w:r>
                <w:rPr>
                  <w:rStyle w:val="InternetLink"/>
                  <w:rFonts w:ascii="Times New Roman" w:hAnsi="Times New Roman"/>
                  <w:b w:val="false"/>
                  <w:color w:val="0000FF"/>
                  <w:sz w:val="20"/>
                  <w:u w:val="single"/>
                </w:rPr>
                <w:t>Second Amended and Restated Declaration of Trust</w:t>
              </w:r>
            </w:hyperlink>
            <w:r>
              <w:rPr>
                <w:rFonts w:ascii="Times New Roman" w:hAnsi="Times New Roman"/>
                <w:color w:val="000000"/>
                <w:sz w:val="20"/>
              </w:rPr>
              <w:t> </w:t>
            </w:r>
            <w:r>
              <w:rPr>
                <w:rFonts w:ascii="Times New Roman" w:hAnsi="Times New Roman"/>
                <w:b w:val="false"/>
                <w:color w:val="000000"/>
                <w:sz w:val="13"/>
              </w:rPr>
              <w:t>(1)</w:t>
            </w:r>
          </w:p>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jc w:val="left"/>
              <w:rPr/>
            </w:pPr>
            <w:hyperlink r:id="rId3">
              <w:r>
                <w:rPr>
                  <w:rStyle w:val="InternetLink"/>
                  <w:rFonts w:ascii="Times New Roman" w:hAnsi="Times New Roman"/>
                  <w:b w:val="false"/>
                  <w:color w:val="0000FF"/>
                  <w:sz w:val="20"/>
                  <w:u w:val="single"/>
                </w:rPr>
                <w:t>Bylaws</w:t>
              </w:r>
            </w:hyperlink>
            <w:r>
              <w:rPr>
                <w:rFonts w:ascii="Times New Roman" w:hAnsi="Times New Roman"/>
                <w:color w:val="000000"/>
                <w:sz w:val="20"/>
              </w:rPr>
              <w:t> </w:t>
            </w:r>
            <w:r>
              <w:rPr>
                <w:rFonts w:ascii="Times New Roman" w:hAnsi="Times New Roman"/>
                <w:b w:val="false"/>
                <w:color w:val="000000"/>
                <w:sz w:val="13"/>
              </w:rPr>
              <w:t>(2)</w:t>
            </w:r>
          </w:p>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jc w:val="left"/>
              <w:rPr/>
            </w:pPr>
            <w:hyperlink w:anchor="ck0001925309-ex31_1.htm">
              <w:r>
                <w:rPr>
                  <w:rStyle w:val="InternetLink"/>
                  <w:rFonts w:ascii="Times New Roman" w:hAnsi="Times New Roman"/>
                  <w:b w:val="false"/>
                  <w:color w:val="0000FF"/>
                  <w:sz w:val="20"/>
                  <w:u w:val="single"/>
                </w:rPr>
                <w:t>Certification of Chief Executive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jc w:val="left"/>
              <w:rPr/>
            </w:pPr>
            <w:hyperlink w:anchor="ck0001925309-ex31_2.htm">
              <w:r>
                <w:rPr>
                  <w:rStyle w:val="InternetLink"/>
                  <w:rFonts w:ascii="Times New Roman" w:hAnsi="Times New Roman"/>
                  <w:b w:val="false"/>
                  <w:color w:val="0000FF"/>
                  <w:sz w:val="20"/>
                  <w:u w:val="single"/>
                </w:rPr>
                <w:t>Certification of Chief Financial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jc w:val="left"/>
              <w:rPr/>
            </w:pPr>
            <w:hyperlink w:anchor="ck0001925309-ex32.htm">
              <w:r>
                <w:rPr>
                  <w:rStyle w:val="InternetLink"/>
                  <w:rFonts w:ascii="Times New Roman" w:hAnsi="Times New Roman"/>
                  <w:b w:val="false"/>
                  <w:color w:val="0000FF"/>
                  <w:sz w:val="20"/>
                  <w:u w:val="single"/>
                </w:rPr>
                <w:t>Certification of CEO and CFO Pursuant to 18 U.S.C. Section 1350, as Adopted Pursuant to Section 906 of the Sarbanes-Oxley Act of 2002</w:t>
              </w:r>
            </w:hyperlink>
          </w:p>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Incorporated by reference to Exhibit 3.1 to the Company’s Registration Statement on Form 10 (File No. 000-56455), filed on August 22, 2022.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(2) Incorporated by reference to Exhibit 3.2 to the Company’s Registration Statement on Form 10 (File No. 000-56455), filed on June 28,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4870" w:type="dxa"/>
        <w:jc w:val="left"/>
        <w:tblInd w:w="0" w:type="dxa"/>
        <w:tblLayout w:type="fixed"/>
        <w:tblCellMar>
          <w:top w:w="28" w:type="dxa"/>
          <w:left w:w="28" w:type="dxa"/>
          <w:bottom w:w="28" w:type="dxa"/>
          <w:right w:w="28" w:type="dxa"/>
        </w:tblCellMar>
      </w:tblPr>
      <w:tblGrid>
        <w:gridCol w:w="2101"/>
        <w:gridCol w:w="146"/>
        <w:gridCol w:w="406"/>
        <w:gridCol w:w="146"/>
        <w:gridCol w:w="20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Sixth Street Lending Partners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3,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Joshua Easterly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Joshua Easterly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3,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bookmarkStart w:id="22" w:name="ck0001925309-ex31_1.htm"/>
      <w:bookmarkStart w:id="23" w:name="ksck0001925309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Joshua Easterly,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(1) I have reviewed this quarterly report on Form 10-Q of Sixth Street Lending Partners (the “registrant”);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4870" w:type="dxa"/>
        <w:jc w:val="left"/>
        <w:tblInd w:w="0" w:type="dxa"/>
        <w:tblLayout w:type="fixed"/>
        <w:tblCellMar>
          <w:top w:w="28" w:type="dxa"/>
          <w:left w:w="28" w:type="dxa"/>
          <w:bottom w:w="28" w:type="dxa"/>
          <w:right w:w="28" w:type="dxa"/>
        </w:tblCellMar>
      </w:tblPr>
      <w:tblGrid>
        <w:gridCol w:w="2101"/>
        <w:gridCol w:w="146"/>
        <w:gridCol w:w="406"/>
        <w:gridCol w:w="146"/>
        <w:gridCol w:w="20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3,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Joshua Easterly</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071" w:type="dxa"/>
            <w:tcBorders/>
            <w:vAlign w:val="center"/>
          </w:tcPr>
          <w:p>
            <w:pPr>
              <w:pStyle w:val="TableContents"/>
              <w:bidi w:val="0"/>
              <w:spacing w:before="40" w:after="283"/>
              <w:jc w:val="left"/>
              <w:rPr>
                <w:rFonts w:ascii="Times New Roman" w:hAnsi="Times New Roman"/>
                <w:b w:val="false"/>
                <w:color w:val="000000"/>
                <w:sz w:val="20"/>
              </w:rPr>
            </w:pPr>
            <w:r>
              <w:rPr>
                <w:rFonts w:ascii="Times New Roman" w:hAnsi="Times New Roman"/>
                <w:b w:val="false"/>
                <w:color w:val="000000"/>
                <w:sz w:val="20"/>
              </w:rPr>
              <w:t>Joshua Easterly</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k0001925309-ex31_2.htm"/>
      <w:bookmarkStart w:id="25" w:name="ksck0001925309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CFO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Ian Simmonds,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Sixth Street Lending Partners (the “registrant”);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4810" w:type="dxa"/>
        <w:jc w:val="left"/>
        <w:tblInd w:w="0" w:type="dxa"/>
        <w:tblLayout w:type="fixed"/>
        <w:tblCellMar>
          <w:top w:w="28" w:type="dxa"/>
          <w:left w:w="28" w:type="dxa"/>
          <w:bottom w:w="28" w:type="dxa"/>
          <w:right w:w="28" w:type="dxa"/>
        </w:tblCellMar>
      </w:tblPr>
      <w:tblGrid>
        <w:gridCol w:w="2101"/>
        <w:gridCol w:w="146"/>
        <w:gridCol w:w="406"/>
        <w:gridCol w:w="146"/>
        <w:gridCol w:w="20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3,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Ian Simmonds</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011" w:type="dxa"/>
            <w:tcBorders/>
            <w:vAlign w:val="center"/>
          </w:tcPr>
          <w:p>
            <w:pPr>
              <w:pStyle w:val="TableContents"/>
              <w:bidi w:val="0"/>
              <w:spacing w:before="40" w:after="283"/>
              <w:jc w:val="left"/>
              <w:rPr>
                <w:rFonts w:ascii="Times New Roman" w:hAnsi="Times New Roman"/>
                <w:b w:val="false"/>
                <w:color w:val="000000"/>
                <w:sz w:val="20"/>
              </w:rPr>
            </w:pPr>
            <w:r>
              <w:rPr>
                <w:rFonts w:ascii="Times New Roman" w:hAnsi="Times New Roman"/>
                <w:b w:val="false"/>
                <w:color w:val="000000"/>
                <w:sz w:val="20"/>
              </w:rPr>
              <w:t>Ian Simmonds</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ck0001925309-ex32.htm"/>
      <w:bookmarkStart w:id="27" w:name="ksck0001925309ex32"/>
      <w:bookmarkEnd w:id="26"/>
      <w:bookmarkEnd w:id="27"/>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on Form 10-Q of Sixth Street Lending Partners (the “Company”) for the quarterly period ended September 30,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(1) The Report fully complies with the requirements of Section 13(a) or 15(d) of the Securities Exchange Act of 1934, as amended;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Joshua Easterly</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Joshua Easterly</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3, 2023</w:t>
            </w:r>
          </w:p>
        </w:tc>
      </w:tr>
    </w:tbl>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Ian Simmonds</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Ian Simmonds</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3, 2023</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foregoing certification is being furnished solely pursuant to 18 U.S.C. §1350 and is not being filed as part of the Report or as a separate disclosure document.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5309/000119312522226504/d260658dex31.htm" TargetMode="External"/><Relationship Id="rId3" Type="http://schemas.openxmlformats.org/officeDocument/2006/relationships/hyperlink" Target="https://www.sec.gov/Archives/edgar/data/1925309/000119312522183512/d260658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31192</Words>
  <Characters>169088</Characters>
  <CharactersWithSpaces>203671</CharactersWithSpaces>
  <Paragraphs>10392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