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98461d8k.htm"/>
      <w:bookmarkStart w:id="1" w:name="ksd1984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November 4,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88-1710161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Joshua Easterly as Chief Executive Officer of the Company; Remains Chairman of the Board </w:t>
      </w:r>
    </w:p>
    <w:p>
      <w:pPr>
        <w:pStyle w:val="TextBody"/>
        <w:bidi w:val="0"/>
        <w:spacing w:before="120" w:after="0"/>
        <w:jc w:val="left"/>
        <w:rPr>
          <w:rFonts w:ascii="Times New Roman" w:hAnsi="Times New Roman"/>
          <w:sz w:val="20"/>
        </w:rPr>
      </w:pPr>
      <w:r>
        <w:rPr>
          <w:rFonts w:ascii="Times New Roman" w:hAnsi="Times New Roman"/>
          <w:sz w:val="20"/>
        </w:rPr>
        <w:t xml:space="preserve">On November 4, 2025, pursuant to the Bylaws of the Company, Joshua Easterly informed the Board of Trustees (the “Board”) of Sixth Street Lending Partners (the “Company”) of his intention to resign as Chief Executive Officer of the Company, effective as of the close of business on December 31, 2025. Mr. Easterly will continue to serve as a trustee and Chairman of the Company. Mr. Easterly’s decision was not a result of any disagreement with the Company on any matter relating to the Company’s operations, policies or practices. The Company thanks Mr. Easterly for his years of service as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John D. Hershey and Robert (Bo) Stanley to the Board of Trustees of the Company; Appointment of Robert (Bo) Stanley as Co-Chief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November 4, 2025, the Board increased the size of the Board from seven (7) to nine (9) trustees, and appointed John D. Hershey and Robert (Bo) Stanley as trustees. Mr. Hershey’s and Mr. Stanley’s appointments brings the total number of trustees to nine, five of whom are not “interested persons” of the Company as defined in Section 2(a)(19) of the Investment Company Act of 1940, as amended. Mr. Hershey will serve on the Board as a trustee who is not an “interested person” and each of Messrs. Hershey and Stanley will serve until their successor is duly elected and qualified. Also on November 4, 2025, Mr. Hershey was appointed as a member of the Company’s Audit Committee and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2025, the Board also appointed Robert (Bo) Stanley, 50, as Co-Chief Executive Officer of the Company. Following December 31, 2025, Mr. Stanley will serve as sole Chief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Hershey previously worked from 2008 to 2023 at the Oregon State Treasury, most recently as Director of Investments, where he helped manage investment portfolios across all asset classes. Prior to that role, Mr. Hershey was the Director of Alternative Investments, with overall responsibility for private equity, real estate, real assets, hedge fund, private credit, and opportunity portfolios. Previously, Mr. Hershey was a managing director at an early-stage venture firm and a managing director at Banc of America Securities. Mr. Hershey has a BA in Economics from the University of California, Davis and an MBA from the University of Chicago. He served from 2018-2023 as a board member of the Institutional Limited Partners Association (ILPA), and Vice Chair from 2020-2022. He currently is a member of the board of trustees of the Oregon Health &amp; Science University Foundation and is a member of the board of directors of Sixth Street Specialty Lending, Inc., Talcott Financial Group Investments, Blackstone Private Equity Strategies Fund L.P. and Blackstone Infrastructure Strategies L.P. </w:t>
      </w:r>
    </w:p>
    <w:p>
      <w:pPr>
        <w:pStyle w:val="TextBody"/>
        <w:bidi w:val="0"/>
        <w:spacing w:before="240" w:after="0"/>
        <w:jc w:val="left"/>
        <w:rPr>
          <w:rFonts w:ascii="Times New Roman" w:hAnsi="Times New Roman"/>
          <w:sz w:val="20"/>
        </w:rPr>
      </w:pPr>
      <w:r>
        <w:rPr>
          <w:rFonts w:ascii="Times New Roman" w:hAnsi="Times New Roman"/>
          <w:sz w:val="20"/>
        </w:rPr>
        <w:t xml:space="preserve">Mr. Stanley is a Partner of Sixth Street, Co-Head of Sixth Street Direct Lending and Co-Head of Sixth Street Growth. Mr. Stanley also served as President of Sixth Street Specialty Lending, Inc. prior to his appointment to Co-CEO of both Sixth Street Specialty Lending, Inc. and Sixth Street Lending Partners. Mr. Stanley focuses on originating transactions in the software, payment systems, data infrastructure and business services sectors. Representative portfolio companies include AvidXchange, Kaseya, Lucidworks, PayScale and SmartDrive. Prior to joining Sixth Street in 2011, Mr. Stanley was with Wells Fargo Capital Finance, where he served in multiple roles providing specialized financing to companies throughout the U.S. and Canada. He holds a B.S. in Business Administration with a concentration in Finance from the University of Maine. </w:t>
      </w:r>
    </w:p>
    <w:p>
      <w:pPr>
        <w:pStyle w:val="TextBody"/>
        <w:bidi w:val="0"/>
        <w:spacing w:before="240" w:after="0"/>
        <w:jc w:val="left"/>
        <w:rPr/>
      </w:pPr>
      <w:r>
        <w:rPr>
          <w:rFonts w:ascii="Times New Roman" w:hAnsi="Times New Roman"/>
          <w:sz w:val="20"/>
        </w:rPr>
        <w:t>Messrs. Hershey and Stanley (i) were not appointed pursuant to any arrangement or understanding with any other person; (ii) do not have a family relationship with any of the Company’s trustees or other executive officers; (iii) have not engaged, since the beginning of the Company’s last fiscal year, nor propose to engage, in any transaction in which the Company was or is a participant; and (iv) have not entered into, nor expect to enter into, any material plan, contract, arrangement, grant or award in connection with their appointments. Mr. Hershey will receive the standard compensation paid by the Company to its trustees that are not “interested persons” as disclosed under “</w:t>
      </w:r>
      <w:hyperlink r:id="rId2">
        <w:r>
          <w:rPr>
            <w:rStyle w:val="InternetLink"/>
            <w:rFonts w:ascii="Times New Roman" w:hAnsi="Times New Roman"/>
            <w:sz w:val="20"/>
          </w:rPr>
          <w:t>Item 11: Executive Compensation—Compensation of Trustees</w:t>
        </w:r>
      </w:hyperlink>
      <w:r>
        <w:rPr>
          <w:rFonts w:ascii="Times New Roman" w:hAnsi="Times New Roman"/>
          <w:sz w:val="20"/>
        </w:rPr>
        <w:t xml:space="preserve">” in the Company’s Annual Report on Form 10-K for the fiscal year ended December 31, 2024, which description is incorporated herein by reference.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21" w:type="dxa"/>
        <w:jc w:val="left"/>
        <w:tblInd w:w="0" w:type="dxa"/>
        <w:tblLayout w:type="fixed"/>
        <w:tblCellMar>
          <w:top w:w="0" w:type="dxa"/>
          <w:left w:w="0" w:type="dxa"/>
          <w:bottom w:w="0" w:type="dxa"/>
          <w:right w:w="0" w:type="dxa"/>
        </w:tblCellMar>
      </w:tblPr>
      <w:tblGrid>
        <w:gridCol w:w="2390"/>
        <w:gridCol w:w="60"/>
        <w:gridCol w:w="23"/>
        <w:gridCol w:w="60"/>
        <w:gridCol w:w="927"/>
        <w:gridCol w:w="85"/>
        <w:gridCol w:w="3176"/>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SIXTH STREET LENDING PARTNERS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6" w:type="dxa"/>
            <w:tcBorders/>
            <w:vAlign w:val="center"/>
          </w:tcPr>
          <w:p>
            <w:pPr>
              <w:pStyle w:val="TableContents"/>
              <w:bidi w:val="0"/>
              <w:spacing w:before="0" w:after="283"/>
              <w:jc w:val="left"/>
              <w:rPr/>
            </w:pPr>
            <w:r>
              <w:rPr/>
              <w:t>(Registrant)</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87"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November 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Name:</w:t>
            </w:r>
          </w:p>
        </w:tc>
        <w:tc>
          <w:tcPr>
            <w:tcW w:w="85" w:type="dxa"/>
            <w:tcBorders/>
            <w:vAlign w:val="center"/>
          </w:tcPr>
          <w:p>
            <w:pPr>
              <w:pStyle w:val="TableContents"/>
              <w:bidi w:val="0"/>
              <w:spacing w:before="0" w:after="283"/>
              <w:jc w:val="left"/>
              <w:rPr/>
            </w:pPr>
            <w:r>
              <w:rPr/>
              <w:t> </w:t>
            </w:r>
          </w:p>
        </w:tc>
        <w:tc>
          <w:tcPr>
            <w:tcW w:w="3176" w:type="dxa"/>
            <w:tcBorders/>
            <w:vAlign w:val="center"/>
          </w:tcPr>
          <w:p>
            <w:pPr>
              <w:pStyle w:val="TableContents"/>
              <w:bidi w:val="0"/>
              <w:spacing w:before="0" w:after="283"/>
              <w:jc w:val="left"/>
              <w:rPr/>
            </w:pPr>
            <w:r>
              <w:rPr/>
              <w:t>Ian Simmonds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Title:</w:t>
            </w:r>
          </w:p>
        </w:tc>
        <w:tc>
          <w:tcPr>
            <w:tcW w:w="85" w:type="dxa"/>
            <w:tcBorders/>
            <w:vAlign w:val="center"/>
          </w:tcPr>
          <w:p>
            <w:pPr>
              <w:pStyle w:val="TableContents"/>
              <w:bidi w:val="0"/>
              <w:spacing w:before="0" w:after="283"/>
              <w:jc w:val="left"/>
              <w:rPr/>
            </w:pPr>
            <w:r>
              <w:rPr/>
              <w:t> </w:t>
            </w:r>
          </w:p>
        </w:tc>
        <w:tc>
          <w:tcPr>
            <w:tcW w:w="317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925309/000095017025021144/ck0001925309-202412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1091</Words>
  <Characters>5928</Characters>
  <CharactersWithSpaces>7013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