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Simpson Thacher &amp; Bartlett LLP </w:t>
      </w:r>
    </w:p>
    <w:p>
      <w:pPr>
        <w:pStyle w:val="TextBody"/>
        <w:bidi w:val="0"/>
        <w:spacing w:before="120" w:after="0"/>
        <w:jc w:val="center"/>
        <w:rPr>
          <w:rFonts w:ascii="Times New Roman" w:hAnsi="Times New Roman"/>
          <w:sz w:val="20"/>
        </w:rPr>
      </w:pPr>
      <w:r>
        <w:rPr>
          <w:rFonts w:ascii="Times New Roman" w:hAnsi="Times New Roman"/>
          <w:sz w:val="20"/>
        </w:rPr>
        <w:t xml:space="preserve">900 G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TELEPHONE: +1-202-636-5500 </w:t>
      </w:r>
    </w:p>
    <w:p>
      <w:pPr>
        <w:pStyle w:val="TextBody"/>
        <w:bidi w:val="0"/>
        <w:spacing w:before="0" w:after="0"/>
        <w:jc w:val="center"/>
        <w:rPr>
          <w:rFonts w:ascii="Times New Roman" w:hAnsi="Times New Roman"/>
          <w:sz w:val="20"/>
        </w:rPr>
      </w:pPr>
      <w:r>
        <w:rPr>
          <w:rFonts w:ascii="Times New Roman" w:hAnsi="Times New Roman"/>
          <w:sz w:val="20"/>
        </w:rPr>
        <w:t xml:space="preserve">FACSIMILE: +1-202-636-5502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64"/>
        <w:gridCol w:w="123"/>
        <w:gridCol w:w="5118"/>
      </w:tblGrid>
      <w:tr>
        <w:trPr/>
        <w:tc>
          <w:tcPr>
            <w:tcW w:w="496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118" w:type="dxa"/>
            <w:tcBorders/>
            <w:vAlign w:val="center"/>
          </w:tcPr>
          <w:p>
            <w:pPr>
              <w:pStyle w:val="TableContents"/>
              <w:bidi w:val="0"/>
              <w:spacing w:before="0" w:after="283"/>
              <w:jc w:val="left"/>
              <w:rPr>
                <w:sz w:val="4"/>
                <w:szCs w:val="4"/>
              </w:rPr>
            </w:pPr>
            <w:r>
              <w:rPr>
                <w:sz w:val="4"/>
                <w:szCs w:val="4"/>
              </w:rPr>
            </w:r>
          </w:p>
        </w:tc>
      </w:tr>
      <w:tr>
        <w:trPr/>
        <w:tc>
          <w:tcPr>
            <w:tcW w:w="4964" w:type="dxa"/>
            <w:tcBorders/>
          </w:tcPr>
          <w:p>
            <w:pPr>
              <w:pStyle w:val="TableContents"/>
              <w:bidi w:val="0"/>
              <w:spacing w:before="0" w:after="0"/>
              <w:jc w:val="left"/>
              <w:rPr>
                <w:rFonts w:ascii="Times New Roman" w:hAnsi="Times New Roman"/>
                <w:sz w:val="20"/>
              </w:rPr>
            </w:pPr>
            <w:r>
              <w:rPr>
                <w:rFonts w:ascii="Times New Roman" w:hAnsi="Times New Roman"/>
                <w:sz w:val="20"/>
              </w:rPr>
              <w:t>Direct Dial Number</w:t>
            </w:r>
          </w:p>
          <w:p>
            <w:pPr>
              <w:pStyle w:val="TableContents"/>
              <w:bidi w:val="0"/>
              <w:spacing w:before="0" w:after="20"/>
              <w:jc w:val="left"/>
              <w:rPr>
                <w:rFonts w:ascii="Times New Roman" w:hAnsi="Times New Roman"/>
                <w:sz w:val="20"/>
              </w:rPr>
            </w:pPr>
            <w:r>
              <w:rPr>
                <w:rFonts w:ascii="Times New Roman" w:hAnsi="Times New Roman"/>
                <w:sz w:val="20"/>
              </w:rPr>
              <w:t>+1-202-636-5592</w:t>
            </w:r>
          </w:p>
        </w:tc>
        <w:tc>
          <w:tcPr>
            <w:tcW w:w="123" w:type="dxa"/>
            <w:tcBorders/>
            <w:vAlign w:val="bottom"/>
          </w:tcPr>
          <w:p>
            <w:pPr>
              <w:pStyle w:val="TableContents"/>
              <w:bidi w:val="0"/>
              <w:spacing w:before="0" w:after="283"/>
              <w:jc w:val="left"/>
              <w:rPr/>
            </w:pPr>
            <w:r>
              <w:rPr/>
              <w:t>  </w:t>
            </w:r>
          </w:p>
        </w:tc>
        <w:tc>
          <w:tcPr>
            <w:tcW w:w="5118" w:type="dxa"/>
            <w:tcBorders/>
          </w:tcPr>
          <w:p>
            <w:pPr>
              <w:pStyle w:val="TableContents"/>
              <w:bidi w:val="0"/>
              <w:spacing w:before="0" w:after="0"/>
              <w:jc w:val="right"/>
              <w:rPr>
                <w:rFonts w:ascii="Times New Roman" w:hAnsi="Times New Roman"/>
                <w:sz w:val="20"/>
              </w:rPr>
            </w:pPr>
            <w:r>
              <w:rPr>
                <w:rFonts w:ascii="Times New Roman" w:hAnsi="Times New Roman"/>
                <w:sz w:val="20"/>
              </w:rPr>
              <w:t>E-mail Address</w:t>
            </w:r>
          </w:p>
          <w:p>
            <w:pPr>
              <w:pStyle w:val="TableContents"/>
              <w:bidi w:val="0"/>
              <w:spacing w:before="0" w:after="20"/>
              <w:jc w:val="right"/>
              <w:rPr>
                <w:rFonts w:ascii="Times New Roman" w:hAnsi="Times New Roman"/>
                <w:sz w:val="20"/>
              </w:rPr>
            </w:pPr>
            <w:r>
              <w:rPr>
                <w:rFonts w:ascii="Times New Roman" w:hAnsi="Times New Roman"/>
                <w:sz w:val="20"/>
              </w:rPr>
              <w:t>steven.grigoriou@stblaw.com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5"/>
        <w:gridCol w:w="120"/>
        <w:gridCol w:w="4970"/>
      </w:tblGrid>
      <w:tr>
        <w:trPr/>
        <w:tc>
          <w:tcPr>
            <w:tcW w:w="51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70" w:type="dxa"/>
            <w:tcBorders/>
            <w:vAlign w:val="center"/>
          </w:tcPr>
          <w:p>
            <w:pPr>
              <w:pStyle w:val="TableContents"/>
              <w:bidi w:val="0"/>
              <w:spacing w:before="0" w:after="283"/>
              <w:jc w:val="left"/>
              <w:rPr>
                <w:sz w:val="4"/>
                <w:szCs w:val="4"/>
              </w:rPr>
            </w:pPr>
            <w:r>
              <w:rPr>
                <w:sz w:val="4"/>
                <w:szCs w:val="4"/>
              </w:rPr>
            </w:r>
          </w:p>
        </w:tc>
      </w:tr>
      <w:tr>
        <w:trPr/>
        <w:tc>
          <w:tcPr>
            <w:tcW w:w="5115" w:type="dxa"/>
            <w:tcBorders/>
          </w:tcPr>
          <w:p>
            <w:pPr>
              <w:pStyle w:val="TableContents"/>
              <w:bidi w:val="0"/>
              <w:spacing w:before="0" w:after="283"/>
              <w:jc w:val="left"/>
              <w:rPr>
                <w:u w:val="single"/>
              </w:rPr>
            </w:pPr>
            <w:r>
              <w:rPr>
                <w:u w:val="single"/>
              </w:rPr>
              <w:t>VIA EDGAR</w:t>
            </w:r>
          </w:p>
        </w:tc>
        <w:tc>
          <w:tcPr>
            <w:tcW w:w="120"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right"/>
              <w:rPr/>
            </w:pPr>
            <w:r>
              <w:rPr/>
              <w:t>October 1, 2025</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Investment Management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Sixth Street Lending Partners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Registration Statement on Form N-14</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On October 1, 2025, Sixth Street Lending Partners (the “Company”) filed a Registration Statement on Form N-14 (the “Registration Statement”) with the Securities and Exchange Commission (the “Commission”) in accordance with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covered by the Registration Statement will be issued in an exchange offer to be conducted by the Company. Attached is a letter from the Company indicating its reliance on the no-action letters issued to Exxon Capital Holdings Corporation (publicly available May 13, 1988), Morgan Stanley &amp; Co. Incorporated (publicly available June 5, 1991) and Shearman &amp; Sterling (publicly available July 2, 1993). </w:t>
      </w:r>
    </w:p>
    <w:p>
      <w:pPr>
        <w:pStyle w:val="TextBody"/>
        <w:bidi w:val="0"/>
        <w:spacing w:before="240" w:after="0"/>
        <w:jc w:val="left"/>
        <w:rPr>
          <w:rFonts w:ascii="Times New Roman" w:hAnsi="Times New Roman"/>
          <w:sz w:val="20"/>
        </w:rPr>
      </w:pPr>
      <w:r>
        <w:rPr>
          <w:rFonts w:ascii="Times New Roman" w:hAnsi="Times New Roman"/>
          <w:sz w:val="20"/>
        </w:rPr>
        <w:t xml:space="preserve">Please do not hesitate to call Rajib Chanda at (202) 636-5543, Jonathan Pacheco at (202) 636-5876 or me at (202) 636-5592 with any questions you may have regarding this filing.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Steven Grigoriou</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Rajib Chanda, Simpson Thacher &amp; Bartlett LLP </w:t>
            </w:r>
          </w:p>
        </w:tc>
      </w:tr>
    </w:tbl>
    <w:p>
      <w:pPr>
        <w:pStyle w:val="TextBody"/>
        <w:bidi w:val="0"/>
        <w:spacing w:before="0" w:after="0"/>
        <w:jc w:val="left"/>
        <w:rPr>
          <w:rFonts w:ascii="Times New Roman" w:hAnsi="Times New Roman"/>
          <w:sz w:val="20"/>
        </w:rPr>
      </w:pPr>
      <w:r>
        <w:rPr>
          <w:rFonts w:ascii="Times New Roman" w:hAnsi="Times New Roman"/>
          <w:sz w:val="20"/>
        </w:rPr>
        <w:t xml:space="preserve">Jonathan Pacheco, Simpson Thacher &amp; Bartlett LLP </w:t>
      </w:r>
    </w:p>
    <w:p>
      <w:pPr>
        <w:pStyle w:val="TextBody"/>
        <w:bidi w:val="0"/>
        <w:spacing w:before="0" w:after="0"/>
        <w:jc w:val="left"/>
        <w:rPr/>
      </w:pPr>
      <w:r>
        <w:rPr/>
        <w:t> </w:t>
      </w:r>
    </w:p>
    <w:p>
      <w:pPr>
        <w:pStyle w:val="TextBody"/>
        <w:bidi w:val="0"/>
        <w:spacing w:before="0" w:after="0"/>
        <w:jc w:val="center"/>
        <w:rPr>
          <w:rFonts w:ascii="Times New Roman" w:hAnsi="Times New Roman"/>
          <w:sz w:val="18"/>
        </w:rPr>
      </w:pPr>
      <w:r>
        <w:rPr>
          <w:rFonts w:ascii="Times New Roman" w:hAnsi="Times New Roman"/>
          <w:sz w:val="18"/>
        </w:rPr>
        <w:t xml:space="preserve">NEW YORK  BEIJING  BOSTON  HONG KONG  HOUSTON  LONDON  LOS ANGELES  PALO ALTO  SÃO PAULO  TOKYO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75272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52725" cy="809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VIA EDGAR </w:t>
      </w:r>
    </w:p>
    <w:p>
      <w:pPr>
        <w:pStyle w:val="TextBody"/>
        <w:bidi w:val="0"/>
        <w:spacing w:before="12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Re: Sixth Street Lending Partners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 (the “Exchange Offer”) being made by Sixth Street Lending Partners (the “Company”) to issue 6.125% Notes due 2030 (the “Exchange Notes”) in exchange for its outstanding 6.125% Notes due 2030 that were issued in transactions not requiring registration under the Securities Act of 1933, as amended (the “1933 Act”), on January 13, 2025 (the “Restricted Notes”), pursuant to the prospectus contained in the Company’s Registration Statement on Form N-14 filed with the Securities and Exchange Commission (the “Commission”) on October 1, 2025 and the related letter of transmittal, this letter confirms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registering the Exchange Offer in reliance upon the position of the Staff of the Commission set forth in the no-action letters issued to: (i) Exxon Capital Holdings Corporation (available May 13, 1988); (ii) Morgan Stanley &amp; Co. Incorporated (available June 5, 1991); and (iii) Shearman &amp; Sterling (available July 2, 1993) (together, the “No-Action Letters”). </w:t>
      </w:r>
    </w:p>
    <w:p>
      <w:pPr>
        <w:pStyle w:val="TextBody"/>
        <w:bidi w:val="0"/>
        <w:spacing w:before="240" w:after="0"/>
        <w:jc w:val="left"/>
        <w:rPr>
          <w:rFonts w:ascii="Times New Roman" w:hAnsi="Times New Roman"/>
          <w:sz w:val="20"/>
        </w:rPr>
      </w:pPr>
      <w:r>
        <w:rPr>
          <w:rFonts w:ascii="Times New Roman" w:hAnsi="Times New Roman"/>
          <w:sz w:val="20"/>
        </w:rPr>
        <w:t xml:space="preserve">(2) The Company has not entered into any arrangement or understanding with any person to distribute any of the Exchange Notes to be issued pursuant to the Exchange Offer in exchange for Restricted Notes, and, to the best of the Company’s information and belief, each person participating in the Exchange Offer is acquiring Exchange Notes in the ordinary course of its business, is not participating in, and has no arrangement or understanding with any person to participate in, the distribution of any Exchange Notes to be received in the Exchange Offer, is not an “affiliate” of the Company within the meaning of Rule 405 under the 1933 Act, and did not purchase any Restricted Notes to be exchanged for Exchange Notes directly from the Company to resell pursuant to Rule 144A under the 1933 Act or another exemption under the 1933 Act. In addition, to the best of the Company’s information and belief, each person participating in the Exchange Offer who is not a broker-dealer is not engaged in and does not intend to engage in a distribution of any Exchange Notes. In this regard, the Company will make each person participating in the Exchange Offer aware that if such person is participating in the Exchange Offer with the intention of participating in any manner in a distribution of any Exchange Notes, such person (i) could not rely on the Staff position set forth in the No-Action Letters or interpretative letters to similar effect and (ii) must be identified as an underwriter in the prospectus and must comply with the registration and prospectus delivery requirements of the 1933 Act in connection with any secondary resale transaction. The Company acknowledges that such a secondary resale for the purpose of distributing Exchange Notes should be covered by an effective registration statement containing the selling security holder information required by Item 507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(3) Neither the Company nor any of its affiliates have entered into any arrangement or understanding with any broker-dealer to distribute the Exchange Notes. </w:t>
      </w:r>
    </w:p>
    <w:p>
      <w:pPr>
        <w:pStyle w:val="TextBody"/>
        <w:bidi w:val="0"/>
        <w:spacing w:before="240" w:after="0"/>
        <w:jc w:val="left"/>
        <w:rPr>
          <w:rFonts w:ascii="Times New Roman" w:hAnsi="Times New Roman"/>
          <w:sz w:val="20"/>
        </w:rPr>
      </w:pPr>
      <w:r>
        <w:rPr>
          <w:rFonts w:ascii="Times New Roman" w:hAnsi="Times New Roman"/>
          <w:sz w:val="20"/>
        </w:rPr>
        <w:t>(4) The Company will include in the letter of transmittal to be executed by an exchange offeree in order to participate in the Exchange Offer a provision to the effect that if the exchange offeree is a broker-dealer holding Restricted Notes acquired for its own account as a result of market-making activities or other trading activities, such broker-dealer will acknowledge that it will deliver a prospectus meeting the requirements of the 1933 Act in connection with any resale of Exchange Notes received in respect of such Restricted Notes pursuant to the Exchange Offer.</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Ian Simmonds</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Ian Simmonds</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843</Words>
  <Characters>4546</Characters>
  <CharactersWithSpaces>5397</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