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67038d8k.htm"/>
      <w:bookmarkStart w:id="1" w:name="ksd767038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20" w:after="0"/>
        <w:jc w:val="center"/>
        <w:rPr>
          <w:rFonts w:ascii="Times New Roman" w:hAnsi="Times New Roman"/>
          <w:b/>
          <w:sz w:val="24"/>
        </w:rPr>
      </w:pPr>
      <w:r>
        <w:rPr>
          <w:rFonts w:ascii="Times New Roman" w:hAnsi="Times New Roman"/>
          <w:b/>
          <w:sz w:val="24"/>
        </w:rPr>
        <w:t>Date of Report (Date of earliest event reported): March 4,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20" w:after="0"/>
        <w:jc w:val="center"/>
        <w:rPr>
          <w:rFonts w:ascii="Times New Roman" w:hAnsi="Times New Roman"/>
          <w:b/>
          <w:sz w:val="48"/>
        </w:rPr>
      </w:pPr>
      <w:r>
        <w:rPr>
          <w:rFonts w:ascii="Times New Roman" w:hAnsi="Times New Roman"/>
          <w:b/>
          <w:sz w:val="48"/>
        </w:rPr>
        <w:t>Sixth Street Lending Partners</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814-01543</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88-1710161</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4070"/>
        <w:gridCol w:w="60"/>
        <w:gridCol w:w="101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2100 McKinney Avenue, Suite 1500</w:t>
            </w:r>
          </w:p>
          <w:p>
            <w:pPr>
              <w:pStyle w:val="TableContents"/>
              <w:bidi w:val="0"/>
              <w:spacing w:before="0" w:after="20"/>
              <w:jc w:val="center"/>
              <w:rPr>
                <w:rFonts w:ascii="Times New Roman" w:hAnsi="Times New Roman"/>
                <w:b/>
                <w:sz w:val="20"/>
              </w:rPr>
            </w:pPr>
            <w:r>
              <w:rPr>
                <w:rFonts w:ascii="Times New Roman" w:hAnsi="Times New Roman"/>
                <w:b/>
                <w:sz w:val="20"/>
              </w:rPr>
              <w:t>Dallas, TX</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75201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(zip code)</w:t>
            </w:r>
          </w:p>
        </w:tc>
      </w:tr>
    </w:tbl>
    <w:p>
      <w:pPr>
        <w:pStyle w:val="TextBody"/>
        <w:bidi w:val="0"/>
        <w:spacing w:before="220" w:after="0"/>
        <w:jc w:val="center"/>
        <w:rPr>
          <w:rFonts w:ascii="Times New Roman" w:hAnsi="Times New Roman"/>
          <w:b/>
          <w:sz w:val="20"/>
        </w:rPr>
      </w:pPr>
      <w:r>
        <w:rPr>
          <w:rFonts w:ascii="Times New Roman" w:hAnsi="Times New Roman"/>
          <w:b/>
          <w:sz w:val="20"/>
        </w:rPr>
        <w:t>Registrant’s telephone number, including area code: (469) 621-3001</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2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1310"/>
        <w:gridCol w:w="60"/>
        <w:gridCol w:w="740"/>
        <w:gridCol w:w="60"/>
        <w:gridCol w:w="174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131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None</w:t>
            </w:r>
          </w:p>
        </w:tc>
      </w:tr>
    </w:tbl>
    <w:p>
      <w:pPr>
        <w:pStyle w:val="TextBody"/>
        <w:bidi w:val="0"/>
        <w:spacing w:before="2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20" w:after="0"/>
        <w:jc w:val="left"/>
        <w:rPr>
          <w:rFonts w:ascii="Times New Roman" w:hAnsi="Times New Roman"/>
          <w:sz w:val="20"/>
        </w:rPr>
      </w:pPr>
      <w:r>
        <w:rPr>
          <w:rFonts w:ascii="Times New Roman" w:hAnsi="Times New Roman"/>
          <w:sz w:val="20"/>
        </w:rPr>
        <w:t>Emerging growth company ☒</w:t>
      </w:r>
    </w:p>
    <w:p>
      <w:pPr>
        <w:pStyle w:val="TextBody"/>
        <w:bidi w:val="0"/>
        <w:spacing w:before="2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March 4, 2024, Sixth Street Lending Partners (the “Company”) entered into a purchase agreement (the “Purchase Agreement”) by and among the Company, Sixth Street Lending Partners Advisers, LLC (the “Adviser”) and BofA Securities, Inc., as representative of the several initial purchasers named in Schedule 1 thereto (the “Initial Purchasers”), in connection with the issuance and sale of $600.0 million aggregate principal amount of the Company’s 6.500% Notes due 2029 (the “Notes”) in a private offering to qualified institutional buyers in accordance with Rule 144A under the Securities Act of 1933, as amended (the “Securities Act”), and to non-U.S. persons in transactions outside the United States in reliance on Regulation S under the Securities Act. The Notes will be issued at 98.937% of their par value with a coupon at 6.500%. Interest on the Notes will be payable semi-annually on March 11 and September 11 of each year commencing on September 11, 2024. The Notes will mature on March 11, 2029. The offering is expected to close, subject to customary closing conditions, on March 11, 2024. The Purchase Agreement contains customary representations, warranties, conditions to closing, indemnification rights and obligations of the parties and termination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Purchase Agreement, on or prior to the closing of the offering, the Company will enter into a registration rights agreement with BofA Securities, Inc.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use the net proceeds of the offering of the Notes to pay down a portion of the outstanding indebtedness on the Company’s revolving credit facility and/or its subscription facility.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Initial Purchasers and their respective affiliates have engaged in, and may in the future engage in, investment banking, advisory roles and other commercial dealings in the ordinary course of business with the Company or its affiliates. They have received, or may in the future receive, customary fees and commissions for these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included in Item 1.01 of this Current Report on Form 8-K is neither an offer to sell nor a solicitation of an offer to buy any securities of the Company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Purchase Agreement does not purport to be complete and is qualified in its entirety by reference to the full text of the Purchase Agreement, filed as Exhibit 10.1 hereto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767038dex101.htm">
              <w:r>
                <w:rPr>
                  <w:rStyle w:val="InternetLink"/>
                </w:rPr>
                <w:t xml:space="preserve">Purchase Agreement dated March 4, 2024, by and among Sixth Street Lending Partners, Sixth Street Lending Partners Advisers, LLC and BofA Securities, Inc. as representative of the several initial purchasers named therein.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332" w:type="dxa"/>
        <w:jc w:val="left"/>
        <w:tblInd w:w="0" w:type="dxa"/>
        <w:tblLayout w:type="fixed"/>
        <w:tblCellMar>
          <w:top w:w="0" w:type="dxa"/>
          <w:left w:w="0" w:type="dxa"/>
          <w:bottom w:w="0" w:type="dxa"/>
          <w:right w:w="0" w:type="dxa"/>
        </w:tblCellMar>
      </w:tblPr>
      <w:tblGrid>
        <w:gridCol w:w="2000"/>
        <w:gridCol w:w="60"/>
        <w:gridCol w:w="23"/>
        <w:gridCol w:w="60"/>
        <w:gridCol w:w="577"/>
        <w:gridCol w:w="94"/>
        <w:gridCol w:w="3518"/>
      </w:tblGrid>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3518"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89" w:type="dxa"/>
            <w:gridSpan w:val="3"/>
            <w:tcBorders/>
            <w:vAlign w:val="center"/>
          </w:tcPr>
          <w:p>
            <w:pPr>
              <w:pStyle w:val="TableContents"/>
              <w:bidi w:val="0"/>
              <w:spacing w:before="0" w:after="283"/>
              <w:jc w:val="left"/>
              <w:rPr/>
            </w:pPr>
            <w:r>
              <w:rPr/>
              <w:t>SIXTH STREET LENDING PARTNERS</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8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(Registrant)</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37" w:type="dxa"/>
            <w:gridSpan w:val="2"/>
            <w:tcBorders/>
            <w:vAlign w:val="center"/>
          </w:tcPr>
          <w:p>
            <w:pPr>
              <w:pStyle w:val="TableContents"/>
              <w:bidi w:val="0"/>
              <w:spacing w:before="0" w:after="283"/>
              <w:jc w:val="left"/>
              <w:rPr>
                <w:sz w:val="4"/>
                <w:szCs w:val="4"/>
              </w:rPr>
            </w:pPr>
            <w:r>
              <w:rPr>
                <w:sz w:val="4"/>
                <w:szCs w:val="4"/>
              </w:rPr>
            </w:r>
          </w:p>
        </w:tc>
        <w:tc>
          <w:tcPr>
            <w:tcW w:w="3612"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Date: March 6,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left"/>
              <w:rPr/>
            </w:pPr>
            <w:r>
              <w:rPr/>
              <w:t>By:</w:t>
            </w:r>
          </w:p>
        </w:tc>
        <w:tc>
          <w:tcPr>
            <w:tcW w:w="94" w:type="dxa"/>
            <w:tcBorders/>
            <w:vAlign w:val="center"/>
          </w:tcPr>
          <w:p>
            <w:pPr>
              <w:pStyle w:val="TableContents"/>
              <w:bidi w:val="0"/>
              <w:spacing w:before="0" w:after="283"/>
              <w:jc w:val="left"/>
              <w:rPr/>
            </w:pPr>
            <w:r>
              <w:rPr/>
              <w:t> </w:t>
            </w:r>
          </w:p>
        </w:tc>
        <w:tc>
          <w:tcPr>
            <w:tcW w:w="3518"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Simmonds</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3518" w:type="dxa"/>
            <w:tcBorders/>
            <w:vAlign w:val="center"/>
          </w:tcPr>
          <w:p>
            <w:pPr>
              <w:pStyle w:val="TableContents"/>
              <w:bidi w:val="0"/>
              <w:spacing w:before="0" w:after="283"/>
              <w:jc w:val="left"/>
              <w:rPr/>
            </w:pPr>
            <w:r>
              <w:rPr/>
              <w:t>Ian Simmonds</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3518" w:type="dxa"/>
            <w:tcBorders/>
            <w:vAlign w:val="center"/>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8-K – Sixth Street Lending Partners] </w:t>
      </w:r>
    </w:p>
    <w:p>
      <w:pPr>
        <w:pStyle w:val="TextBody"/>
        <w:bidi w:val="0"/>
        <w:spacing w:before="0" w:after="0"/>
        <w:jc w:val="right"/>
        <w:rPr>
          <w:rFonts w:ascii="Times New Roman" w:hAnsi="Times New Roman"/>
          <w:b/>
          <w:i/>
          <w:sz w:val="20"/>
        </w:rPr>
      </w:pPr>
      <w:bookmarkStart w:id="2" w:name="d767038dex101.htm"/>
      <w:bookmarkStart w:id="3" w:name="ksd767038dex101"/>
      <w:bookmarkEnd w:id="2"/>
      <w:bookmarkEnd w:id="3"/>
      <w:r>
        <w:rPr>
          <w:rFonts w:ascii="Times New Roman" w:hAnsi="Times New Roman"/>
          <w:b/>
          <w:i/>
          <w:sz w:val="20"/>
        </w:rPr>
        <w:t xml:space="preserve">Exhibit 10.1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SIXTH STREET LENDING PARTNERS </w:t>
      </w:r>
    </w:p>
    <w:p>
      <w:pPr>
        <w:pStyle w:val="TextBody"/>
        <w:bidi w:val="0"/>
        <w:spacing w:before="120" w:after="0"/>
        <w:jc w:val="center"/>
        <w:rPr>
          <w:rFonts w:ascii="Times New Roman" w:hAnsi="Times New Roman"/>
          <w:sz w:val="20"/>
        </w:rPr>
      </w:pPr>
      <w:r>
        <w:rPr>
          <w:rFonts w:ascii="Times New Roman" w:hAnsi="Times New Roman"/>
          <w:sz w:val="20"/>
        </w:rPr>
        <w:t xml:space="preserve">$600,000,000 </w:t>
      </w:r>
    </w:p>
    <w:p>
      <w:pPr>
        <w:pStyle w:val="TextBody"/>
        <w:bidi w:val="0"/>
        <w:spacing w:before="120" w:after="0"/>
        <w:jc w:val="center"/>
        <w:rPr>
          <w:rFonts w:ascii="Times New Roman" w:hAnsi="Times New Roman"/>
          <w:sz w:val="20"/>
        </w:rPr>
      </w:pPr>
      <w:r>
        <w:rPr>
          <w:rFonts w:ascii="Times New Roman" w:hAnsi="Times New Roman"/>
          <w:sz w:val="20"/>
        </w:rPr>
        <w:t xml:space="preserve">6.500% Notes due 2029 </w:t>
      </w:r>
    </w:p>
    <w:p>
      <w:pPr>
        <w:pStyle w:val="TextBody"/>
        <w:bidi w:val="0"/>
        <w:spacing w:before="120" w:after="0"/>
        <w:jc w:val="center"/>
        <w:rPr>
          <w:rFonts w:ascii="Times New Roman" w:hAnsi="Times New Roman"/>
          <w:sz w:val="20"/>
        </w:rPr>
      </w:pPr>
      <w:r>
        <w:rPr>
          <w:rFonts w:ascii="Times New Roman" w:hAnsi="Times New Roman"/>
          <w:sz w:val="20"/>
        </w:rPr>
        <w:t xml:space="preserve">Purchase Agreement </w:t>
      </w:r>
    </w:p>
    <w:p>
      <w:pPr>
        <w:pStyle w:val="TextBody"/>
        <w:bidi w:val="0"/>
        <w:spacing w:before="240" w:after="0"/>
        <w:jc w:val="right"/>
        <w:rPr>
          <w:rFonts w:ascii="Times New Roman" w:hAnsi="Times New Roman"/>
          <w:sz w:val="20"/>
        </w:rPr>
      </w:pPr>
      <w:r>
        <w:rPr>
          <w:rFonts w:ascii="Times New Roman" w:hAnsi="Times New Roman"/>
          <w:sz w:val="20"/>
        </w:rPr>
        <w:t xml:space="preserve">March 4, 2024 </w:t>
      </w:r>
    </w:p>
    <w:p>
      <w:pPr>
        <w:pStyle w:val="TextBody"/>
        <w:bidi w:val="0"/>
        <w:spacing w:before="24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One Bryant Park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 of the </w:t>
      </w:r>
    </w:p>
    <w:p>
      <w:pPr>
        <w:pStyle w:val="TextBody"/>
        <w:bidi w:val="0"/>
        <w:spacing w:before="0" w:after="0"/>
        <w:jc w:val="left"/>
        <w:rPr>
          <w:rFonts w:ascii="Times New Roman" w:hAnsi="Times New Roman"/>
          <w:sz w:val="20"/>
        </w:rPr>
      </w:pPr>
      <w:r>
        <w:rPr>
          <w:rFonts w:ascii="Times New Roman" w:hAnsi="Times New Roman"/>
          <w:sz w:val="20"/>
        </w:rPr>
        <w:t xml:space="preserve">several Initial Purchasers listed </w:t>
      </w:r>
    </w:p>
    <w:p>
      <w:pPr>
        <w:pStyle w:val="TextBody"/>
        <w:bidi w:val="0"/>
        <w:spacing w:before="0" w:after="0"/>
        <w:jc w:val="left"/>
        <w:rPr>
          <w:rFonts w:ascii="Times New Roman" w:hAnsi="Times New Roman"/>
          <w:sz w:val="20"/>
        </w:rPr>
      </w:pPr>
      <w:r>
        <w:rPr>
          <w:rFonts w:ascii="Times New Roman" w:hAnsi="Times New Roman"/>
          <w:sz w:val="20"/>
        </w:rPr>
        <w:t xml:space="preserve">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Sixth Street Lending Partners, a Delaware statutory trust (the Company), proposes to issue and sell to the several Initial Purchasers listed in Schedule 1 hereto (the Initial Purchasers), for whom you are acting as representative (the Representative), $600,000,000 aggregate principal amount of 6.500% Notes due 2029 (the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under an indenture to be dated as of March 11, 2024 (the Base Indenture), as supplemented by the First Supplemental Indenture, to be dated as of March 11, 2024 (the First Supplemental Indenture; the Base Indenture, as supplemented by the First Supplemental Indenture, the Indenture) between the Company and U.S. Bank Trust Company, National Association, as trustee (the Trustee). The Notes will be issued in book-entry form to Cede &amp; Co. as nominee of the Depository Trust Company (DTC) pursuant to a blanket letter of representations, dated as of March 11, 2024, between the Company and DTC.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understands that the Initial Purchasers propose to make an offering of the Notes as soon as the Representative deems advisable after this Agreement has been executed and delivered.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confirms its agreement with the several Initial Purchasers concerning the purchase and sale of the Notes,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Offering Memorandum</w:t>
      </w:r>
      <w:r>
        <w:rPr>
          <w:rFonts w:ascii="Times New Roman" w:hAnsi="Times New Roman"/>
          <w:sz w:val="20"/>
        </w:rPr>
        <w:t xml:space="preserve">. The Notes will be offered and sold to the Initial Purchasers without being registered under the Securities Act of 1933, as amended (the Securities Act), in reliance upon an exemption therefrom. The Company has prepared a preliminary offering memorandum, dated March 4, 2024 (the Preliminary Offering Memorandum) and will prepare an offering memorandum dated the date hereof (the Offering Memorandum) setting forth information concerning the Company and the Notes. Copies of the Preliminary Offering Memorandum have been, and copies of the Offering Memorandum will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delivered by the Company to the Initial Purchasers pursuant to the terms of this Agreement. The Company hereby confirms that it has authorized the use of the Preliminary Offering Memorandum, the Pricing Disclosure Package (as defined below) and the Offering Memorandum in connection with the offering and resale of the Notes by the Initial Purchasers in the manner contemplated by this Agreement. Capitalized terms used but not defined herein shall have the meanings given to such terms in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A Form N-54A Notification of Election to be Subject to Sections 55 through 65 of the Investment Company Act of 1940 (File No. 814-01543) (the Notification of Election) was filed, pursuant to Section 54(a) of the Investment Company Act of 1940, as amended, and the rules and regulations of the Securities and Exchange Commission (the Commission) thereunder (collectively, the Investment Company Act) with the Commission on June 28, 2022.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entered into an Investment Advisory and Management Agreement, dated as of June 28, 2022 (the Investment Management Agreement), with Sixth Street Lending Partners Advisers, LLC, a Delaware limited liability company registered as an investment adviser (the Adviser) under the Investment Advisers Act of 1940, as amended, and the rules and regulations thereunder (the Advisers 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also entered into an Administration Agreement, dated as of June 28, 2022 (the Administration Agreement), with the Adviser.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Applicable Time (as defined below), the Company had prepared the Preliminary Offering Memorandum, which together with the information set forth on Schedule 2 hereto comprises the Pricing Disclosure Package. </w:t>
      </w:r>
    </w:p>
    <w:p>
      <w:pPr>
        <w:pStyle w:val="TextBody"/>
        <w:bidi w:val="0"/>
        <w:spacing w:before="240" w:after="0"/>
        <w:jc w:val="left"/>
        <w:rPr>
          <w:rFonts w:ascii="Times New Roman" w:hAnsi="Times New Roman"/>
          <w:sz w:val="20"/>
        </w:rPr>
      </w:pPr>
      <w:r>
        <w:rPr>
          <w:rFonts w:ascii="Times New Roman" w:hAnsi="Times New Roman"/>
          <w:sz w:val="20"/>
        </w:rPr>
        <w:t xml:space="preserve">Any reference herein to the terms Preliminary Offering Memorandum, Pricing Disclosure Package and Offering Memorandum shall be deemed to refer to and include all documents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Applicable Time means 3:45 P.M., New York City time, on March 4, 2024.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of the Notes by the Initial Purchasers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agrees to issue and sell the Notes to the several Initial Purchasers as provided in this Agreement, and each Initial Purchaser, on the basis of the representations, warranties and agreements set forth herein and subject to the conditions set forth herein, agrees, severally and not jointly, to purchase from the Company the respective aggregate principal amount of Notes set forth opposite such Initial Purchasers name in Schedule 1 hereto at the price (the Purchase Price) set forth 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(b) The Company understands that the Initial Purchasers intend to offer the Notes for resale on the terms set forth in the Pricing Disclosure Package and the Offering Memorandum, as in the judgment of the Representative is advisable. The Company acknowledges and agrees that the Initial Purchasers may offer and sell Notes to or through any affiliate of an Initial Purchaser.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Payment for the Notes shall be made by wire transfer in immediately available funds to the account specified by the Company to the Representative, at the offices of Ropes &amp; Gray LLP, 1211 Avenue of the Americas, New York, NY 10036, at 10:00 A.M., New York City time, on March 11, 2024, or at such other time or place on the same or such other date, not later than the fifth business day thereafter, as the Representative and the Company may agree upon in writing. The time and date of such payment for the Notes is referred to herein as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Payment for the Notes shall be made against delivery to the Representative for the respective accounts of the several Initial Purchasers of the Notes to be purchased on such date with any transfer taxes payable in connection with the sale of such Notes duly paid by the Company. Delivery of the Notes shall be made through the facilities of DTC unless the Representative shall otherwise instruct.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acknowledges and agrees that the Initial Purchasers are acting solely in the capacity of an arms-length contractual counterparty to the Company with respect to the offering of Notes contemplated hereby (including in connection with determining the terms of the offering) and not as a financial advisor or a fiduciary to, or an agent of, the Company or any other person. Additionally, neither the Representative nor any other Initial Purchaser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Initial Purchasers shall have no responsibility or liability to the Company with respect thereto. Any review by the Initial Purchasers of the Company, the transactions contemplated hereby or other matters relating to such transactions will be performed solely for the benefit of the Initial Purchasers and shall not be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Representations and Warranties by the Initial Purchasers</w:t>
      </w:r>
      <w:r>
        <w:rPr>
          <w:rFonts w:ascii="Times New Roman" w:hAnsi="Times New Roman"/>
          <w:sz w:val="20"/>
        </w:rPr>
        <w:t xml:space="preserve">. The Company understands that the Initial Purchasers intend to offer the Notes for resale on the terms set forth in the Pricing Disclosure Package and the Offering Memorandum. Each Initial Purchaser, severally and not jointly, represents and warrants with the Company as of the date hereof, as of the Applicable Time, as of the Closing Date referred to in Section 2(c) hereof, as follows that: </w:t>
      </w:r>
    </w:p>
    <w:p>
      <w:pPr>
        <w:pStyle w:val="TextBody"/>
        <w:bidi w:val="0"/>
        <w:spacing w:before="120" w:after="0"/>
        <w:jc w:val="left"/>
        <w:rPr>
          <w:rFonts w:ascii="Times New Roman" w:hAnsi="Times New Roman"/>
          <w:sz w:val="20"/>
        </w:rPr>
      </w:pPr>
      <w:r>
        <w:rPr>
          <w:rFonts w:ascii="Times New Roman" w:hAnsi="Times New Roman"/>
          <w:sz w:val="20"/>
        </w:rPr>
        <w:t xml:space="preserve">(i) it is a qualified institutional buyer (a QIB) within the meaning of Rule 144A under the Securities Act (Rule 144A) and an accredited investor within the meaning of Rule 501(a) under the Securities Act with such knowledge and experience in financial and business matters as are necessary to evaluate the merits and risks of an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(ii) neither it, nor any person acting on its behalf, has solicited offers for, or offered or sold, and neither it, nor any person acting on its behalf, will not solicit offers for, or offer or sell, the Notes by means of any form of general solicitation or general advertising within the meaning of Rule 502(c) of Regulation D or in any manner involving a public offering within the meaning of Section 4(a)(2) of the Securities Act;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it has not solicited offers for, or offered or sold, and will not solicit offers for, or offer or sell, the Notes as part of their distribution of securities in connection with the Offering except to persons whom it reasonably believes to be QIBs in transactions pursuant to Rule 144A and in connection with each such sale, it has taken or will take reasonable steps to ensure that the purchaser of the Notes is aware that such sale is being made in reliance on Rule 144A.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and agrees with, each Initial Purchaser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Preliminary Offering Memorandum.</w:t>
      </w:r>
      <w:r>
        <w:rPr>
          <w:rFonts w:ascii="Times New Roman" w:hAnsi="Times New Roman"/>
          <w:sz w:val="20"/>
        </w:rPr>
        <w:t xml:space="preserve"> The Preliminary Offering Memorandum, as of its date, did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 expressly for use in any Preliminary Offering Memorandum, it being understood and agreed that the only such information furnished by any Initial Purchaser consists of the information described as such in Section 8(b) 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Pricing Disclosure Package and Marketing Materials</w:t>
      </w:r>
      <w:r>
        <w:rPr>
          <w:rFonts w:ascii="Times New Roman" w:hAnsi="Times New Roman"/>
          <w:sz w:val="20"/>
        </w:rPr>
        <w:t xml:space="preserve">. The Pricing Disclosure Package and any Marketing Materials (as defined below) as of the Applicable Time did not, and the Pricing Disclosure Package and any Marketing Materials (together with any amendment or supplement thereto) as of the Closing Date, will not contain any untrue statement of a material fact or omit to state a material fact necessary in order to make the statements therein, in the light of the circumstances under which they were made, not misleading, and as of the Applicable Time, the Marketing Materials do not conflict with the information contained in the Preliminary Offering Memorandum, the Pricing Disclosure Package or the Offering Memorandum;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 expressly for use in such Pricing Disclosure Package or such Marketing Materials, it being understood and agreed that the only such information furnished by any Initial Purchaser consists of the information described as such in Section 8(b) hereof. As used in this subsection and elsewhere in this Agreement, Marketing Materials means the materials, if any, made available by the Company or with the Companys consent during certain meetings (including materials made available as part of any road show) in connection with the marketing of the offering of the Notes.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Offering Memorandum.</w:t>
      </w:r>
      <w:r>
        <w:rPr>
          <w:rFonts w:ascii="Times New Roman" w:hAnsi="Times New Roman"/>
          <w:sz w:val="20"/>
        </w:rPr>
        <w:t xml:space="preserve"> The Offering Memorandum and any amendment or supplement thereto as of the Closing Date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 expressly for use in the Offering Memorandum and any amendment or supplement thereto, it being understood and agreed that the only such information furnished by any Initial Purchaser consists of the information described as such in Section 8(b)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Emerging Growth Company</w:t>
      </w:r>
      <w:r>
        <w:rPr>
          <w:rFonts w:ascii="Times New Roman" w:hAnsi="Times New Roman"/>
          <w:sz w:val="20"/>
        </w:rPr>
        <w:t xml:space="preserve">. As of the date hereof and the Closing Date, as the case may be, the Company is an emerging growth company, as defined in Section 2(a)(19) of the Securities Act (an Emerging Growth Company).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Financial Statements.</w:t>
      </w:r>
      <w:r>
        <w:rPr>
          <w:rFonts w:ascii="Times New Roman" w:hAnsi="Times New Roman"/>
          <w:sz w:val="20"/>
        </w:rPr>
        <w:t xml:space="preserve"> The financial statements (including the related notes thereto) of the Company and its consolidated subsidiaries included or incorporated by reference in the Pricing Disclosure Package and the Offering Memorandum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any supporting schedules included or incorporated by reference in the Pricing Disclosure Package and the Offering Memorandum present fairly in all material respects the information required to be stated therein; and any other financial information included or incorporated by reference in the Pricing Disclosure Package and the Offering Memorandum has been derived from the accounting records and other books and records of the Company and its consolidated subsidiaries and presents fairly in all material respects the information shown thereby.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 Material Adverse Change.</w:t>
      </w:r>
      <w:r>
        <w:rPr>
          <w:rFonts w:ascii="Times New Roman" w:hAnsi="Times New Roman"/>
          <w:sz w:val="20"/>
        </w:rPr>
        <w:t xml:space="preserve"> Except as disclosed in the Pricing Disclosure Package and the Offering Memorandum, since the date of the most recent financial statements of the Company included or incorporated by reference in the Pricing Disclosure Package and the Offering Memorandum, (i) 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Organization and Good Standing.</w:t>
      </w:r>
      <w:r>
        <w:rPr>
          <w:rFonts w:ascii="Times New Roman" w:hAnsi="Times New Roman"/>
          <w:sz w:val="20"/>
        </w:rPr>
        <w:t xml:space="preserve"> The Company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Indenture, the Notes, the Investment Management Agreement and the Administration Agreement (a Material Adverse Effect). The subsidiaries listed in Schedule 3 to this Agreement are the only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Capitalization.</w:t>
      </w:r>
      <w:r>
        <w:rPr>
          <w:rFonts w:ascii="Times New Roman" w:hAnsi="Times New Roman"/>
          <w:sz w:val="20"/>
        </w:rPr>
        <w:t xml:space="preserve"> As of December 31, 2023, the Company had the authorized and outstanding capital stock and material indebtedness as set forth in the Pricing Disclosure Package and the Offering Memorandum in Capitalization under the heading Actual and would have had the authorized and outstanding capital stock and material indebtedness as set forth in the Pricing Disclosure Package and the Offering Memorandum in Capitalization under the heading As Adjusted after giving effect to the offering pursuant to this Agreement and the use of proceeds thereof;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Offering Memorandum,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Pricing Disclosure Package and the Offering Memorandum; and all the outstanding shares of capital stock or other equity interests of each subsidiary owned, directly or indirectly, by the Company have been duly authorized and validly issued, are fully paid and non-assessable (except as otherwise described in the Pricing Disclosure Package and the Offering Memorandum), and are owned directly or indirectly by the Company, free and clear of any lien, charge, encumbrance, security interest, restriction on voting or transfer or any other claim of any third party, except as described in the Pricing Disclosure Package and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Stock Options. </w:t>
      </w:r>
      <w:r>
        <w:rPr>
          <w:rFonts w:ascii="Times New Roman" w:hAnsi="Times New Roman"/>
          <w:sz w:val="20"/>
        </w:rPr>
        <w:t xml:space="preserve">The Company has not granted, and has no policy or expectation of granting stock options.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Due Authorization.</w:t>
      </w:r>
      <w:r>
        <w:rPr>
          <w:rFonts w:ascii="Times New Roman" w:hAnsi="Times New Roman"/>
          <w:sz w:val="20"/>
        </w:rPr>
        <w:t xml:space="preserve"> The Company has corporate power and authority to execute and deliver this Agreement, the Indenture and the Notes, and at the applicable time had corporate power and authority to execute and deliver the Investment Management Agreement and the Administration Agreement and to perform its obligations hereunder and thereunder; and all action required to be taken for the due and proper authorization, execution and delivery by it of this Agreement, the Indenture, the Notes and each of the Investment Management Agreement and the Administration Agreement, and the consummation by it of the transactions contemplated hereby and thereby has been duly and validly taken.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Purchase Agreement. </w:t>
      </w:r>
      <w:r>
        <w:rPr>
          <w:rFonts w:ascii="Times New Roman" w:hAnsi="Times New Roman"/>
          <w:sz w:val="20"/>
        </w:rPr>
        <w:t xml:space="preserve">This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Investment Management Agreement and Administration Agreement.</w:t>
      </w:r>
      <w:r>
        <w:rPr>
          <w:rFonts w:ascii="Times New Roman" w:hAnsi="Times New Roman"/>
          <w:sz w:val="20"/>
        </w:rPr>
        <w:t xml:space="preserve"> The Investment Management Agreement and the Administration 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Base</w:t>
      </w:r>
      <w:r>
        <w:rPr>
          <w:rFonts w:ascii="Times New Roman" w:hAnsi="Times New Roman"/>
          <w:sz w:val="20"/>
        </w:rPr>
        <w:t xml:space="preserve"> </w:t>
      </w:r>
      <w:r>
        <w:rPr>
          <w:rFonts w:ascii="Times New Roman" w:hAnsi="Times New Roman"/>
          <w:i/>
          <w:sz w:val="20"/>
        </w:rPr>
        <w:t>Indenture</w:t>
      </w:r>
      <w:r>
        <w:rPr>
          <w:rFonts w:ascii="Times New Roman" w:hAnsi="Times New Roman"/>
          <w:sz w:val="20"/>
        </w:rPr>
        <w:t xml:space="preserve">. The Base Indenture has been duly authorized, and, on the Closing Date, will be duly executed and delivered by the Company and when executed and delivered by the Trustee will constitute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First Supplemental</w:t>
      </w:r>
      <w:r>
        <w:rPr>
          <w:rFonts w:ascii="Times New Roman" w:hAnsi="Times New Roman"/>
          <w:sz w:val="20"/>
        </w:rPr>
        <w:t xml:space="preserve"> </w:t>
      </w:r>
      <w:r>
        <w:rPr>
          <w:rFonts w:ascii="Times New Roman" w:hAnsi="Times New Roman"/>
          <w:i/>
          <w:sz w:val="20"/>
        </w:rPr>
        <w:t>Indenture</w:t>
      </w:r>
      <w:r>
        <w:rPr>
          <w:rFonts w:ascii="Times New Roman" w:hAnsi="Times New Roman"/>
          <w:sz w:val="20"/>
        </w:rPr>
        <w:t xml:space="preserve">. The First Supplemental Indenture has been duly authorized, and, on the Closing Date, will be duly executed and delivered by the Company and when executed and delivered by the Trustee will constitute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 xml:space="preserve">The Notes. </w:t>
      </w:r>
      <w:r>
        <w:rPr>
          <w:rFonts w:ascii="Times New Roman" w:hAnsi="Times New Roman"/>
          <w:sz w:val="20"/>
        </w:rPr>
        <w:t xml:space="preserve">The Notes to be issued and sold by the Company hereunder have been duly authorized and, on the Closing Date, will be duly executed and delivered by the Company and when authenticated by the Trustee as provided herein and in the Indenture relating thereto, against payment of the consideration set forth herein, will be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and will be entitled to the benefits of the Indenture relating thereto; and the Notes and the Indenture conform in all material respects to the statements relating thereto contained in the Pricing Disclosure Package and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 xml:space="preserve">Registration Rights Agreement. </w:t>
      </w:r>
      <w:r>
        <w:rPr>
          <w:rFonts w:ascii="Times New Roman" w:hAnsi="Times New Roman"/>
          <w:sz w:val="20"/>
        </w:rPr>
        <w:t xml:space="preserve">The Registration Rights Agreement to be dated as of the Closing Date (the Registration Rights Agreement), which will be in the form attached hereto as Exhibit A, has been duly authorized, and as of the Closing Date, will have been duly executed and delivered by the Company, and, when duly executed and delivered in accordance with its terms by each of the other parties thereto, will constitute a valid and legally binding instrument, enforceable against the Company in accordance with its terms, subject, as to enforcement, to applicable bankruptcy, reorganization, insolvency, moratorium or other laws affecting creditors rights generally (including, without limitation, laws with respect to fraudulent conveyance) and to general principles of equity and public policy (regardless of whether enforcement is considered in a proceeding in equity or law) (collectively, the Enforceability Exceptions); and the Registration Rights Agreement will conform in all material respects to the descriptions thereof in the Pricing Disclosure Package and the Offering Memorandum.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Exchange Offer.</w:t>
      </w:r>
      <w:r>
        <w:rPr>
          <w:rFonts w:ascii="Times New Roman" w:hAnsi="Times New Roman"/>
          <w:sz w:val="20"/>
        </w:rPr>
        <w:t xml:space="preserve"> The 6.500% Notes due 2029 to be offered in exchange for the Notes pursuant to the Registration Rights Agreement will be duly authorized by the Company and if and when issued and authenticated in accordance with the terms of the Indenture and delivered in accordance with the exchange offer provided for in the Registration Rights Agreement will be validly issued and delivered and will constitute valid and binding obligations of the Company entitled to the benefits of the Indenture, enforceable against the Company in accordance with their terms, subject, as to enforcement, to the Enforceability Exceptions, and will be entitled to the benefits provided by the Indenture.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Rule 144A Eligibility</w:t>
      </w:r>
      <w:r>
        <w:rPr>
          <w:rFonts w:ascii="Times New Roman" w:hAnsi="Times New Roman"/>
          <w:sz w:val="20"/>
        </w:rPr>
        <w:t xml:space="preserve">. On the Closing Date, the Notes will not be of the same class as securities listed on a national exchange registered under Section 6 of the Securities Exchange Act of 1934, as amended (the Exchange Act), or quoted in an automated inter-dealer quotation system; and each of the Pricing Disclosure Package, as of the Applicable Time, and the Offering Memorandum, as of its date, contains or will contain all the information that, if requested by a prospective purchaser of the Notes, would be required to be provided to such prospective purchaser pursuant to Rule 144A(d)(4)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No Integration</w:t>
      </w:r>
      <w:r>
        <w:rPr>
          <w:rFonts w:ascii="Times New Roman" w:hAnsi="Times New Roman"/>
          <w:sz w:val="20"/>
        </w:rPr>
        <w:t xml:space="preserve">. Neither the Company nor any of its affiliates (as defined in Rule 501(b) of Regulation D under the Securities Act (Regulation D)) has, directly or through any agent, sold, offered for sale, solicited offers to buy or otherwise negotiated in respect of, any security (as defined in the Securities Act), that is or will be integrated with the sale of the Notes in a manner that would require registration of the Notes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No General Solicitation; Written Communications</w:t>
      </w:r>
      <w:r>
        <w:rPr>
          <w:rFonts w:ascii="Times New Roman" w:hAnsi="Times New Roman"/>
          <w:sz w:val="20"/>
        </w:rPr>
        <w:t xml:space="preserve">. None of the Company or any of its affiliates or any other person acting on its or their behalf (other than the Initial Purchasers, as to which no representation is made) has solicited offers for, or offered or sold, the Notes by means of any form of general solicitation or general advertising within the meaning of Rule 502(c) of Regulation D or in any manner involving a public offering within the meaning of Section 4(a)(2) of the Securities Act. The Company (including its agents and representatives, other than the Initial Purchasers in their capacity as such) has not made, used, prepared, authorized, approved or referred to and will not prepare, make, use, authorize, approve or refer to any written communication (as defined in Rule 405 under the Securities Act) that constitutes an offer to sell or solicitation of an offer to buy the Notes other than the Pricing Disclosure Package, the Offering Memorandum and the Marketing Materials.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Securities Law Exemptions</w:t>
      </w:r>
      <w:r>
        <w:rPr>
          <w:rFonts w:ascii="Times New Roman" w:hAnsi="Times New Roman"/>
          <w:sz w:val="20"/>
        </w:rPr>
        <w:t xml:space="preserve">. Assuming the accuracy of the representations and warranties of the Initial Purchasers contained in Section 2(e) and their compliance with their agreements set forth therein, it is not necessary, in connection with the issuance and sale of the Notes to the Initial Purchasers and the offer, resale and delivery of the Notes by the Initial Purchasers in the manner contemplated by this Agreement, the Pricing Disclosure Package and the Offering Memorandum, to register the Notes under the Securities Act or to qualify the Indenture under the Trust Indenture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Descriptions of Investment Management Agreement and Administration Agreement</w:t>
      </w:r>
      <w:r>
        <w:rPr>
          <w:rFonts w:ascii="Times New Roman" w:hAnsi="Times New Roman"/>
          <w:sz w:val="20"/>
        </w:rPr>
        <w:t xml:space="preserve">. Both the Investment Management Agreement and Administration Agreement conform in all material respects to the descriptions thereof contained or incorporated by reference in the Pricing Disclosure Package and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No Violation or Default.</w:t>
      </w:r>
      <w:r>
        <w:rPr>
          <w:rFonts w:ascii="Times New Roman" w:hAnsi="Times New Roman"/>
          <w:sz w:val="20"/>
        </w:rPr>
        <w:t xml:space="preserve">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 xml:space="preserve">No Conflicts. </w:t>
      </w:r>
      <w:r>
        <w:rPr>
          <w:rFonts w:ascii="Times New Roman" w:hAnsi="Times New Roman"/>
          <w:sz w:val="20"/>
        </w:rPr>
        <w:t xml:space="preserve">The execution, delivery and performance by the Company of this Agreement and the Indenture, the issuance and sale of the Notes and the consummation of the transactions contemplated by this Agreement and the Indenture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No Consents Required.</w:t>
      </w:r>
      <w:r>
        <w:rPr>
          <w:rFonts w:ascii="Times New Roman" w:hAnsi="Times New Roman"/>
          <w:sz w:val="20"/>
        </w:rPr>
        <w:t xml:space="preserve"> No consent, approval, authorization, order, license, registration or qualification of or with any court or arbitrator or governmental or regulatory authority is required for the execution, delivery and performance by the Company of this Agreement and the Indenture, the issuance and sale of the Notes and the consummation of the transactions contemplated by this Agreement and the Indenture or the performance by the Company of the Investment Management Agreement and the Administration Agreement, except for (i) such consents, approvals, authorizations, orders, licenses, registrations or qualifications as have already been obtained or made, (ii) such consents, approvals, authorizations, orders and registrations or qualifications as may be required under applicable state securities laws in connection with the purchase and distribution of the Notes by the Initial Purchasers and (iii) where the failure to obtain any such consent, approval, authorization, order, license, registration or qualification would not reasonably be expected, individually or in the aggregate, to have a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Legal Proceedings.</w:t>
      </w:r>
      <w:r>
        <w:rPr>
          <w:rFonts w:ascii="Times New Roman" w:hAnsi="Times New Roman"/>
          <w:sz w:val="20"/>
        </w:rPr>
        <w:t xml:space="preserve"> Except as described in the Pricing Disclosure Package and the Offering Memorandum, there are no legal, 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would be required to be described in the Pricing Disclosure Package or the Offering Memorandum if the offering of the Notes was pursuant to a registration under the Securities Act that are not so described in the Pricing Disclosure Package and the Offering Memorandum, and (ii) there are no contracts or other documents that would be required to be described in the Pricing Disclosure Package or the Offering Memorandum if the offering of the Notes was pursuant to a registration under the Securities Act that are not so described in the Pricing Disclosure Package and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Notification of Election</w:t>
      </w:r>
      <w:r>
        <w:rPr>
          <w:rFonts w:ascii="Times New Roman" w:hAnsi="Times New Roman"/>
          <w:sz w:val="20"/>
        </w:rPr>
        <w:t xml:space="preserve">. When the Notification of Election was filed with the Commission, it (i) contained all statements required to be stated 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Election to be Treated as a Business Development Company</w:t>
      </w:r>
      <w:r>
        <w:rPr>
          <w:rFonts w:ascii="Times New Roman" w:hAnsi="Times New Roman"/>
          <w:sz w:val="20"/>
        </w:rPr>
        <w:t xml:space="preserve">. (A) The Company has duly elected to be treated by the Commission under the Investment Company Act as a business development company, such election is effective and the Company has not withdrawn such election and, to the Companys knowledge, the Commission has not ordered such election to be withdrawn nor, to our knowledge have proceedings to effectuate such withdrawal been initiated or threatened by the Commission; (B) the provisions of the certificate of incorporation and by-laws of the Company and the investment objectives, policies and restrictions of the Company described in the Offering Memorandum, assuming they are implemented as described, will comply in all material respects with the requirements of the Investment Company Act; and (C) as of the time of each sale of Notes and as of the Closing Date, the operations of the Company are in compliance in all material respects with the provisions of the Investment Company Act applicable to business development companies.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Independent Accountants</w:t>
      </w:r>
      <w:r>
        <w:rPr>
          <w:rFonts w:ascii="Times New Roman" w:hAnsi="Times New Roman"/>
          <w:sz w:val="20"/>
        </w:rPr>
        <w:t xml:space="preserve">. KPMG LLP, who have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Title to Real and Personal Property</w:t>
      </w:r>
      <w:r>
        <w:rPr>
          <w:rFonts w:ascii="Times New Roman" w:hAnsi="Times New Roman"/>
          <w:sz w:val="20"/>
        </w:rPr>
        <w:t xml:space="preserve">. Except as would not reasonably be expected, individually or in the aggregate, to have a Material Adverse 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3(ee)) that are material to the business of the Company and its subsidiaries, in each case free and clear of all liens, encumbrances, claims and defects and imperfections of title except (i) as otherwise described in the Pricing Disclosure Package and the Offering Memorandum or (ii) those that do not materially interfere with the use made and proposed to be made of such property by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Title to Intellectual Property</w:t>
      </w:r>
      <w:r>
        <w:rPr>
          <w:rFonts w:ascii="Times New Roman" w:hAnsi="Times New Roman"/>
          <w:sz w:val="20"/>
        </w:rPr>
        <w:t xml:space="preserve">. Except as would not reasonably be expected, individually or in the aggregate, to have a Material Adverse Effect, (i) 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No Undisclosed Relationships</w:t>
      </w:r>
      <w:r>
        <w:rPr>
          <w:rFonts w:ascii="Times New Roman" w:hAnsi="Times New Roman"/>
          <w:sz w:val="20"/>
        </w:rPr>
        <w:t xml:space="preserve">. No relationship, direct or indirect, exists between or among the Company or any of its subsidiaries, on the one hand, and the directors, officers, stockholders, customers or suppliers of the Company or any of its subsidiaries, on the other, that would be required to be described in the Pricing Disclosure Package or the Offering Memorandum if the offering of the Notes was pursuant to a registration under the Securities Act that is not so described in the Pricing Disclosure Package and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Investment Company Act</w:t>
      </w:r>
      <w:r>
        <w:rPr>
          <w:rFonts w:ascii="Times New Roman" w:hAnsi="Times New Roman"/>
          <w:sz w:val="20"/>
        </w:rPr>
        <w:t xml:space="preserve">. The Company is not and its subsidiaries are not, and, after giving effect to the offering and sale of the Notes and the application of the proceeds thereof as described in the Pricing Disclosure Package and the Offering Memorandum,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 </w:t>
      </w:r>
    </w:p>
    <w:p>
      <w:pPr>
        <w:pStyle w:val="TextBody"/>
        <w:bidi w:val="0"/>
        <w:spacing w:before="24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Taxes.</w:t>
      </w:r>
      <w:r>
        <w:rPr>
          <w:rFonts w:ascii="Times New Roman" w:hAnsi="Times New Roman"/>
          <w:sz w:val="20"/>
        </w:rPr>
        <w:t xml:space="preserve"> The Company and its subsidiaries have paid (or caused to be paid) all federal, state, local and foreign taxes required by law to be paid, and have filed (or caused to be filed) all tax returns required by law to be filed, in each case, through the date hereof, except where the failure to pay such taxes or file such returns would not reasonably be expected,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individually or in the aggregate, to have a Material Adverse Effect. Except as otherwise disclosed in the Pricing Disclosure Package and the Offering Memorandum,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Licenses and Permits.</w:t>
      </w:r>
      <w:r>
        <w:rPr>
          <w:rFonts w:ascii="Times New Roman" w:hAnsi="Times New Roman"/>
          <w:sz w:val="20"/>
        </w:rPr>
        <w:t xml:space="preserve"> The Company and its subsidiaries possess all licenses, certificates, permits and other authorizations issued by, and 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Pricing Disclosure Package and the Offering Memorandum, except where the failure to possess or make the same would not reasonably be expected, individually or in the aggregate, to have a Material Adverse Effect; and except as otherwise disclosed in the Pricing Disclosure Package and the Offering Memorandum,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Disclosure Controls</w:t>
      </w:r>
      <w:r>
        <w:rPr>
          <w:rFonts w:ascii="Times New Roman" w:hAnsi="Times New Roman"/>
          <w:sz w:val="20"/>
        </w:rPr>
        <w:t xml:space="preserve">. The Company maintains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Accounting Controls.</w:t>
      </w:r>
      <w:r>
        <w:rPr>
          <w:rFonts w:ascii="Times New Roman" w:hAnsi="Times New Roman"/>
          <w:sz w:val="20"/>
        </w:rPr>
        <w:t xml:space="preserve"> The Company maintains a system of internal control over financial reporting (as defined in Rule 13a-15(f) of the 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generally accepted accounting principles, to calculate net asset value, to maintain asset accountability, and to maintain material compliance with the books and records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otherwise disclosed in the Pricing Disclosure Package and the Offering Memorandum, there are no material weaknesses in the Companys internal controls (it being understood that the Company is not required as of the date hereof to comply with the auditor attestation requirements under Section 404 of the Sarbanes-Oxley Act (as defined below)).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eXtensible Business Reporting Language.</w:t>
      </w:r>
      <w:r>
        <w:rPr>
          <w:rFonts w:ascii="Times New Roman" w:hAnsi="Times New Roman"/>
          <w:sz w:val="20"/>
        </w:rPr>
        <w:t xml:space="preserve"> To the Companys knowledge, the interactive data in eXtensible Business Reporting Language included or incorporated by reference in the Pricing Disclosure Package and the Offering Memorandum fairly presents the information called for in all material respects and has been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Insurance.</w:t>
      </w:r>
      <w:r>
        <w:rPr>
          <w:rFonts w:ascii="Times New Roman" w:hAnsi="Times New Roman"/>
          <w:sz w:val="20"/>
        </w:rPr>
        <w:t xml:space="preserve"> The Company and its subsidiaries have insurance covering their respective properties, operations, personnel and businesses, 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No Unlawful Payments.</w:t>
      </w:r>
      <w:r>
        <w:rPr>
          <w:rFonts w:ascii="Times New Roman" w:hAnsi="Times New Roman"/>
          <w:sz w:val="20"/>
        </w:rPr>
        <w:t xml:space="preserve"> Neither the Company nor any of its subsidiaries nor any director, officer, or employee of the Company or any of its 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Compliance with Money Laundering Laws</w:t>
      </w:r>
      <w:r>
        <w:rPr>
          <w:rFonts w:ascii="Times New Roman" w:hAnsi="Times New Roman"/>
          <w:sz w:val="20"/>
        </w:rPr>
        <w:t xml:space="preserve">. The operations of the Company and its subsidiaries are and have been conducted at all times in 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 </w:t>
      </w:r>
    </w:p>
    <w:p>
      <w:pPr>
        <w:pStyle w:val="TextBody"/>
        <w:bidi w:val="0"/>
        <w:spacing w:before="24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No Conflicts with Sanctions Laws.</w:t>
      </w:r>
      <w:r>
        <w:rPr>
          <w:rFonts w:ascii="Times New Roman" w:hAnsi="Times New Roman"/>
          <w:sz w:val="20"/>
        </w:rPr>
        <w:t xml:space="preserve"> Neither the Company nor any of its subsidiaries, directors, officers or employees, nor, to the knowledge of 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Cuba, Iran, North Korea, Syria, and the occupied Donetsk, Luhansk, Crimea, Zaporizhzhia and Kerson regions of Ukraine, that broadly prohibit dealings with that country or territory (each, a Sanctioned Territory);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(qq) </w:t>
      </w:r>
      <w:r>
        <w:rPr>
          <w:rFonts w:ascii="Times New Roman" w:hAnsi="Times New Roman"/>
          <w:i/>
          <w:sz w:val="20"/>
        </w:rPr>
        <w:t>No Restrictions on Subsidiaries</w:t>
      </w:r>
      <w:r>
        <w:rPr>
          <w:rFonts w:ascii="Times New Roman" w:hAnsi="Times New Roman"/>
          <w:sz w:val="20"/>
        </w:rPr>
        <w:t xml:space="preserve">.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Pricing Disclosure Package and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(rr) </w:t>
      </w:r>
      <w:r>
        <w:rPr>
          <w:rFonts w:ascii="Times New Roman" w:hAnsi="Times New Roman"/>
          <w:i/>
          <w:sz w:val="20"/>
        </w:rPr>
        <w:t>No Brokers Fees.</w:t>
      </w:r>
      <w:r>
        <w:rPr>
          <w:rFonts w:ascii="Times New Roman" w:hAnsi="Times New Roman"/>
          <w:sz w:val="20"/>
        </w:rPr>
        <w:t xml:space="preserve"> Neither the Company nor any of its subsidiaries is a party to any contract, agreement or understanding with any person (other than this Agreement) that would give rise to a valid claim against the Company or any of its subsidiaries or any Initial Purchaser for a brokerage commission, finders fee or like payment in connection with the offering and sale of the Notes. </w:t>
      </w:r>
    </w:p>
    <w:p>
      <w:pPr>
        <w:pStyle w:val="TextBody"/>
        <w:bidi w:val="0"/>
        <w:spacing w:before="240" w:after="0"/>
        <w:jc w:val="left"/>
        <w:rPr>
          <w:rFonts w:ascii="Times New Roman" w:hAnsi="Times New Roman"/>
          <w:sz w:val="20"/>
        </w:rPr>
      </w:pPr>
      <w:r>
        <w:rPr>
          <w:rFonts w:ascii="Times New Roman" w:hAnsi="Times New Roman"/>
          <w:sz w:val="20"/>
        </w:rPr>
        <w:t xml:space="preserve">(ss) </w:t>
      </w:r>
      <w:r>
        <w:rPr>
          <w:rFonts w:ascii="Times New Roman" w:hAnsi="Times New Roman"/>
          <w:i/>
          <w:sz w:val="20"/>
        </w:rPr>
        <w:t>No Stabilization.</w:t>
      </w:r>
      <w:r>
        <w:rPr>
          <w:rFonts w:ascii="Times New Roman" w:hAnsi="Times New Roman"/>
          <w:sz w:val="20"/>
        </w:rPr>
        <w:t xml:space="preserve"> The Company has not taken, directly or indirectly, without giving effect to any activities by the Initial Purchasers, any action designed to or that would reasonably be expected to cause or result in any stabilization or manipulation of the price of the Notes. </w:t>
      </w:r>
    </w:p>
    <w:p>
      <w:pPr>
        <w:pStyle w:val="TextBody"/>
        <w:bidi w:val="0"/>
        <w:spacing w:before="240" w:after="0"/>
        <w:jc w:val="left"/>
        <w:rPr>
          <w:rFonts w:ascii="Times New Roman" w:hAnsi="Times New Roman"/>
          <w:sz w:val="20"/>
        </w:rPr>
      </w:pPr>
      <w:r>
        <w:rPr>
          <w:rFonts w:ascii="Times New Roman" w:hAnsi="Times New Roman"/>
          <w:sz w:val="20"/>
        </w:rPr>
        <w:t xml:space="preserve">(tt) </w:t>
      </w:r>
      <w:r>
        <w:rPr>
          <w:rFonts w:ascii="Times New Roman" w:hAnsi="Times New Roman"/>
          <w:i/>
          <w:sz w:val="20"/>
        </w:rPr>
        <w:t>Forward-Looking Statements.</w:t>
      </w:r>
      <w:r>
        <w:rPr>
          <w:rFonts w:ascii="Times New Roman" w:hAnsi="Times New Roman"/>
          <w:sz w:val="20"/>
        </w:rPr>
        <w:t xml:space="preserve"> No forward-looking statement (within the meaning of Section 27A of the Securities Act and Section 21E of the Exchange Act) contained in the Pricing Disclosure Package or the Offering Memorandum has been made or reaffirmed without a reasonable basis or has been disclosed other than in good faith. </w:t>
      </w:r>
    </w:p>
    <w:p>
      <w:pPr>
        <w:pStyle w:val="TextBody"/>
        <w:bidi w:val="0"/>
        <w:spacing w:before="240" w:after="0"/>
        <w:jc w:val="left"/>
        <w:rPr>
          <w:rFonts w:ascii="Times New Roman" w:hAnsi="Times New Roman"/>
          <w:sz w:val="20"/>
        </w:rPr>
      </w:pPr>
      <w:r>
        <w:rPr>
          <w:rFonts w:ascii="Times New Roman" w:hAnsi="Times New Roman"/>
          <w:sz w:val="20"/>
        </w:rPr>
        <w:t xml:space="preserve">(uu) </w:t>
      </w:r>
      <w:r>
        <w:rPr>
          <w:rFonts w:ascii="Times New Roman" w:hAnsi="Times New Roman"/>
          <w:i/>
          <w:sz w:val="20"/>
        </w:rPr>
        <w:t>Statistical and Market Data.</w:t>
      </w:r>
      <w:r>
        <w:rPr>
          <w:rFonts w:ascii="Times New Roman" w:hAnsi="Times New Roman"/>
          <w:sz w:val="20"/>
        </w:rPr>
        <w:t xml:space="preserve"> Nothing has come to the attention of the Company that has caused the Company to believe that the statistical and market-related data included in the Pricing Disclosure Package and the Offering Memorandum is not based on or derived from sources that are reasonably reliable and accurate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(vv) </w:t>
      </w:r>
      <w:r>
        <w:rPr>
          <w:rFonts w:ascii="Times New Roman" w:hAnsi="Times New Roman"/>
          <w:i/>
          <w:sz w:val="20"/>
        </w:rPr>
        <w:t>Sarbanes-Oxley Act</w:t>
      </w:r>
      <w:r>
        <w:rPr>
          <w:rFonts w:ascii="Times New Roman" w:hAnsi="Times New Roman"/>
          <w:sz w:val="20"/>
        </w:rPr>
        <w:t xml:space="preserve">.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(ww) </w:t>
      </w:r>
      <w:r>
        <w:rPr>
          <w:rFonts w:ascii="Times New Roman" w:hAnsi="Times New Roman"/>
          <w:i/>
          <w:sz w:val="20"/>
        </w:rPr>
        <w:t>Rule 38a-1 Compliance</w:t>
      </w:r>
      <w:r>
        <w:rPr>
          <w:rFonts w:ascii="Times New Roman" w:hAnsi="Times New Roman"/>
          <w:sz w:val="20"/>
        </w:rPr>
        <w:t xml:space="preserve">. The Company has adopted and implemented written policies and procedures reasonably designed to prevent violation of the Federal Securities Laws (as that term is defined in Rule 38a-1 under the Investment Company Act) by the Company, including policies and procedures that provide oversight of compliance by each investment adviser, administrator and transfer agent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(xx) </w:t>
      </w:r>
      <w:r>
        <w:rPr>
          <w:rFonts w:ascii="Times New Roman" w:hAnsi="Times New Roman"/>
          <w:i/>
          <w:sz w:val="20"/>
        </w:rPr>
        <w:t>Regulated Investment Company</w:t>
      </w:r>
      <w:r>
        <w:rPr>
          <w:rFonts w:ascii="Times New Roman" w:hAnsi="Times New Roman"/>
          <w:sz w:val="20"/>
        </w:rPr>
        <w:t xml:space="preserve">. The Company has elected to be treated, and has operated, and intends to continue to operate, its business in such a manner so as to enable the Company to continue to qualify as a regulated investment company under Subchapter M of the Code. The Company intends to direct the investment of the proceeds of the offering of the Notes in such a manner as to comply with the requirements of Subchapter M of the Code.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(yy) </w:t>
      </w:r>
      <w:r>
        <w:rPr>
          <w:rFonts w:ascii="Times New Roman" w:hAnsi="Times New Roman"/>
          <w:i/>
          <w:sz w:val="20"/>
        </w:rPr>
        <w:t>Cybersecurity.</w:t>
      </w:r>
      <w:r>
        <w:rPr>
          <w:rFonts w:ascii="Times New Roman" w:hAnsi="Times New Roman"/>
          <w:sz w:val="20"/>
        </w:rPr>
        <w:t xml:space="preserve"> (A) To the Companys knowledge, since the Companys inception in 2022, there has been no material security breach or other material compromise of or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(collectively, IT Systems and Data); (B) in the last three years, neither the Company nor its subsidiaries have been notified of, and have no knowledge of any material event or condition that would reasonably be expected to result in, any such material security breach or other material compromise to their IT Systems and Data and (C) the Company and its subsidiaries have implemented controls, policies, procedures, and technological safeguards reasonably designed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applicable judgments, orders, rules and regulations of any court or arbitrator or governmental or regulatory authority and internal policies relating to the privacy and security of IT Systems and Data.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the Adviser</w:t>
      </w:r>
      <w:r>
        <w:rPr>
          <w:rFonts w:ascii="Times New Roman" w:hAnsi="Times New Roman"/>
          <w:sz w:val="20"/>
        </w:rPr>
        <w:t xml:space="preserve">. The Adviser represents and warrants to, and agrees with, each Initial Purchaser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Material Adverse Change.</w:t>
      </w:r>
      <w:r>
        <w:rPr>
          <w:rFonts w:ascii="Times New Roman" w:hAnsi="Times New Roman"/>
          <w:sz w:val="20"/>
        </w:rPr>
        <w:t xml:space="preserve"> Except as disclosed in the Pricing Disclosure Package and the Offering Memorandum, since the date of the most recent financial statements of the Company included or incorporated by reference in the Pricing Disclosure Package and the Offering Memorandum, (i)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Organization and Good Standing.</w:t>
      </w:r>
      <w:r>
        <w:rPr>
          <w:rFonts w:ascii="Times New Roman" w:hAnsi="Times New Roman"/>
          <w:sz w:val="20"/>
        </w:rPr>
        <w:t xml:space="preserve"> The Adviser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Registration as an Investment Adviser</w:t>
      </w:r>
      <w:r>
        <w:rPr>
          <w:rFonts w:ascii="Times New Roman" w:hAnsi="Times New Roman"/>
          <w:sz w:val="20"/>
        </w:rPr>
        <w:t xml:space="preserve">. The Adviser is duly registered with the Commission as an investment adviser under the Advisers Act and the Adviser is not prohibited by the Advisers Act or the Investment Company Act from acting under the Investment Management Agreement as an investment adviser to the Company, as contemplated by the Pricing Disclosure Package and the Offering Memorandum. There does not exist any proceeding or, to the Advisers knowledge, any facts or circumstances, the existence of which would lead to any proceeding which would reasonably be expected to adversely affect the registration of the Adviser with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Purchase Agreement. </w:t>
      </w:r>
      <w:r>
        <w:rPr>
          <w:rFonts w:ascii="Times New Roman" w:hAnsi="Times New Roman"/>
          <w:sz w:val="20"/>
        </w:rPr>
        <w:t xml:space="preserve">This Agreement has been duly authorized, executed and delivered by the Adviser.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Investment Management Agreement and the Administration Agreement.</w:t>
      </w:r>
      <w:r>
        <w:rPr>
          <w:rFonts w:ascii="Times New Roman" w:hAnsi="Times New Roman"/>
          <w:sz w:val="20"/>
        </w:rPr>
        <w:t xml:space="preserve"> The Investment Management Agreement and the Administration 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No Violation or Default. </w:t>
      </w:r>
      <w:r>
        <w:rPr>
          <w:rFonts w:ascii="Times New Roman" w:hAnsi="Times New Roman"/>
          <w:sz w:val="20"/>
        </w:rPr>
        <w:t xml:space="preserve">Neither the Adviser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No Conflicts. </w:t>
      </w:r>
      <w:r>
        <w:rPr>
          <w:rFonts w:ascii="Times New Roman" w:hAnsi="Times New Roman"/>
          <w:sz w:val="20"/>
        </w:rPr>
        <w:t xml:space="preserve">The execution, delivery and performance by the Adviser of this Agreement and the performance by the Adviser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Consents Required.</w:t>
      </w:r>
      <w:r>
        <w:rPr>
          <w:rFonts w:ascii="Times New Roman" w:hAnsi="Times New Roman"/>
          <w:sz w:val="20"/>
        </w:rPr>
        <w:t xml:space="preserve"> No consent, approval, authorization, order, license, registration or qualification of or with any court or arbitrator or 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Legal Proceedings.</w:t>
      </w:r>
      <w:r>
        <w:rPr>
          <w:rFonts w:ascii="Times New Roman" w:hAnsi="Times New Roman"/>
          <w:sz w:val="20"/>
        </w:rPr>
        <w:t xml:space="preserve"> Except as described in the Pricing Disclosure Package and the Offering Memorandum, there are no legal, 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would be required to be described in the Pricing Disclosure Package or the Offering Memorandum if the offering of the Notes was pursuant to a registration under the Securities Act that are not so described in the Pricing Disclosure Package and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Licenses and Permits.</w:t>
      </w:r>
      <w:r>
        <w:rPr>
          <w:rFonts w:ascii="Times New Roman" w:hAnsi="Times New Roman"/>
          <w:sz w:val="20"/>
        </w:rPr>
        <w:t xml:space="preserve"> The Adviser and its subsidiaries possess all licenses, certificates, permits and other authorizations issued by, and have 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Pricing Disclosure Package and the Offering Memorandum, except where the failure to possess or make the same would not reasonably be expected, individually or in the aggregate, to have an Adviser Material Adverse Effect; and except as described in the Pricing Disclosure Package and the Offering Memorandum,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Description of the Adviser</w:t>
      </w:r>
      <w:r>
        <w:rPr>
          <w:rFonts w:ascii="Times New Roman" w:hAnsi="Times New Roman"/>
          <w:sz w:val="20"/>
        </w:rPr>
        <w:t xml:space="preserve">. The description of the Adviser and its respective principals and business in the Pricing Disclosure Package and the Offering Memorandum does not and will not contain an untrue statement of a material fact or omit to state a material fact required to be stated therein or necessary to make the statements therein, in the light of the circumstances under which they were made, not misleading.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Financial Resources</w:t>
      </w:r>
      <w:r>
        <w:rPr>
          <w:rFonts w:ascii="Times New Roman" w:hAnsi="Times New Roman"/>
          <w:sz w:val="20"/>
        </w:rPr>
        <w:t xml:space="preserve">. The Adviser has the financial resources available to it necessary for the performance of its services and obligations contemplated in the Pricing Disclosure Package, the Offering Memorandum, and under this Agreement, the Investment Management Agreement and the Administration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Internal Controls</w:t>
      </w:r>
      <w:r>
        <w:rPr>
          <w:rFonts w:ascii="Times New Roman" w:hAnsi="Times New Roman"/>
          <w:sz w:val="20"/>
        </w:rPr>
        <w:t xml:space="preserve">. The Adviser maintains a system of internal accounting controls sufficient to provide reasonable assurance that (i) 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generally accepted accounting principles, to calculate net asset value, and to maintain asset accountability, and to maintain material compliance with the books and records requirements under the Investment Company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No Unlawful Payments.</w:t>
      </w:r>
      <w:r>
        <w:rPr>
          <w:rFonts w:ascii="Times New Roman" w:hAnsi="Times New Roman"/>
          <w:sz w:val="20"/>
        </w:rPr>
        <w:t xml:space="preserve"> Neither the Adviser nor any of its subsidiaries nor any director, officer, or employee of the Adviser or any of its 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Compliance with Money Laundering Laws</w:t>
      </w:r>
      <w:r>
        <w:rPr>
          <w:rFonts w:ascii="Times New Roman" w:hAnsi="Times New Roman"/>
          <w:sz w:val="20"/>
        </w:rPr>
        <w:t xml:space="preserve">. The operations of the Adviser and its subsidiaries are and have been conducted at all times in 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No Conflicts with Sanctions Laws.</w:t>
      </w:r>
      <w:r>
        <w:rPr>
          <w:rFonts w:ascii="Times New Roman" w:hAnsi="Times New Roman"/>
          <w:sz w:val="20"/>
        </w:rPr>
        <w:t xml:space="preserve"> Neither the Adviser nor any of its subsidiaries, directors, officers or employees, nor, to the knowledge of the Adviser, any agent, or affiliate or other person associated with or acting on behalf of the Adviser or any of its subsidiaries is currently the subject or the target of any Sanctions, nor is the Adviser, any of its subsidiaries located, organized or resident in a Sanctioned Territory.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Territory.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No Stabilization.</w:t>
      </w:r>
      <w:r>
        <w:rPr>
          <w:rFonts w:ascii="Times New Roman" w:hAnsi="Times New Roman"/>
          <w:sz w:val="20"/>
        </w:rPr>
        <w:t xml:space="preserve"> The Adviser has not taken, directly or indirectly, without giving effect to any activities by the Initial Purchasers, any action designed to or that would reasonably be expected to cause or result in any stabilization or manipulation of the price of the Notes.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No Integration</w:t>
      </w:r>
      <w:r>
        <w:rPr>
          <w:rFonts w:ascii="Times New Roman" w:hAnsi="Times New Roman"/>
          <w:sz w:val="20"/>
        </w:rPr>
        <w:t xml:space="preserve">. Neither the Adviser nor any of its affiliates (as defined in Rule 501(b) of Regulation D) has, directly or through any agent, sold, offered for sale, solicited offers to buy or otherwise negotiated in respect of, any security (as defined in the Securities Act), that is or will be integrated with the sale of the Notes in a manner that would require registration of the Notes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No General Solicitation</w:t>
      </w:r>
      <w:r>
        <w:rPr>
          <w:rFonts w:ascii="Times New Roman" w:hAnsi="Times New Roman"/>
          <w:sz w:val="20"/>
        </w:rPr>
        <w:t xml:space="preserve">. Neither the Adviser nor any of its affiliates or any other person acting on their behalf (other than the Initial Purchasers, as to which no representation is made) has solicited offers for, or offered or sold, the Notes by means of any form of general solicitation or general advertising within the meaning of Rule 502(c) of Regulation D or in any manner involving a public offering within the meaning of Section 4(a)(2)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 xml:space="preserve">Key Employees. </w:t>
      </w:r>
      <w:r>
        <w:rPr>
          <w:rFonts w:ascii="Times New Roman" w:hAnsi="Times New Roman"/>
          <w:sz w:val="20"/>
        </w:rPr>
        <w:t xml:space="preserve">The Adviser is not aware that (i) any of its executives, key employees or significant group of employees plans to terminate 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No Labor Disputes.</w:t>
      </w:r>
      <w:r>
        <w:rPr>
          <w:rFonts w:ascii="Times New Roman" w:hAnsi="Times New Roman"/>
          <w:sz w:val="20"/>
        </w:rPr>
        <w:t xml:space="preserve"> No labor disturbance by or dispute with employees of the Adviser or any of its subsidiaries exists or, to the knowledge of 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Further Agreements of the Company</w:t>
      </w:r>
      <w:r>
        <w:rPr>
          <w:rFonts w:ascii="Times New Roman" w:hAnsi="Times New Roman"/>
          <w:sz w:val="20"/>
        </w:rPr>
        <w:t xml:space="preserve">. The Company covenants and agrees with each Initial Purchaser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Delivery of Copies.</w:t>
      </w:r>
      <w:r>
        <w:rPr>
          <w:rFonts w:ascii="Times New Roman" w:hAnsi="Times New Roman"/>
          <w:sz w:val="20"/>
        </w:rPr>
        <w:t xml:space="preserve"> The Company has delivered to each Initial Purchaser, without charge, as many copies of the Preliminary Offering Memorandum as such Initial Purchaser reasonably requested. The Company will furnish to each Initial Purchaser, without charge, such number of copies of the Offering Memorandum (as amended or supplemented) as such Initial Purchaser may reasonably request.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Amendments or Supplements.</w:t>
      </w:r>
      <w:r>
        <w:rPr>
          <w:rFonts w:ascii="Times New Roman" w:hAnsi="Times New Roman"/>
          <w:sz w:val="20"/>
        </w:rPr>
        <w:t xml:space="preserve"> Before using, authorizing, approving, referring to or distributing any amendment or supplement to the Pricing Disclosure Package or the Offering Memorandum, the Company will furnish to the Representative and counsel for the Initial Purchasers a copy of the proposed amendment or supplement for review and will not use, authorize, approve, refer to or distribute any such proposed amendment or supplement to which the Representative reasonably objects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Marketing Materials</w:t>
      </w:r>
      <w:r>
        <w:rPr>
          <w:rFonts w:ascii="Times New Roman" w:hAnsi="Times New Roman"/>
          <w:sz w:val="20"/>
        </w:rPr>
        <w:t xml:space="preserve">. Before using, authorizing, approving, referring to or distributing any Marketing Materials, the Company will furnish to the Representative and counsel for the Initial Purchasers a copy of such materials for review and will not use, authorize, approve, refer to or distribute any such materials to which the Representative reasonably object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to the Representative.</w:t>
      </w:r>
      <w:r>
        <w:rPr>
          <w:rFonts w:ascii="Times New Roman" w:hAnsi="Times New Roman"/>
          <w:sz w:val="20"/>
        </w:rPr>
        <w:t xml:space="preserve"> The Company will advise the Representative promptly, and confirm such advice in writing, (i) of the issuance by any governmental or regulatory authority of any order preventing or suspending the use of the Pricing Disclosure Package, any Marketing Materials or the Offering Memorandum or the initiation or threatening of any proceeding for that purpose; (ii) of the occurrence of any event or development at any time prior to the completion of the offering of the Notes, as a result of which the Pricing Disclosure Package, any Marketing Materials or the Offering Memorandum, as then amended or supplemented, would include any untrue statement of a material fact or omit to state a material fact necessary in order to make the statements therein, in the light of the circumstances existing when the Pricing Disclosure Package, such Marketing Materials or the Offering Memorandum is delivered to a purchaser, not misleading; (iii) of the receipt of any oral or written comments from the Commission, whether or not related to the offering of the Notes; and (iv) of the receipt by the Company of any notice with respect to any suspension of the qualification of the Notes for offer and sale in any jurisdiction or the initiation or threatening of any proceeding for such purpose; and the Company will use commercially reasonable efforts to prevent the issuance of any such order preventing or suspending the use of any of the Pricing Disclosure Package, any Marketing Materials or the Offering Memorandum or suspending any such qualification of the Notes and, if any such order is issued, will use commercially reasonable efforts to obtain as soon as possible the withdrawal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Ongoing Compliance.</w:t>
      </w:r>
      <w:r>
        <w:rPr>
          <w:rFonts w:ascii="Times New Roman" w:hAnsi="Times New Roman"/>
          <w:sz w:val="20"/>
        </w:rPr>
        <w:t xml:space="preserve"> (1) If at any time prior to the completion of the offering of the Notes (i) any event or development shall occur or condition shall exist as a result of which the Offering Memorandum as then amended or supplemented would include any untrue statement of a material fact or omit to state any material fact necessary in order to make the statements therein, in the light of the circumstances existing when the Offering Memorandum is delivered to a purchaser, not misleading or (ii) it is necessary to amend or supplement the Offering Memorandum to comply with law, the Company will immediately notify the Initial Purchasers thereof and forthwith prepare and, subject to paragraph (b) above, furnish to the Initial Purchasers and to such dealers as the Representative may designate such amendments or supplements to the Offering Memorandum as may be necessary so that the statements in the Offering Memorandum as so amended or supplemented will not, in the light of the circumstances existing when the Offering Memorandum is delivered to a purchaser, be misleading or so that the Offering Memorandum will comply with law and (2) if at any time prior to the Closing Date (i) any event or development shall occur or condition shall exist as a result of which the Pricing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Initial Purchasers thereof and forthwith prepare and, subject to paragraph (b) above, furnish to the Initial Purchasers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Supplying Information</w:t>
      </w:r>
      <w:r>
        <w:rPr>
          <w:rFonts w:ascii="Times New Roman" w:hAnsi="Times New Roman"/>
          <w:sz w:val="20"/>
        </w:rPr>
        <w:t xml:space="preserve">. While the Notes remain outstanding and are restricted securities within the meaning of Rule 144(a)(3) under the Securities Act, the Company will, during any period in which the Company is not subject to and in compliance with Section 13 or 15(d) of the Exchange Act, furnish to holders of the Notes, prospective purchasers of the Securities designated by such holders and securities analysts, in each case upon request, the information required to be delivered pursuant to Rule 144A(d)(4)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No Integration</w:t>
      </w:r>
      <w:r>
        <w:rPr>
          <w:rFonts w:ascii="Times New Roman" w:hAnsi="Times New Roman"/>
          <w:sz w:val="20"/>
        </w:rPr>
        <w:t xml:space="preserve">. Neither the Company nor any of its affiliates (as defined in Rule 501(b) of Regulation D) will, directly or through any agent, sell, offer for sale, solicit offers to buy or otherwise negotiate in respect of, any security (as defined in the Securities Act), that is or will be integrated with the sale of the Notes in a manner that would require registration of the Notes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General Solicitation</w:t>
      </w:r>
      <w:r>
        <w:rPr>
          <w:rFonts w:ascii="Times New Roman" w:hAnsi="Times New Roman"/>
          <w:sz w:val="20"/>
        </w:rPr>
        <w:t xml:space="preserve">. None of the Company or any of its affiliates or any other person acting on its or their behalf (other than the Initial Purchasers, as to which no covenant is given) will solicit offers for, or offer or sell, the Notes by means of any form of general solicitation or general advertising within the meaning of Rule 502(c) of Regulation D or in any manner involving a public offering within the meaning of Section 4(a)(2)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Resales by the Company</w:t>
      </w:r>
      <w:r>
        <w:rPr>
          <w:rFonts w:ascii="Times New Roman" w:hAnsi="Times New Roman"/>
          <w:sz w:val="20"/>
        </w:rPr>
        <w:t xml:space="preserve">. During the period from the Closing Date until one year after the Closing Date, the Company will not, and will not permit any of its subsidiaries to, resell any of the Notes that constitute restricted securities under Rule 144 under the Securities Act that have been reacquired by any of them, except for Notes purchased by the Company or any of its subsidiaries and resold in a transaction registered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Blue Sky Compliance.</w:t>
      </w:r>
      <w:r>
        <w:rPr>
          <w:rFonts w:ascii="Times New Roman" w:hAnsi="Times New Roman"/>
          <w:sz w:val="20"/>
        </w:rPr>
        <w:t xml:space="preserve"> The Company will use commercially reasonable efforts, in cooperation with the Representative, to qualify the Notes for offer and sale under the securities or Blue Sky laws of such jurisdictions as the Representative shall reasonably request and will continue such qualifications in effect so long as required for distribution of the Notes; </w:t>
      </w:r>
      <w:r>
        <w:rPr>
          <w:rFonts w:ascii="Times New Roman" w:hAnsi="Times New Roman"/>
          <w:sz w:val="20"/>
          <w:u w:val="single"/>
        </w:rPr>
        <w:t>provided</w:t>
      </w:r>
      <w:r>
        <w:rPr>
          <w:rFonts w:ascii="Times New Roman" w:hAnsi="Times New Roman"/>
          <w:sz w:val="20"/>
        </w:rPr>
        <w:t xml:space="preserve"> that the Company shall not be required to (i) qualify as a foreign corporation or other entity or as a dealer in securities in any such jurisdiction where it would not otherwise be required to so qualify or (ii) file any general consent to service of process in any such jurisdiction.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Earning Statement. </w:t>
      </w:r>
      <w:r>
        <w:rPr>
          <w:rFonts w:ascii="Times New Roman" w:hAnsi="Times New Roman"/>
          <w:sz w:val="20"/>
        </w:rPr>
        <w:t xml:space="preserve">The Company will make generally available to its security holders and the Representative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date of the Offering Memorandum; </w:t>
      </w:r>
      <w:r>
        <w:rPr>
          <w:rFonts w:ascii="Times New Roman" w:hAnsi="Times New Roman"/>
          <w:i/>
          <w:sz w:val="20"/>
        </w:rPr>
        <w:t>provided that</w:t>
      </w:r>
      <w:r>
        <w:rPr>
          <w:rFonts w:ascii="Times New Roman" w:hAnsi="Times New Roman"/>
          <w:sz w:val="20"/>
        </w:rPr>
        <w:t xml:space="preserve"> the Company will be deemed to have complied with such requirement by filing such an earning statement on the Commissions Electronic Data Gathering, Analysis, and Retrieval system (or any successor system) (EDGAR).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Clear Market.</w:t>
      </w:r>
      <w:r>
        <w:rPr>
          <w:rFonts w:ascii="Times New Roman" w:hAnsi="Times New Roman"/>
          <w:sz w:val="20"/>
        </w:rPr>
        <w:t xml:space="preserve"> Through the Closing Date, the Company will not (i) offer, pledge, sell, contract to sell, sell any option or contract to purchase, purchase any option or contract to sell, grant any option, right or warrant to purchase, or otherwise transfer or dispose of, directly or indirectly, or file with the Commission a registration statement under the Securities Act relating to, any debt securities issued or guaranteed by the Company or any securities convertible into or exercisable or exchangeable for debt securities issued or guaranteed by the Company, or publicly disclose the intention to make any such offer, sale, pledge, disposition or filing, or (ii) enter into any swap or other agreement that transfers, in whole or in part, any of the economic consequences of ownership of the debt securities issued or guaranteed by the Company or any such other securities, without the prior written consent of the Representative on behalf of the Initial Purchasers, other than the Notes to be sold hereunder for purposes of interest rate hedging.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Use of Proceeds.</w:t>
      </w:r>
      <w:r>
        <w:rPr>
          <w:rFonts w:ascii="Times New Roman" w:hAnsi="Times New Roman"/>
          <w:sz w:val="20"/>
        </w:rPr>
        <w:t xml:space="preserve"> The Company will apply the net proceeds from the sale of the Notes in all material respects as described in the Pricing Disclosure Package and the Offering Memorandum under the heading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Reports.</w:t>
      </w:r>
      <w:r>
        <w:rPr>
          <w:rFonts w:ascii="Times New Roman" w:hAnsi="Times New Roman"/>
          <w:sz w:val="20"/>
        </w:rPr>
        <w:t xml:space="preserve"> For a period of one year from the date of this Agreement, so long as the Notes are outstanding, the Company will furnish to the Representative, as soon as commercially reasonable after the date they are available, copies of all reports or other communications (financial or other) furnished to holders of the Notes, and copies of any reports and financial statements furnished to or filed with the Commission or any national securities exchange or automatic quotation system; </w:t>
      </w:r>
      <w:r>
        <w:rPr>
          <w:rFonts w:ascii="Times New Roman" w:hAnsi="Times New Roman"/>
          <w:sz w:val="20"/>
          <w:u w:val="single"/>
        </w:rPr>
        <w:t>provided</w:t>
      </w:r>
      <w:r>
        <w:rPr>
          <w:rFonts w:ascii="Times New Roman" w:hAnsi="Times New Roman"/>
          <w:sz w:val="20"/>
        </w:rPr>
        <w:t xml:space="preserve"> the Company will be deemed to have furnished such reports and financial statements to the Representative to the extent they are filed on EDGAR.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Emerging Growth Company</w:t>
      </w:r>
      <w:r>
        <w:rPr>
          <w:rFonts w:ascii="Times New Roman" w:hAnsi="Times New Roman"/>
          <w:sz w:val="20"/>
        </w:rPr>
        <w:t xml:space="preserve">. The Company will promptly notify the Representative if the Company ceases to be an Emerging Growth Company at any time prior to the completion of the distribution of Notes within the meaning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Business Development Company</w:t>
      </w:r>
      <w:r>
        <w:rPr>
          <w:rFonts w:ascii="Times New Roman" w:hAnsi="Times New Roman"/>
          <w:sz w:val="20"/>
        </w:rPr>
        <w:t xml:space="preserve">. The Company, during a period of twelve months from the date of the Offering Memorandum, will use commercially reasonable efforts to maintain its status as a business development company under the Investment Company Act;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may change the nature of its business so as to cease to be, or withdraw its election to be treated as, a business development company with the approval of its Board of Directors and a vote of stockholders as required by Section 58 of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Regulated Investment Company.</w:t>
      </w:r>
      <w:r>
        <w:rPr>
          <w:rFonts w:ascii="Times New Roman" w:hAnsi="Times New Roman"/>
          <w:sz w:val="20"/>
        </w:rPr>
        <w:t xml:space="preserve"> The Company will use commercially reasonable efforts to maintain in effect its qualification and election to be treated as a regulated investment company under Subchapter M of the Code for each taxable year during which it is a business development company under the Investment Company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Annual Compliance Reviews</w:t>
      </w:r>
      <w:r>
        <w:rPr>
          <w:rFonts w:ascii="Times New Roman" w:hAnsi="Times New Roman"/>
          <w:sz w:val="20"/>
        </w:rPr>
        <w:t xml:space="preserve">. The Company will retain qualified accountants and qualified tax experts (i) to test procedures and conduct annual 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Legends</w:t>
      </w:r>
      <w:r>
        <w:rPr>
          <w:rFonts w:ascii="Times New Roman" w:hAnsi="Times New Roman"/>
          <w:sz w:val="20"/>
        </w:rPr>
        <w:t xml:space="preserve">. Each of the Notes will bear, to the extent applicable, the legend contained in Transfer Restrictions in the Pricing Disclosure Package and the Offering Memorandum for the time period and upon the other terms stated therein.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Certain Agreements of the Initial Purchasers</w:t>
      </w:r>
      <w:r>
        <w:rPr>
          <w:rFonts w:ascii="Times New Roman" w:hAnsi="Times New Roman"/>
          <w:sz w:val="20"/>
        </w:rPr>
        <w:t xml:space="preserve">. Each Initial Purchaser hereby represents, warrants and agrees that 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Notes, other than materials contained in the Pricing Disclosure Package, any Marketing Materials and the Offering Memorandum or any other offering materials prepared by or with the prior written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Conditions of Initial Purchasers Obligations.</w:t>
      </w:r>
      <w:r>
        <w:rPr>
          <w:rFonts w:ascii="Times New Roman" w:hAnsi="Times New Roman"/>
          <w:sz w:val="20"/>
        </w:rPr>
        <w:t xml:space="preserve"> The obligation of each Initial Purchaser to purchase the Notes on the Closing Date as provided herein is subject to the performance by the Company of its covenants and other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w:t>
      </w:r>
      <w:r>
        <w:rPr>
          <w:rFonts w:ascii="Times New Roman" w:hAnsi="Times New Roman"/>
          <w:sz w:val="20"/>
        </w:rPr>
        <w:t xml:space="preserve"> The representations and warranties of the Company and the Adviser contained herein shall be true and correct on the date hereof and on and as of the Closing Date; and the statements of the Company and its officers made in any certificates delivered pursuant to this Agreement shall be true and correct on and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Material Adverse Change.</w:t>
      </w:r>
      <w:r>
        <w:rPr>
          <w:rFonts w:ascii="Times New Roman" w:hAnsi="Times New Roman"/>
          <w:sz w:val="20"/>
        </w:rPr>
        <w:t xml:space="preserve"> No event or condition of a type described in Section 3(f) and Section 4(a) hereof shall have occurred or shall exist, which event or condition is not described in the Pricing Disclosure Package (excluding any amendment or supplement thereto) and the Offering Memorandum (excluding any amendment or supplement thereto) and the effect of which in the judgment of the Representative makes it impracticable or inadvisable to proceed with the offering, sale or delivery of the Notes on the Closing Date, on the terms and in the manner contemplated by this Agreement, the Pricing Disclosure Package and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Companys Officers Certificate.</w:t>
      </w:r>
      <w:r>
        <w:rPr>
          <w:rFonts w:ascii="Times New Roman" w:hAnsi="Times New Roman"/>
          <w:sz w:val="20"/>
        </w:rPr>
        <w:t xml:space="preserve"> The Representative shall have received on and as of the Closing Date a certificate, which shall be delivered on behalf of the Company and not the signatories in their individual capacity, of the chief financial officer or chief accounting officer of the Company and one additional senior executive officer of the Company who is reasonably satisfactory to the Representative (i) confirming that such officers have carefully reviewed the Pricing Disclosure Package and the Offering Memorandum, (ii) confirming that, to the knowledge of such officers, the representations and warranties of the Company in Sections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3(b) and 3(c)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and (iv) with respect to the Company and its subsidiaries, to the effect set forth in paragraph (b) above.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Advisers Officers Certificate.</w:t>
      </w:r>
      <w:r>
        <w:rPr>
          <w:rFonts w:ascii="Times New Roman" w:hAnsi="Times New Roman"/>
          <w:sz w:val="20"/>
        </w:rPr>
        <w:t xml:space="preserve"> The Representative shall have received on and as of the Closing Date a certificate, which shall be delivered on behalf of the Adviser and not the signatories in their individual capacity, from the two appropriate senior officers of the Adviser reasonably satisfactory to the Representative (i) confirming that the representations and warranties of the Adviser in this Agreement are true and correct and that the Adviser has complied with all agreements and satisfied all conditions on its part to be performed or satisfied hereunder at or prior to the Closing Date, and (ii) with respect to the Adviser and its subsidiaries, to the effect set forth in paragraph (b) above.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Comfort Letters.</w:t>
      </w:r>
      <w:r>
        <w:rPr>
          <w:rFonts w:ascii="Times New Roman" w:hAnsi="Times New Roman"/>
          <w:sz w:val="20"/>
        </w:rPr>
        <w:t xml:space="preserve"> On the date of this Agreement and on the Closing Date, KPMG LLP shall have furnished to the Representative, at the request of the Company, letters, dated the respective dates of delivery thereof and addressed to the Initial Purchasers, in form and substance reasonably satisfactory to the Representative, containing statements and information of the type customarily included in accountants comfort letters to Initial Purchasers with respect to the financial statements and certain financial information contained in the Pricing Disclosure Package and the Offering Memorandum; provided, that the letter delivered on the Closing Date shall use a cut-off date no more than three business days prior to such Closing Date.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Opinion and 10b-5 Statement of Counsel for the Company and Adviser.</w:t>
      </w:r>
      <w:r>
        <w:rPr>
          <w:rFonts w:ascii="Times New Roman" w:hAnsi="Times New Roman"/>
          <w:sz w:val="20"/>
        </w:rPr>
        <w:t xml:space="preserve"> Simpson, Thacher &amp; Bartlett LLP, counsel for the Company and the Adviser, shall have furnished to the Representative, at the request of the Company and the Adviser, their written opinions and 10b-5 letter, dated the Closing Date and addressed to the Initial Purchasers, in form and substance reasonably satisfactory to the Representative. Morris, Nichols, Arsht &amp; Tunnell LLP, Delaware counsel for the Company and the Adviser, shall have furnished to the Representative, at the request of the Company and the Adviser, their written opinion, dated the Closing Date and addressed to the Initial Purchasers, in form and substance reasonably satisfactory to the Representative. In-house counsel to the Company and the Adviser, shall have furnished to the Representative, its written opinion, dated the Closing Date and addressed to the Initial Purchasers, in form and substance reasonably satisfactory to the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Opinion and 10b-5 Statement of Counsel for the Initial Purchasers.</w:t>
      </w:r>
      <w:r>
        <w:rPr>
          <w:rFonts w:ascii="Times New Roman" w:hAnsi="Times New Roman"/>
          <w:sz w:val="20"/>
        </w:rPr>
        <w:t xml:space="preserve"> The Representative shall have received on and as of the Closing Date an opinion and 10b-5 statement of Ropes &amp; Gray LLP, counsel for the Initial Purchasers, with respect to such matters as the Representative may reasonably request, and such counsel shall have received such documents and information as they may reasonably request to enable them to pass upon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Legal Impediment to Issuance.</w:t>
      </w:r>
      <w:r>
        <w:rPr>
          <w:rFonts w:ascii="Times New Roman" w:hAnsi="Times New Roman"/>
          <w:sz w:val="20"/>
        </w:rPr>
        <w:t xml:space="preserve"> No action shall have been taken and no statute, rule, regulation or order shall have been enacted, adopted or issued by any federal, state or foreign governmental or regulatory authority that would, as of the Closing Date, prevent the issuance or sale of the Notes; and no injunction or order of any federal, state or foreign court shall have been issued that would, as of the Closing Date, prevent the issuance or sale of the Notes.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Good Standing</w:t>
      </w:r>
      <w:r>
        <w:rPr>
          <w:rFonts w:ascii="Times New Roman" w:hAnsi="Times New Roman"/>
          <w:sz w:val="20"/>
        </w:rPr>
        <w:t xml:space="preserve">. The Representative shall have received on and as of the Closing Date reasonably satisfactory evidence of the good standing of the Company and its subsidiaries in their respective jurisdictions of organization and their good standing as foreign entities in such other jurisdictions as the Representative may reasonably request, in each case in writing or any standard form of telecommunication from the appropriate governmental authorities of such jurisdictions.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Base Indenture</w:t>
      </w:r>
      <w:r>
        <w:rPr>
          <w:rFonts w:ascii="Times New Roman" w:hAnsi="Times New Roman"/>
          <w:sz w:val="20"/>
        </w:rPr>
        <w:t xml:space="preserve">. On or prior to the Closing Date, the Company and the Trustee shall have executed and delivered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First Supplemental Indenture and Notes</w:t>
      </w:r>
      <w:r>
        <w:rPr>
          <w:rFonts w:ascii="Times New Roman" w:hAnsi="Times New Roman"/>
          <w:sz w:val="20"/>
        </w:rPr>
        <w:t xml:space="preserve">. On or prior to the Closing Date, the Company and the Trustee shall have executed and delivered the First Supplemental Indenture and the Notes.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 xml:space="preserve">Registration Rights Agreement. </w:t>
      </w:r>
      <w:r>
        <w:rPr>
          <w:rFonts w:ascii="Times New Roman" w:hAnsi="Times New Roman"/>
          <w:sz w:val="20"/>
        </w:rPr>
        <w:t xml:space="preserve">On or prior to the Closing Date the Initial Purchasers shall have received a counterpart of the Registration Rights Agreement that shall have been executed and delivered by a duly authorized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No Downgrade</w:t>
      </w:r>
      <w:r>
        <w:rPr>
          <w:rFonts w:ascii="Times New Roman" w:hAnsi="Times New Roman"/>
          <w:sz w:val="20"/>
        </w:rPr>
        <w:t xml:space="preserve">. Subsequent to the earlier of (A) the Applicable Time and (B) the execution and delivery of this Agreement, if there are any 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Additional Documents.</w:t>
      </w:r>
      <w:r>
        <w:rPr>
          <w:rFonts w:ascii="Times New Roman" w:hAnsi="Times New Roman"/>
          <w:sz w:val="20"/>
        </w:rPr>
        <w:t xml:space="preserve"> On or prior to the Closing Date the Company shall have furnished to the Representative such further certificates and documents as the Representative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certificates and evidence mentioned above or elsewhere in this Agreement shall be deemed to be in compliance with the provisions hereof only if they are in form and substance reasonably satisfactory to counsel for the Initial Purchasers.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Initial Purchasers.</w:t>
      </w:r>
      <w:r>
        <w:rPr>
          <w:rFonts w:ascii="Times New Roman" w:hAnsi="Times New Roman"/>
          <w:sz w:val="20"/>
        </w:rPr>
        <w:t xml:space="preserve"> The Company agrees to indemnify and hold harmless each Initial Purchaser, its affiliates, directors and officers and each person, if any, who controls such Initial Purchaser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are based upon, any untrue statement or alleged untrue statement of a material fact contained in the Offering Memorandum (or any amendment or supplement thereto), any road show as defined in Rule 433(h) under the Securities Act (a road show), any Marketing Materials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Initial Purchaser furnished to the Company in writing by such Initial Purchaser through the Representative expressly for use therein, it being understood and agreed that the only such information furnished by any Initial Purchaser consists of the information described as such in subsection (b) below.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the Company.</w:t>
      </w:r>
      <w:r>
        <w:rPr>
          <w:rFonts w:ascii="Times New Roman" w:hAnsi="Times New Roman"/>
          <w:sz w:val="20"/>
        </w:rPr>
        <w:t xml:space="preserve"> Each Initial Purchaser agrees, severally and not jointly, to indemnify and hold harmless the Company, its directors, its officers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Initial Purchaser furnished to the Company in writing by such Initial Purchaser through the Representative expressly for use in the Offering Memorandum (or any amendment or supplement thereto), any road show, any Marketing Materials or any Pricing Disclosure Package (including any Pricing Disclosure Package that has subsequently been amended), it being understood and agreed upon that the only such information furnished by any Initial Purchaser consists of the following information in the Offering Memorandum furnished on behalf of each Initial Purchaser: the marketing names of the Initial Purchasers set forth on such front and back cover pages; the legal names of the Initial Purchasers set forth in the table under the caption Plan of Distribution; and, under the caption Plan of Distribution, the information in the first sentence of the fourth paragraph and the information regarding stabilizing transactions contained in the first and second sentences of the eleventh paragraph, the first sentence of the twelfth paragraph and the fourth sentence of the thirteenth paragraph.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and Procedures.</w:t>
      </w:r>
      <w:r>
        <w:rPr>
          <w:rFonts w:ascii="Times New Roman" w:hAnsi="Times New Roman"/>
          <w:sz w:val="20"/>
        </w:rPr>
        <w:t xml:space="preserve"> If any suit, action, proceeding (including any governmental or regulatory investigation), claim or demand shall be 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Initial Purchaser, its affiliates, directors and officers and any control persons of such Initial Purchaser shall be designated in writing by the Representative and any such separate firm for the Company, its directors, its officers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Contribution.</w:t>
      </w:r>
      <w:r>
        <w:rPr>
          <w:rFonts w:ascii="Times New Roman" w:hAnsi="Times New Roman"/>
          <w:sz w:val="20"/>
        </w:rPr>
        <w:t xml:space="preserve"> 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Initial Purchasers on the other, from the offering of the Notes or (ii) if the allocation provided by clause (i) is not permitted by applicable law, in such proportion as is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appropriate to reflect not only the relative benefits referred to in clause (i) but also the relative fault of the Company, on the one hand, and the Initial Purchasers on the other, in connection with the statements or omissions that resulted in such losses, claims, damages or liabilities, as well as any other relevant equitable considerations. The relative benefits received by the Company, on the one hand, and the Initial Purchasers on the other, shall be deemed to be in the same respective proportions as the net proceeds (before deducting expenses) received by the Company from the sale of the Notes and the total related discounts and commissions received by the Initial Purchasers in connection therewith, in each case as set forth in the table on the cover of the Offering Memorandum, bear to the aggregate offering price of the Notes. The relative fault of the Company, on the one hand, and the Initial Purchasers on the other, shall be determined by reference to, among other things, whether the untrue or alleged untrue statement of a material fact or the omission or alleged omission to state a material fact relates to information supplied by the Company or by the Initial Purchasers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Limitation on Liability.</w:t>
      </w:r>
      <w:r>
        <w:rPr>
          <w:rFonts w:ascii="Times New Roman" w:hAnsi="Times New Roman"/>
          <w:sz w:val="20"/>
        </w:rPr>
        <w:t xml:space="preserve"> The Company and the Initial Purchasers agree that it would not be just and equitable if contribution pursuant to paragraph (d) above were determined by </w:t>
      </w:r>
      <w:r>
        <w:rPr>
          <w:rFonts w:ascii="Times New Roman" w:hAnsi="Times New Roman"/>
          <w:sz w:val="20"/>
          <w:u w:val="single"/>
        </w:rPr>
        <w:t>pro rata</w:t>
      </w:r>
      <w:r>
        <w:rPr>
          <w:rFonts w:ascii="Times New Roman" w:hAnsi="Times New Roman"/>
          <w:sz w:val="20"/>
        </w:rPr>
        <w:t xml:space="preserve"> allocation (even if the Initial Purchasers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Initial Purchaser be required to contribute any amount in excess of the amount by which the total related discounts and commissions received by such Initial Purchaser with respect to the offering of the Notes exceeds the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Initial Purchasers obligations to contribute pursuant to paragraphs (d) and (e) of this Section 8 are several in proportion to their respective purchase obligations hereunder and not joint.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Non-Exclusive Remedies.</w:t>
      </w:r>
      <w:r>
        <w:rPr>
          <w:rFonts w:ascii="Times New Roman" w:hAnsi="Times New Roman"/>
          <w:sz w:val="20"/>
        </w:rPr>
        <w:t xml:space="preserve"> The remedies provided for in this Section 8 paragraphs (a) through (e) are not exclusive and shall not limit any rights or remedies which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Effectiveness of Agreement</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Termination</w:t>
      </w:r>
      <w:r>
        <w:rPr>
          <w:rFonts w:ascii="Times New Roman" w:hAnsi="Times New Roman"/>
          <w:sz w:val="20"/>
        </w:rPr>
        <w:t xml:space="preserve">. This Agreement may be terminated in the absolute discretion of the Representative, by notice to the Company, if after the execution and delivery of this Agreement and prior to the Closing Date (i) trading generally shall have been suspended or materially limited on or by either of the New York Stock Exchange or the NASDAQ Stock Market; (ii)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Notes on the Closing Date, on the terms and in the manner contemplated by this Agreement, the Pricing Disclosure Package and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Defaulting Initial Purchaser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on the Closing Date, any Initial Purchaser defaults on its obligation to purchase the Notes that it has agreed to purchase hereunder on such date, the non-defaulting Initial Purchasers may in their discretion arrange for the purchase of such Notes by other persons satisfactory to the Company on the terms contained in this Agreement. If, within 36 hours after any such default by any Initial Purchaser, the non-defaulting Initial Purchasers do not arrange for the purchase of such Notes, then the Company shall be entitled to a further period of 36 hours within which to procure other persons reasonably satisfactory to the non-defaulting Initial Purchasers to purchase such Notes on such terms. If other persons become obligated or agree to purchase the Notes of a defaulting Initial Purchaser, either the non-defaulting Initial Purchasers or the Company may postpone the Closing Date for up to five full business days in order to effect any changes that in the opinion of counsel for the Company or counsel for the Initial Purchasers may be necessary in the Offering Memorandum or in any other document or arrangement, and the Company agrees to promptly prepare any amendment or supplement to the Offering Memorandum that effects any such changes. As used in this Agreement, the term Initial Purchaser includes, for all purposes of this Agreement unless the context otherwise requires, any person not listed in Schedule 1 hereto that, pursuant to this Section 11, purchases Notes that a defaulting Initial Purchaser agreed but failed to purchase. </w:t>
      </w:r>
    </w:p>
    <w:p>
      <w:pPr>
        <w:pStyle w:val="TextBody"/>
        <w:bidi w:val="0"/>
        <w:spacing w:before="240" w:after="0"/>
        <w:jc w:val="left"/>
        <w:rPr>
          <w:rFonts w:ascii="Times New Roman" w:hAnsi="Times New Roman"/>
          <w:sz w:val="20"/>
        </w:rPr>
      </w:pPr>
      <w:r>
        <w:rPr>
          <w:rFonts w:ascii="Times New Roman" w:hAnsi="Times New Roman"/>
          <w:sz w:val="20"/>
        </w:rPr>
        <w:t xml:space="preserve">(b) If, after giving effect to any arrangements for the purchase of the Notes of a defaulting Initial Purchaser or Initial Purchasers by the non-defaulting Initial Purchasers and the Company as provided in paragraph (a) above, the aggregate principal amount of Notes that remain unpurchased on the Closing Date does not exceed one-eleventh of the aggregate principal amount of Notes to be purchased on such date, then the Company shall have the right to require each non-defaulting Initial Purchaser to purchase the aggregate principal amount of Notes that such Initial Purchaser agreed to purchase hereunder on such date plus such Initial Purchasers pro rata share (based on the aggregate principal amount of Notes that such Initial Purchaser agreed to purchase on such date) of the Notes of such defaulting Initial Purchaser or Initial Purchasers for which such arrangements have not been made. </w:t>
      </w:r>
    </w:p>
    <w:p>
      <w:pPr>
        <w:pStyle w:val="TextBody"/>
        <w:bidi w:val="0"/>
        <w:spacing w:before="240" w:after="0"/>
        <w:jc w:val="left"/>
        <w:rPr>
          <w:rFonts w:ascii="Times New Roman" w:hAnsi="Times New Roman"/>
          <w:sz w:val="20"/>
        </w:rPr>
      </w:pPr>
      <w:r>
        <w:rPr>
          <w:rFonts w:ascii="Times New Roman" w:hAnsi="Times New Roman"/>
          <w:sz w:val="20"/>
        </w:rPr>
        <w:t xml:space="preserve">(c) If, after giving effect to any arrangements for the purchase of the Notes of a defaulting Initial Purchaser or Initial Purchasers by the non-defaulting Initial Purchasers and the Company as provided in paragraph (a) above, the aggregate principal amount of Notes that remain unpurchased on the Closing Date exceeds one-eleventh of the aggregate principal amount of Notes to be purchased on such date, or if the Company shall not exercise the right described in paragraph (b) above, then this Agreement shall terminate without liability on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 of the non-defaulting Initial Purchasers.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(d) Nothing contained herein shall relieve a defaulting Initial Purchaser of any liability it may have to the Company or any non-defaulting Initial Purchaser for damages caused by its default.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Payment of Expenses</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Notes and any stamp, issuance, transfer or other similar taxes arising solely in connection with the transaction; (ii) the costs incident to the preparation and printing of the Preliminary Offering Memorandum, any Pricing Disclosure Package, any Marketing Materials and the Offering Memorandum (including all amendments and supplements thereto) and the distribution thereof; (iii) the fees and expenses of the Companys counsel and independent accountants; (iv) the reasonable and documented fees and expenses incurred in connection with the registration or qualification of the Notes under the state or foreign securities or blue sky laws of such jurisdictions as the Representative may designate with the prior approval of the Company (such approval not to be unreasonably withheld, conditioned or delayed) (including the related reasonable and documented fees and expenses of counsel for the Initial Purchasers); (v) all expenses incurred by the Company in connection with any road show presentation to potential investors; and (vi) the fees and expenses of the Trustee with respect to the Notes. It is, however, understood that except as provided in this Section 12 or in Section 8 of this Agreement, the Initial Purchasers shall pay all of their own costs and expenses, including, without limitation, the fees and disbursements of their counsel, any advertising expenses connected with any offers they make. </w:t>
      </w:r>
    </w:p>
    <w:p>
      <w:pPr>
        <w:pStyle w:val="TextBody"/>
        <w:bidi w:val="0"/>
        <w:spacing w:before="240" w:after="0"/>
        <w:jc w:val="left"/>
        <w:rPr>
          <w:rFonts w:ascii="Times New Roman" w:hAnsi="Times New Roman"/>
          <w:sz w:val="20"/>
        </w:rPr>
      </w:pPr>
      <w:r>
        <w:rPr>
          <w:rFonts w:ascii="Times New Roman" w:hAnsi="Times New Roman"/>
          <w:sz w:val="20"/>
        </w:rPr>
        <w:t xml:space="preserve">(b) If (i) this Agreement is terminated pursuant to Section 10 (other than as a result of a termination pursuant to clauses (i), (iii) or (iv) of Section 10), (ii) the Company for any reason fails to tender the Notes for delivery to the Initial Purchasers (other than as a result of a termination pursuant to Section 11 or clauses (i), (iii) or (iv) of Section 10 or the default by one or more of the Initial Purchasers in its or their respective obligations hereunder) or (iii) the Initial Purchasers decline to purchase the Notes for any reason permitted under this Agreement, the Company agrees to reimburse the Initial Purchasers for all out-of-pocket costs and expenses (including the reasonable and documented fees and expenses of their counsel) reasonably incurred by the Initial Purchasers in connection with this Agreement and the offering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Persons Entitled to Benefit of Agreement</w:t>
      </w:r>
      <w:r>
        <w:rPr>
          <w:rFonts w:ascii="Times New Roman" w:hAnsi="Times New Roman"/>
          <w:sz w:val="20"/>
        </w:rPr>
        <w:t xml:space="preserve">.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Notes from any Initial Purchaser shall be deemed to be a successor merely by reason of such purchase.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Company, the Adviser and the Initial Purchasers contained in this Agreement or made by or on behalf of the Company, the Adviser or the Initial Purchasers pursuant to this Agreement or any certificate delivered pursuant hereto shall survive the delivery of and payment for the Notes and shall remain in full force and effect, regardless of any termination of this Agreement or any investigation made by or on behalf of the Company, the Adviser or the Initial Purchasers.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Certain Defined Terms</w:t>
      </w:r>
      <w:r>
        <w:rPr>
          <w:rFonts w:ascii="Times New Roman" w:hAnsi="Times New Roman"/>
          <w:sz w:val="20"/>
        </w:rPr>
        <w:t xml:space="preserve">.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Initial Purchaser that is a Covered Entity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Initial Purchaser that is a Covered Entity or a BHC Act Affiliate of such Initial Purchaser becomes subject to a proceeding under a U.S. Special Resolution Regime, Default Rights under this Agreement that may be exercised against such Initial Purchaser 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Section 16,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Notices</w:t>
      </w:r>
      <w:r>
        <w:rPr>
          <w:rFonts w:ascii="Times New Roman" w:hAnsi="Times New Roman"/>
          <w:sz w:val="20"/>
        </w:rPr>
        <w:t xml:space="preserve">. All notices and other communications hereunder shall be in writing and shall be deemed to have been duly given if mailed or transmitted and confirmed by any standard form of telecommunication. Notices to the Initial Purchasers shall be given to the Representative c/o BofA Securities, Inc., 114 W 47th St., NY8-114-07-01, New York, New York 10036, Facsimile: (646) 855-5958, Attention: High Grade Transaction Management/Legal. Notices to the Company or the Adviser shall be given to either of them at Sixth Street Lending Partners, 345 California Street, Suite 3300, San Francisco, California 94104 (fax: (415) 486-5929), Attention: Joshua Peck.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USA Patriot Act</w:t>
      </w:r>
      <w:r>
        <w:rPr>
          <w:rFonts w:ascii="Times New Roman" w:hAnsi="Times New Roman"/>
          <w:sz w:val="20"/>
        </w:rPr>
        <w:t xml:space="preserve">. In accordance with the requirements of the USA Patriot Act (Title III of Pub. L, 107-56 (signed into law October 26, 2001)), the Initial Purchasers are required to obtain, verify and record information that identifies their clients, which may include the name and address of their clients, as well as other information that will allow the Initial Purchasers to properly identify their clients.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applicable to agreements made and to be performed in such state.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Counterparts.</w:t>
      </w:r>
      <w:r>
        <w:rPr>
          <w:rFonts w:ascii="Times New Roman" w:hAnsi="Times New Roman"/>
          <w:sz w:val="20"/>
        </w:rPr>
        <w:t xml:space="preserve"> This Agreement may be signed in one or more counterparts, each of which shall constitute an original and all of which together shall constitute one and the same agreement. Delivery of this Agreement by one party to the other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Amendments or Waivers.</w:t>
      </w:r>
      <w:r>
        <w:rPr>
          <w:rFonts w:ascii="Times New Roman" w:hAnsi="Times New Roman"/>
          <w:sz w:val="20"/>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Headings.</w:t>
      </w:r>
      <w:r>
        <w:rPr>
          <w:rFonts w:ascii="Times New Roman" w:hAnsi="Times New Roman"/>
          <w:sz w:val="20"/>
        </w:rPr>
        <w:t xml:space="preserve"> The headings herein are included for convenience of reference only and are not intended to be part of, or to affect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Authority of the Representative.</w:t>
      </w:r>
      <w:r>
        <w:rPr>
          <w:rFonts w:ascii="Times New Roman" w:hAnsi="Times New Roman"/>
          <w:sz w:val="20"/>
        </w:rPr>
        <w:t xml:space="preserve"> The Representative is duly authorized to act hereunder on behalf of the other Initial Purchasers. Any action by the Initial Purchasers hereunder may be taken by the Representative on behalf of the Initial Purchasers, and any such action taken by the Representative shall be binding on all the Initial Purchasers. </w:t>
      </w:r>
    </w:p>
    <w:p>
      <w:pPr>
        <w:pStyle w:val="TextBody"/>
        <w:bidi w:val="0"/>
        <w:spacing w:before="24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below.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3"/>
        <w:gridCol w:w="60"/>
        <w:gridCol w:w="657"/>
        <w:gridCol w:w="60"/>
        <w:gridCol w:w="2942"/>
      </w:tblGrid>
      <w:tr>
        <w:trPr/>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Very truly yours,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SIXTH STREET LENDING PARTNERS</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Simmonds</w:t>
            </w:r>
          </w:p>
        </w:tc>
      </w:tr>
      <w:tr>
        <w:trPr/>
        <w:tc>
          <w:tcPr>
            <w:tcW w:w="3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2" w:type="dxa"/>
            <w:tcBorders/>
            <w:vAlign w:val="bottom"/>
          </w:tcPr>
          <w:p>
            <w:pPr>
              <w:pStyle w:val="TableContents"/>
              <w:bidi w:val="0"/>
              <w:spacing w:before="0" w:after="283"/>
              <w:jc w:val="left"/>
              <w:rPr/>
            </w:pPr>
            <w:r>
              <w:rPr/>
              <w:t>Ian Simmonds</w:t>
            </w:r>
          </w:p>
        </w:tc>
      </w:tr>
      <w:tr>
        <w:trPr/>
        <w:tc>
          <w:tcPr>
            <w:tcW w:w="3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2" w:type="dxa"/>
            <w:tcBorders/>
            <w:vAlign w:val="bottom"/>
          </w:tcPr>
          <w:p>
            <w:pPr>
              <w:pStyle w:val="TableContents"/>
              <w:bidi w:val="0"/>
              <w:spacing w:before="0" w:after="283"/>
              <w:jc w:val="left"/>
              <w:rPr/>
            </w:pPr>
            <w:r>
              <w:rPr/>
              <w:t>Chief Financial Officer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SIXTH STREET LENDING PARTNERS ADVISERS, LLC</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Simmonds</w:t>
            </w:r>
          </w:p>
        </w:tc>
      </w:tr>
      <w:tr>
        <w:trPr/>
        <w:tc>
          <w:tcPr>
            <w:tcW w:w="3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2" w:type="dxa"/>
            <w:tcBorders/>
            <w:vAlign w:val="bottom"/>
          </w:tcPr>
          <w:p>
            <w:pPr>
              <w:pStyle w:val="TableContents"/>
              <w:bidi w:val="0"/>
              <w:spacing w:before="0" w:after="283"/>
              <w:jc w:val="left"/>
              <w:rPr/>
            </w:pPr>
            <w:r>
              <w:rPr/>
              <w:t>Ian Simmonds</w:t>
            </w:r>
          </w:p>
        </w:tc>
      </w:tr>
      <w:tr>
        <w:trPr/>
        <w:tc>
          <w:tcPr>
            <w:tcW w:w="3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2" w:type="dxa"/>
            <w:tcBorders/>
            <w:vAlign w:val="bottom"/>
          </w:tcPr>
          <w:p>
            <w:pPr>
              <w:pStyle w:val="TableContents"/>
              <w:bidi w:val="0"/>
              <w:spacing w:before="0" w:after="283"/>
              <w:jc w:val="left"/>
              <w:rPr/>
            </w:pPr>
            <w:r>
              <w:rPr/>
              <w:t>Vice President</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BOFA SECURITIES, INC.</w:t>
            </w:r>
          </w:p>
        </w:tc>
      </w:tr>
      <w:tr>
        <w:trPr/>
        <w:tc>
          <w:tcPr>
            <w:tcW w:w="4082" w:type="dxa"/>
            <w:gridSpan w:val="3"/>
            <w:tcBorders/>
          </w:tcPr>
          <w:p>
            <w:pPr>
              <w:pStyle w:val="TableContents"/>
              <w:bidi w:val="0"/>
              <w:spacing w:before="0" w:after="283"/>
              <w:jc w:val="left"/>
              <w:rPr/>
            </w:pPr>
            <w:r>
              <w:rPr/>
              <w:t xml:space="preserve">Acting severally on behalf of themselves and the </w:t>
              <w:br/>
              <w:t>several Initial Purchasers listed in Schedule 1 hereto.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BOFA SECURITIES, INC.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Anthony Aceto</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Name: Anthony Aceto</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Title: Managing Director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for the Notes to be paid by the several Initial Purchasers shall be 97.937% of the aggregate principal amount thereof.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00"/>
        <w:gridCol w:w="472"/>
        <w:gridCol w:w="219"/>
        <w:gridCol w:w="1951"/>
        <w:gridCol w:w="63"/>
      </w:tblGrid>
      <w:tr>
        <w:trPr/>
        <w:tc>
          <w:tcPr>
            <w:tcW w:w="7500"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50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Initial Purchaser</w:t>
            </w:r>
          </w:p>
        </w:tc>
        <w:tc>
          <w:tcPr>
            <w:tcW w:w="472" w:type="dxa"/>
            <w:tcBorders/>
            <w:vAlign w:val="bottom"/>
          </w:tcPr>
          <w:p>
            <w:pPr>
              <w:pStyle w:val="TableContents"/>
              <w:bidi w:val="0"/>
              <w:spacing w:before="0" w:after="283"/>
              <w:jc w:val="left"/>
              <w:rPr/>
            </w:pPr>
            <w:r>
              <w:rPr/>
              <w:t>  </w:t>
            </w:r>
          </w:p>
        </w:tc>
        <w:tc>
          <w:tcPr>
            <w:tcW w:w="2170" w:type="dxa"/>
            <w:gridSpan w:val="2"/>
            <w:tcBorders>
              <w:bottom w:val="single" w:sz="8" w:space="0" w:color="000000"/>
            </w:tcBorders>
            <w:tcMar>
              <w:bottom w:w="28" w:type="dxa"/>
            </w:tcMar>
            <w:vAlign w:val="bottom"/>
          </w:tcPr>
          <w:p>
            <w:pPr>
              <w:pStyle w:val="TableContents"/>
              <w:bidi w:val="0"/>
              <w:spacing w:before="0" w:after="283"/>
              <w:jc w:val="center"/>
              <w:rPr/>
            </w:pPr>
            <w:r>
              <w:rPr/>
              <w:t>Principal Amount of</w:t>
              <w:br/>
              <w:t>Notes to be Purchased</w:t>
            </w:r>
          </w:p>
        </w:tc>
        <w:tc>
          <w:tcPr>
            <w:tcW w:w="63" w:type="dxa"/>
            <w:tcBorders/>
            <w:vAlign w:val="bottom"/>
          </w:tcPr>
          <w:p>
            <w:pPr>
              <w:pStyle w:val="TableContents"/>
              <w:bidi w:val="0"/>
              <w:spacing w:before="0" w:after="283"/>
              <w:jc w:val="left"/>
              <w:rPr/>
            </w:pPr>
            <w:r>
              <w:rPr/>
              <w:t> </w:t>
            </w:r>
          </w:p>
        </w:tc>
      </w:tr>
      <w:tr>
        <w:trPr/>
        <w:tc>
          <w:tcPr>
            <w:tcW w:w="7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47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51" w:type="dxa"/>
            <w:tcBorders/>
            <w:shd w:fill="CCEEFF" w:val="clear"/>
            <w:vAlign w:val="bottom"/>
          </w:tcPr>
          <w:p>
            <w:pPr>
              <w:pStyle w:val="TableContents"/>
              <w:bidi w:val="0"/>
              <w:spacing w:before="0" w:after="283"/>
              <w:jc w:val="right"/>
              <w:rPr/>
            </w:pPr>
            <w:r>
              <w:rPr/>
              <w:t>75,000,000</w:t>
            </w:r>
          </w:p>
        </w:tc>
        <w:tc>
          <w:tcPr>
            <w:tcW w:w="63" w:type="dxa"/>
            <w:tcBorders/>
            <w:shd w:fill="CCEEFF" w:val="clear"/>
            <w:vAlign w:val="bottom"/>
          </w:tcPr>
          <w:p>
            <w:pPr>
              <w:pStyle w:val="TableContents"/>
              <w:bidi w:val="0"/>
              <w:spacing w:before="0" w:after="283"/>
              <w:jc w:val="left"/>
              <w:rPr/>
            </w:pPr>
            <w:r>
              <w:rPr/>
              <w:t> </w:t>
            </w:r>
          </w:p>
        </w:tc>
      </w:tr>
      <w:tr>
        <w:trPr/>
        <w:tc>
          <w:tcPr>
            <w:tcW w:w="7500"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47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51" w:type="dxa"/>
            <w:tcBorders/>
            <w:vAlign w:val="bottom"/>
          </w:tcPr>
          <w:p>
            <w:pPr>
              <w:pStyle w:val="TableContents"/>
              <w:bidi w:val="0"/>
              <w:spacing w:before="0" w:after="283"/>
              <w:jc w:val="right"/>
              <w:rPr/>
            </w:pPr>
            <w:r>
              <w:rPr/>
              <w:t>75,000,000</w:t>
            </w:r>
          </w:p>
        </w:tc>
        <w:tc>
          <w:tcPr>
            <w:tcW w:w="63" w:type="dxa"/>
            <w:tcBorders/>
            <w:vAlign w:val="bottom"/>
          </w:tcPr>
          <w:p>
            <w:pPr>
              <w:pStyle w:val="TableContents"/>
              <w:bidi w:val="0"/>
              <w:spacing w:before="0" w:after="283"/>
              <w:jc w:val="left"/>
              <w:rPr/>
            </w:pPr>
            <w:r>
              <w:rPr/>
              <w:t> </w:t>
            </w:r>
          </w:p>
        </w:tc>
      </w:tr>
      <w:tr>
        <w:trPr/>
        <w:tc>
          <w:tcPr>
            <w:tcW w:w="7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47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51" w:type="dxa"/>
            <w:tcBorders/>
            <w:shd w:fill="CCEEFF" w:val="clear"/>
            <w:vAlign w:val="bottom"/>
          </w:tcPr>
          <w:p>
            <w:pPr>
              <w:pStyle w:val="TableContents"/>
              <w:bidi w:val="0"/>
              <w:spacing w:before="0" w:after="283"/>
              <w:jc w:val="right"/>
              <w:rPr/>
            </w:pPr>
            <w:r>
              <w:rPr/>
              <w:t>75,000,000</w:t>
            </w:r>
          </w:p>
        </w:tc>
        <w:tc>
          <w:tcPr>
            <w:tcW w:w="63" w:type="dxa"/>
            <w:tcBorders/>
            <w:shd w:fill="CCEEFF" w:val="clear"/>
            <w:vAlign w:val="bottom"/>
          </w:tcPr>
          <w:p>
            <w:pPr>
              <w:pStyle w:val="TableContents"/>
              <w:bidi w:val="0"/>
              <w:spacing w:before="0" w:after="283"/>
              <w:jc w:val="left"/>
              <w:rPr/>
            </w:pPr>
            <w:r>
              <w:rPr/>
              <w:t> </w:t>
            </w:r>
          </w:p>
        </w:tc>
      </w:tr>
      <w:tr>
        <w:trPr/>
        <w:tc>
          <w:tcPr>
            <w:tcW w:w="7500" w:type="dxa"/>
            <w:tcBorders/>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47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51" w:type="dxa"/>
            <w:tcBorders/>
            <w:vAlign w:val="bottom"/>
          </w:tcPr>
          <w:p>
            <w:pPr>
              <w:pStyle w:val="TableContents"/>
              <w:bidi w:val="0"/>
              <w:spacing w:before="0" w:after="283"/>
              <w:jc w:val="right"/>
              <w:rPr/>
            </w:pPr>
            <w:r>
              <w:rPr/>
              <w:t>75,000,000</w:t>
            </w:r>
          </w:p>
        </w:tc>
        <w:tc>
          <w:tcPr>
            <w:tcW w:w="63" w:type="dxa"/>
            <w:tcBorders/>
            <w:vAlign w:val="bottom"/>
          </w:tcPr>
          <w:p>
            <w:pPr>
              <w:pStyle w:val="TableContents"/>
              <w:bidi w:val="0"/>
              <w:spacing w:before="0" w:after="283"/>
              <w:jc w:val="left"/>
              <w:rPr/>
            </w:pPr>
            <w:r>
              <w:rPr/>
              <w:t> </w:t>
            </w:r>
          </w:p>
        </w:tc>
      </w:tr>
      <w:tr>
        <w:trPr/>
        <w:tc>
          <w:tcPr>
            <w:tcW w:w="7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47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51" w:type="dxa"/>
            <w:tcBorders/>
            <w:shd w:fill="CCEEFF" w:val="clear"/>
            <w:vAlign w:val="bottom"/>
          </w:tcPr>
          <w:p>
            <w:pPr>
              <w:pStyle w:val="TableContents"/>
              <w:bidi w:val="0"/>
              <w:spacing w:before="0" w:after="283"/>
              <w:jc w:val="right"/>
              <w:rPr/>
            </w:pPr>
            <w:r>
              <w:rPr/>
              <w:t>36,000,000</w:t>
            </w:r>
          </w:p>
        </w:tc>
        <w:tc>
          <w:tcPr>
            <w:tcW w:w="63" w:type="dxa"/>
            <w:tcBorders/>
            <w:shd w:fill="CCEEFF" w:val="clear"/>
            <w:vAlign w:val="bottom"/>
          </w:tcPr>
          <w:p>
            <w:pPr>
              <w:pStyle w:val="TableContents"/>
              <w:bidi w:val="0"/>
              <w:spacing w:before="0" w:after="283"/>
              <w:jc w:val="left"/>
              <w:rPr/>
            </w:pPr>
            <w:r>
              <w:rPr/>
              <w:t> </w:t>
            </w:r>
          </w:p>
        </w:tc>
      </w:tr>
      <w:tr>
        <w:trPr/>
        <w:tc>
          <w:tcPr>
            <w:tcW w:w="7500" w:type="dxa"/>
            <w:tcBorders/>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47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51" w:type="dxa"/>
            <w:tcBorders/>
            <w:vAlign w:val="bottom"/>
          </w:tcPr>
          <w:p>
            <w:pPr>
              <w:pStyle w:val="TableContents"/>
              <w:bidi w:val="0"/>
              <w:spacing w:before="0" w:after="283"/>
              <w:jc w:val="right"/>
              <w:rPr/>
            </w:pPr>
            <w:r>
              <w:rPr/>
              <w:t>36,000,000</w:t>
            </w:r>
          </w:p>
        </w:tc>
        <w:tc>
          <w:tcPr>
            <w:tcW w:w="63" w:type="dxa"/>
            <w:tcBorders/>
            <w:vAlign w:val="bottom"/>
          </w:tcPr>
          <w:p>
            <w:pPr>
              <w:pStyle w:val="TableContents"/>
              <w:bidi w:val="0"/>
              <w:spacing w:before="0" w:after="283"/>
              <w:jc w:val="left"/>
              <w:rPr/>
            </w:pPr>
            <w:r>
              <w:rPr/>
              <w:t> </w:t>
            </w:r>
          </w:p>
        </w:tc>
      </w:tr>
      <w:tr>
        <w:trPr/>
        <w:tc>
          <w:tcPr>
            <w:tcW w:w="7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47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51" w:type="dxa"/>
            <w:tcBorders/>
            <w:shd w:fill="CCEEFF" w:val="clear"/>
            <w:vAlign w:val="bottom"/>
          </w:tcPr>
          <w:p>
            <w:pPr>
              <w:pStyle w:val="TableContents"/>
              <w:bidi w:val="0"/>
              <w:spacing w:before="0" w:after="283"/>
              <w:jc w:val="right"/>
              <w:rPr/>
            </w:pPr>
            <w:r>
              <w:rPr/>
              <w:t>36,000,000</w:t>
            </w:r>
          </w:p>
        </w:tc>
        <w:tc>
          <w:tcPr>
            <w:tcW w:w="63" w:type="dxa"/>
            <w:tcBorders/>
            <w:shd w:fill="CCEEFF" w:val="clear"/>
            <w:vAlign w:val="bottom"/>
          </w:tcPr>
          <w:p>
            <w:pPr>
              <w:pStyle w:val="TableContents"/>
              <w:bidi w:val="0"/>
              <w:spacing w:before="0" w:after="283"/>
              <w:jc w:val="left"/>
              <w:rPr/>
            </w:pPr>
            <w:r>
              <w:rPr/>
              <w:t> </w:t>
            </w:r>
          </w:p>
        </w:tc>
      </w:tr>
      <w:tr>
        <w:trPr/>
        <w:tc>
          <w:tcPr>
            <w:tcW w:w="7500"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47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51" w:type="dxa"/>
            <w:tcBorders/>
            <w:vAlign w:val="bottom"/>
          </w:tcPr>
          <w:p>
            <w:pPr>
              <w:pStyle w:val="TableContents"/>
              <w:bidi w:val="0"/>
              <w:spacing w:before="0" w:after="283"/>
              <w:jc w:val="right"/>
              <w:rPr/>
            </w:pPr>
            <w:r>
              <w:rPr/>
              <w:t>36,000,000</w:t>
            </w:r>
          </w:p>
        </w:tc>
        <w:tc>
          <w:tcPr>
            <w:tcW w:w="63" w:type="dxa"/>
            <w:tcBorders/>
            <w:vAlign w:val="bottom"/>
          </w:tcPr>
          <w:p>
            <w:pPr>
              <w:pStyle w:val="TableContents"/>
              <w:bidi w:val="0"/>
              <w:spacing w:before="0" w:after="283"/>
              <w:jc w:val="left"/>
              <w:rPr/>
            </w:pPr>
            <w:r>
              <w:rPr/>
              <w:t> </w:t>
            </w:r>
          </w:p>
        </w:tc>
      </w:tr>
      <w:tr>
        <w:trPr/>
        <w:tc>
          <w:tcPr>
            <w:tcW w:w="7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47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51" w:type="dxa"/>
            <w:tcBorders/>
            <w:shd w:fill="CCEEFF" w:val="clear"/>
            <w:vAlign w:val="bottom"/>
          </w:tcPr>
          <w:p>
            <w:pPr>
              <w:pStyle w:val="TableContents"/>
              <w:bidi w:val="0"/>
              <w:spacing w:before="0" w:after="283"/>
              <w:jc w:val="right"/>
              <w:rPr/>
            </w:pPr>
            <w:r>
              <w:rPr/>
              <w:t>27,000,000</w:t>
            </w:r>
          </w:p>
        </w:tc>
        <w:tc>
          <w:tcPr>
            <w:tcW w:w="63" w:type="dxa"/>
            <w:tcBorders/>
            <w:shd w:fill="CCEEFF" w:val="clear"/>
            <w:vAlign w:val="bottom"/>
          </w:tcPr>
          <w:p>
            <w:pPr>
              <w:pStyle w:val="TableContents"/>
              <w:bidi w:val="0"/>
              <w:spacing w:before="0" w:after="283"/>
              <w:jc w:val="left"/>
              <w:rPr/>
            </w:pPr>
            <w:r>
              <w:rPr/>
              <w:t> </w:t>
            </w:r>
          </w:p>
        </w:tc>
      </w:tr>
      <w:tr>
        <w:trPr/>
        <w:tc>
          <w:tcPr>
            <w:tcW w:w="7500"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47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51" w:type="dxa"/>
            <w:tcBorders/>
            <w:vAlign w:val="bottom"/>
          </w:tcPr>
          <w:p>
            <w:pPr>
              <w:pStyle w:val="TableContents"/>
              <w:bidi w:val="0"/>
              <w:spacing w:before="0" w:after="283"/>
              <w:jc w:val="right"/>
              <w:rPr/>
            </w:pPr>
            <w:r>
              <w:rPr/>
              <w:t>27,000,000</w:t>
            </w:r>
          </w:p>
        </w:tc>
        <w:tc>
          <w:tcPr>
            <w:tcW w:w="63" w:type="dxa"/>
            <w:tcBorders/>
            <w:vAlign w:val="bottom"/>
          </w:tcPr>
          <w:p>
            <w:pPr>
              <w:pStyle w:val="TableContents"/>
              <w:bidi w:val="0"/>
              <w:spacing w:before="0" w:after="283"/>
              <w:jc w:val="left"/>
              <w:rPr/>
            </w:pPr>
            <w:r>
              <w:rPr/>
              <w:t> </w:t>
            </w:r>
          </w:p>
        </w:tc>
      </w:tr>
      <w:tr>
        <w:trPr/>
        <w:tc>
          <w:tcPr>
            <w:tcW w:w="7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HSBC Securities (USA) Inc.</w:t>
            </w:r>
          </w:p>
        </w:tc>
        <w:tc>
          <w:tcPr>
            <w:tcW w:w="47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51" w:type="dxa"/>
            <w:tcBorders/>
            <w:shd w:fill="CCEEFF" w:val="clear"/>
            <w:vAlign w:val="bottom"/>
          </w:tcPr>
          <w:p>
            <w:pPr>
              <w:pStyle w:val="TableContents"/>
              <w:bidi w:val="0"/>
              <w:spacing w:before="0" w:after="283"/>
              <w:jc w:val="right"/>
              <w:rPr/>
            </w:pPr>
            <w:r>
              <w:rPr/>
              <w:t>27,000,000</w:t>
            </w:r>
          </w:p>
        </w:tc>
        <w:tc>
          <w:tcPr>
            <w:tcW w:w="63" w:type="dxa"/>
            <w:tcBorders/>
            <w:shd w:fill="CCEEFF" w:val="clear"/>
            <w:vAlign w:val="bottom"/>
          </w:tcPr>
          <w:p>
            <w:pPr>
              <w:pStyle w:val="TableContents"/>
              <w:bidi w:val="0"/>
              <w:spacing w:before="0" w:after="283"/>
              <w:jc w:val="left"/>
              <w:rPr/>
            </w:pPr>
            <w:r>
              <w:rPr/>
              <w:t> </w:t>
            </w:r>
          </w:p>
        </w:tc>
      </w:tr>
      <w:tr>
        <w:trPr/>
        <w:tc>
          <w:tcPr>
            <w:tcW w:w="7500" w:type="dxa"/>
            <w:tcBorders/>
          </w:tcPr>
          <w:p>
            <w:pPr>
              <w:pStyle w:val="TableContents"/>
              <w:bidi w:val="0"/>
              <w:spacing w:before="0" w:after="0"/>
              <w:jc w:val="left"/>
              <w:rPr>
                <w:rFonts w:ascii="Times New Roman" w:hAnsi="Times New Roman"/>
                <w:sz w:val="20"/>
              </w:rPr>
            </w:pPr>
            <w:r>
              <w:rPr>
                <w:rFonts w:ascii="Times New Roman" w:hAnsi="Times New Roman"/>
                <w:sz w:val="20"/>
              </w:rPr>
              <w:t>ING Financial Markets LLC</w:t>
            </w:r>
          </w:p>
        </w:tc>
        <w:tc>
          <w:tcPr>
            <w:tcW w:w="47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51" w:type="dxa"/>
            <w:tcBorders/>
            <w:vAlign w:val="bottom"/>
          </w:tcPr>
          <w:p>
            <w:pPr>
              <w:pStyle w:val="TableContents"/>
              <w:bidi w:val="0"/>
              <w:spacing w:before="0" w:after="283"/>
              <w:jc w:val="right"/>
              <w:rPr/>
            </w:pPr>
            <w:r>
              <w:rPr/>
              <w:t>27,000,000</w:t>
            </w:r>
          </w:p>
        </w:tc>
        <w:tc>
          <w:tcPr>
            <w:tcW w:w="63" w:type="dxa"/>
            <w:tcBorders/>
            <w:vAlign w:val="bottom"/>
          </w:tcPr>
          <w:p>
            <w:pPr>
              <w:pStyle w:val="TableContents"/>
              <w:bidi w:val="0"/>
              <w:spacing w:before="0" w:after="283"/>
              <w:jc w:val="left"/>
              <w:rPr/>
            </w:pPr>
            <w:r>
              <w:rPr/>
              <w:t> </w:t>
            </w:r>
          </w:p>
        </w:tc>
      </w:tr>
      <w:tr>
        <w:trPr/>
        <w:tc>
          <w:tcPr>
            <w:tcW w:w="7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47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51" w:type="dxa"/>
            <w:tcBorders/>
            <w:shd w:fill="CCEEFF" w:val="clear"/>
            <w:vAlign w:val="bottom"/>
          </w:tcPr>
          <w:p>
            <w:pPr>
              <w:pStyle w:val="TableContents"/>
              <w:bidi w:val="0"/>
              <w:spacing w:before="0" w:after="283"/>
              <w:jc w:val="right"/>
              <w:rPr/>
            </w:pPr>
            <w:r>
              <w:rPr/>
              <w:t>27,000,000</w:t>
            </w:r>
          </w:p>
        </w:tc>
        <w:tc>
          <w:tcPr>
            <w:tcW w:w="63" w:type="dxa"/>
            <w:tcBorders/>
            <w:shd w:fill="CCEEFF" w:val="clear"/>
            <w:vAlign w:val="bottom"/>
          </w:tcPr>
          <w:p>
            <w:pPr>
              <w:pStyle w:val="TableContents"/>
              <w:bidi w:val="0"/>
              <w:spacing w:before="0" w:after="283"/>
              <w:jc w:val="left"/>
              <w:rPr/>
            </w:pPr>
            <w:r>
              <w:rPr/>
              <w:t> </w:t>
            </w:r>
          </w:p>
        </w:tc>
      </w:tr>
      <w:tr>
        <w:trPr/>
        <w:tc>
          <w:tcPr>
            <w:tcW w:w="7500" w:type="dxa"/>
            <w:tcBorders/>
          </w:tcPr>
          <w:p>
            <w:pPr>
              <w:pStyle w:val="TableContents"/>
              <w:bidi w:val="0"/>
              <w:spacing w:before="0" w:after="0"/>
              <w:jc w:val="left"/>
              <w:rPr>
                <w:rFonts w:ascii="Times New Roman" w:hAnsi="Times New Roman"/>
                <w:sz w:val="20"/>
              </w:rPr>
            </w:pPr>
            <w:r>
              <w:rPr>
                <w:rFonts w:ascii="Times New Roman" w:hAnsi="Times New Roman"/>
                <w:sz w:val="20"/>
              </w:rPr>
              <w:t>Keefe, Bruyette &amp; Woods, Inc.</w:t>
            </w:r>
          </w:p>
        </w:tc>
        <w:tc>
          <w:tcPr>
            <w:tcW w:w="47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51" w:type="dxa"/>
            <w:tcBorders/>
            <w:vAlign w:val="bottom"/>
          </w:tcPr>
          <w:p>
            <w:pPr>
              <w:pStyle w:val="TableContents"/>
              <w:bidi w:val="0"/>
              <w:spacing w:before="0" w:after="283"/>
              <w:jc w:val="right"/>
              <w:rPr/>
            </w:pPr>
            <w:r>
              <w:rPr/>
              <w:t>15,000,000</w:t>
            </w:r>
          </w:p>
        </w:tc>
        <w:tc>
          <w:tcPr>
            <w:tcW w:w="63" w:type="dxa"/>
            <w:tcBorders/>
            <w:vAlign w:val="bottom"/>
          </w:tcPr>
          <w:p>
            <w:pPr>
              <w:pStyle w:val="TableContents"/>
              <w:bidi w:val="0"/>
              <w:spacing w:before="0" w:after="283"/>
              <w:jc w:val="left"/>
              <w:rPr/>
            </w:pPr>
            <w:r>
              <w:rPr/>
              <w:t> </w:t>
            </w:r>
          </w:p>
        </w:tc>
      </w:tr>
      <w:tr>
        <w:trPr/>
        <w:tc>
          <w:tcPr>
            <w:tcW w:w="7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 Seelaus &amp; Co., LLC</w:t>
            </w:r>
          </w:p>
        </w:tc>
        <w:tc>
          <w:tcPr>
            <w:tcW w:w="47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51" w:type="dxa"/>
            <w:tcBorders/>
            <w:shd w:fill="CCEEFF" w:val="clear"/>
            <w:vAlign w:val="bottom"/>
          </w:tcPr>
          <w:p>
            <w:pPr>
              <w:pStyle w:val="TableContents"/>
              <w:bidi w:val="0"/>
              <w:spacing w:before="0" w:after="283"/>
              <w:jc w:val="right"/>
              <w:rPr/>
            </w:pPr>
            <w:r>
              <w:rPr/>
              <w:t>6,000,000</w:t>
            </w:r>
          </w:p>
        </w:tc>
        <w:tc>
          <w:tcPr>
            <w:tcW w:w="63" w:type="dxa"/>
            <w:tcBorders/>
            <w:shd w:fill="CCEEFF" w:val="clear"/>
            <w:vAlign w:val="bottom"/>
          </w:tcPr>
          <w:p>
            <w:pPr>
              <w:pStyle w:val="TableContents"/>
              <w:bidi w:val="0"/>
              <w:spacing w:before="0" w:after="283"/>
              <w:jc w:val="left"/>
              <w:rPr/>
            </w:pPr>
            <w:r>
              <w:rPr/>
              <w:t> </w:t>
            </w:r>
          </w:p>
        </w:tc>
      </w:tr>
      <w:tr>
        <w:trPr/>
        <w:tc>
          <w:tcPr>
            <w:tcW w:w="750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51" w:type="dxa"/>
            <w:tcBorders/>
            <w:vAlign w:val="bottom"/>
          </w:tcPr>
          <w:p>
            <w:pPr>
              <w:pStyle w:val="TableContents"/>
              <w:bidi w:val="0"/>
              <w:spacing w:before="0" w:after="283"/>
              <w:jc w:val="right"/>
              <w:rPr/>
            </w:pPr>
            <w:r>
              <w:rPr/>
              <w:t>600,000,000</w:t>
            </w:r>
          </w:p>
        </w:tc>
        <w:tc>
          <w:tcPr>
            <w:tcW w:w="63" w:type="dxa"/>
            <w:tcBorders/>
            <w:vAlign w:val="bottom"/>
          </w:tcPr>
          <w:p>
            <w:pPr>
              <w:pStyle w:val="TableContents"/>
              <w:bidi w:val="0"/>
              <w:spacing w:before="0" w:after="283"/>
              <w:jc w:val="left"/>
              <w:rPr/>
            </w:pPr>
            <w:r>
              <w:rPr/>
              <w:t> </w:t>
            </w:r>
          </w:p>
        </w:tc>
      </w:tr>
      <w:tr>
        <w:trPr/>
        <w:tc>
          <w:tcPr>
            <w:tcW w:w="7500"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95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Term Sheet, dated March 4, 2024, containing the terms governing the Notes, substantially in the form of Annex A to this Agreement.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3 </w:t>
      </w:r>
    </w:p>
    <w:p>
      <w:pPr>
        <w:pStyle w:val="TextBody"/>
        <w:bidi w:val="0"/>
        <w:spacing w:before="240" w:after="0"/>
        <w:jc w:val="center"/>
        <w:rPr>
          <w:rFonts w:ascii="Times New Roman" w:hAnsi="Times New Roman"/>
          <w:sz w:val="20"/>
        </w:rPr>
      </w:pPr>
      <w:r>
        <w:rPr>
          <w:rFonts w:ascii="Times New Roman" w:hAnsi="Times New Roman"/>
          <w:sz w:val="20"/>
        </w:rPr>
        <w:t xml:space="preserve">Subsidiaries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SSLP Lending,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LP Holding II, LLC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Lending Partners Sub, LLC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Registration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Lending Partners,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BofA Securities,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March 11,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This Registration Rights Agreement (this </w:t>
      </w:r>
      <w:r>
        <w:rPr>
          <w:rFonts w:ascii="Times New Roman" w:hAnsi="Times New Roman"/>
          <w:b/>
          <w:i/>
          <w:sz w:val="20"/>
        </w:rPr>
        <w:t>Agreement</w:t>
      </w:r>
      <w:r>
        <w:rPr>
          <w:rFonts w:ascii="Times New Roman" w:hAnsi="Times New Roman"/>
          <w:sz w:val="20"/>
        </w:rPr>
        <w:t>) is made and entered into as of March 4, 2024, by and among Sixth Street Lending Partners, a Delaware statutory trust (the </w:t>
      </w:r>
      <w:r>
        <w:rPr>
          <w:rFonts w:ascii="Times New Roman" w:hAnsi="Times New Roman"/>
          <w:b/>
          <w:i/>
          <w:sz w:val="20"/>
        </w:rPr>
        <w:t>Company</w:t>
      </w:r>
      <w:r>
        <w:rPr>
          <w:rFonts w:ascii="Times New Roman" w:hAnsi="Times New Roman"/>
          <w:sz w:val="20"/>
        </w:rPr>
        <w:t>), and BofA Securities, Inc., as the representative (the </w:t>
      </w:r>
      <w:r>
        <w:rPr>
          <w:rFonts w:ascii="Times New Roman" w:hAnsi="Times New Roman"/>
          <w:b/>
          <w:i/>
          <w:sz w:val="20"/>
        </w:rPr>
        <w:t>Representative</w:t>
      </w:r>
      <w:r>
        <w:rPr>
          <w:rFonts w:ascii="Times New Roman" w:hAnsi="Times New Roman"/>
          <w:sz w:val="20"/>
        </w:rPr>
        <w:t>) to the other several initial purchasers (collectively, the </w:t>
      </w:r>
      <w:r>
        <w:rPr>
          <w:rFonts w:ascii="Times New Roman" w:hAnsi="Times New Roman"/>
          <w:b/>
          <w:i/>
          <w:sz w:val="20"/>
        </w:rPr>
        <w:t>Initial Purchasers</w:t>
      </w:r>
      <w:r>
        <w:rPr>
          <w:rFonts w:ascii="Times New Roman" w:hAnsi="Times New Roman"/>
          <w:sz w:val="20"/>
        </w:rPr>
        <w:t>) of $600,000,000 aggregate principal amount of the Companys 6.500% Notes due 2029 (the </w:t>
      </w:r>
      <w:r>
        <w:rPr>
          <w:rFonts w:ascii="Times New Roman" w:hAnsi="Times New Roman"/>
          <w:b/>
          <w:i/>
          <w:sz w:val="20"/>
        </w:rPr>
        <w:t>Notes</w:t>
      </w:r>
      <w:r>
        <w:rPr>
          <w:rFonts w:ascii="Times New Roman" w:hAnsi="Times New Roman"/>
          <w:sz w:val="20"/>
        </w:rPr>
        <w:t xml:space="preserve">) listed on Schedule 1 to the Purchase Agreement (as defined below). </w:t>
      </w:r>
    </w:p>
    <w:p>
      <w:pPr>
        <w:pStyle w:val="TextBody"/>
        <w:bidi w:val="0"/>
        <w:spacing w:before="240" w:after="0"/>
        <w:jc w:val="left"/>
        <w:rPr>
          <w:rFonts w:ascii="Times New Roman" w:hAnsi="Times New Roman"/>
          <w:sz w:val="20"/>
        </w:rPr>
      </w:pPr>
      <w:r>
        <w:rPr>
          <w:rFonts w:ascii="Times New Roman" w:hAnsi="Times New Roman"/>
          <w:sz w:val="20"/>
        </w:rPr>
        <w:t>This Agreement is made pursuant to the Purchase Agreement, dated as of March 4, 2024 (the </w:t>
      </w:r>
      <w:r>
        <w:rPr>
          <w:rFonts w:ascii="Times New Roman" w:hAnsi="Times New Roman"/>
          <w:b/>
          <w:i/>
          <w:sz w:val="20"/>
        </w:rPr>
        <w:t>Purchase Agreement</w:t>
      </w:r>
      <w:r>
        <w:rPr>
          <w:rFonts w:ascii="Times New Roman" w:hAnsi="Times New Roman"/>
          <w:sz w:val="20"/>
        </w:rPr>
        <w:t xml:space="preserve">), among the Company and the Representative on behalf of the Initial Purchasers (i) for the benefit of the Initial Purchasers and (ii) for the benefit of the holders from time to time of the Registrable Notes, including the Initial Purchasers. In order to induce the Initial Purchasers to purchase the Notes, the Company has agreed to provide the registration rights set forth in this Agreement. The execution and delivery of this Agreement is a condition to the obligations of the Initial Purchasers as set forth in Section 7(l) of the Purchase Agreement. The parties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i/>
          <w:sz w:val="20"/>
        </w:rPr>
        <w:t>Definitions</w:t>
      </w:r>
      <w:r>
        <w:rPr>
          <w:rFonts w:ascii="Times New Roman" w:hAnsi="Times New Roman"/>
          <w:sz w:val="20"/>
        </w:rPr>
        <w:t xml:space="preserve">. As used in this Agreement, the following capitalized terms shall have the following meanings: </w:t>
      </w:r>
    </w:p>
    <w:p>
      <w:pPr>
        <w:pStyle w:val="TextBody"/>
        <w:bidi w:val="0"/>
        <w:spacing w:before="120" w:after="0"/>
        <w:jc w:val="left"/>
        <w:rPr>
          <w:rFonts w:ascii="Times New Roman" w:hAnsi="Times New Roman"/>
          <w:sz w:val="20"/>
        </w:rPr>
      </w:pPr>
      <w:r>
        <w:rPr>
          <w:rFonts w:ascii="Times New Roman" w:hAnsi="Times New Roman"/>
          <w:b/>
          <w:i/>
          <w:sz w:val="20"/>
        </w:rPr>
        <w:t>Additional Interest</w:t>
      </w:r>
      <w:r>
        <w:rPr>
          <w:rFonts w:ascii="Times New Roman" w:hAnsi="Times New Roman"/>
          <w:i/>
          <w:sz w:val="20"/>
        </w:rPr>
        <w:t xml:space="preserve">: </w:t>
      </w:r>
      <w:r>
        <w:rPr>
          <w:rFonts w:ascii="Times New Roman" w:hAnsi="Times New Roman"/>
          <w:sz w:val="20"/>
        </w:rPr>
        <w:t xml:space="preserve">As defined in Section 5 hereof. </w:t>
      </w:r>
    </w:p>
    <w:p>
      <w:pPr>
        <w:pStyle w:val="TextBody"/>
        <w:bidi w:val="0"/>
        <w:spacing w:before="240" w:after="0"/>
        <w:jc w:val="left"/>
        <w:rPr>
          <w:rFonts w:ascii="Times New Roman" w:hAnsi="Times New Roman"/>
          <w:sz w:val="20"/>
        </w:rPr>
      </w:pPr>
      <w:r>
        <w:rPr>
          <w:rFonts w:ascii="Times New Roman" w:hAnsi="Times New Roman"/>
          <w:b/>
          <w:i/>
          <w:sz w:val="20"/>
        </w:rPr>
        <w:t>Advice</w:t>
      </w:r>
      <w:r>
        <w:rPr>
          <w:rFonts w:ascii="Times New Roman" w:hAnsi="Times New Roman"/>
          <w:i/>
          <w:sz w:val="20"/>
        </w:rPr>
        <w:t xml:space="preserve">: </w:t>
      </w:r>
      <w:r>
        <w:rPr>
          <w:rFonts w:ascii="Times New Roman" w:hAnsi="Times New Roman"/>
          <w:sz w:val="20"/>
        </w:rPr>
        <w:t xml:space="preserve">As defined in the last paragraph of Section 6 hereof. </w:t>
      </w:r>
    </w:p>
    <w:p>
      <w:pPr>
        <w:pStyle w:val="TextBody"/>
        <w:bidi w:val="0"/>
        <w:spacing w:before="240" w:after="0"/>
        <w:jc w:val="left"/>
        <w:rPr>
          <w:rFonts w:ascii="Times New Roman" w:hAnsi="Times New Roman"/>
          <w:sz w:val="20"/>
        </w:rPr>
      </w:pPr>
      <w:r>
        <w:rPr>
          <w:rFonts w:ascii="Times New Roman" w:hAnsi="Times New Roman"/>
          <w:b/>
          <w:i/>
          <w:sz w:val="20"/>
        </w:rPr>
        <w:t>Agreement</w:t>
      </w:r>
      <w:r>
        <w:rPr>
          <w:rFonts w:ascii="Times New Roman" w:hAnsi="Times New Roman"/>
          <w:i/>
          <w:sz w:val="20"/>
        </w:rPr>
        <w:t xml:space="preser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Broker-Dealer</w:t>
      </w:r>
      <w:r>
        <w:rPr>
          <w:rFonts w:ascii="Times New Roman" w:hAnsi="Times New Roman"/>
          <w:i/>
          <w:sz w:val="20"/>
        </w:rPr>
        <w:t xml:space="preserve">: </w:t>
      </w:r>
      <w:r>
        <w:rPr>
          <w:rFonts w:ascii="Times New Roman" w:hAnsi="Times New Roman"/>
          <w:sz w:val="20"/>
        </w:rPr>
        <w:t xml:space="preserve">Any broker or dealer registered under the Exchange Act. </w:t>
      </w:r>
    </w:p>
    <w:p>
      <w:pPr>
        <w:pStyle w:val="TextBody"/>
        <w:bidi w:val="0"/>
        <w:spacing w:before="240" w:after="0"/>
        <w:jc w:val="left"/>
        <w:rPr>
          <w:rFonts w:ascii="Times New Roman" w:hAnsi="Times New Roman"/>
          <w:sz w:val="20"/>
        </w:rPr>
      </w:pPr>
      <w:r>
        <w:rPr>
          <w:rFonts w:ascii="Times New Roman" w:hAnsi="Times New Roman"/>
          <w:b/>
          <w:i/>
          <w:sz w:val="20"/>
        </w:rPr>
        <w:t>Business Day</w:t>
      </w:r>
      <w:r>
        <w:rPr>
          <w:rFonts w:ascii="Times New Roman" w:hAnsi="Times New Roman"/>
          <w:i/>
          <w:sz w:val="20"/>
        </w:rPr>
        <w:t>:</w:t>
      </w:r>
      <w:r>
        <w:rPr>
          <w:rFonts w:ascii="Times New Roman" w:hAnsi="Times New Roman"/>
          <w:sz w:val="20"/>
        </w:rPr>
        <w:t xml:space="preserve"> Any day other than a Saturday, Sunday or U.S. federal holiday or a day on which banking institutions or trust companies located in New York, New York are authorized or obligated to be closed. </w:t>
      </w:r>
    </w:p>
    <w:p>
      <w:pPr>
        <w:pStyle w:val="TextBody"/>
        <w:bidi w:val="0"/>
        <w:spacing w:before="240" w:after="0"/>
        <w:jc w:val="left"/>
        <w:rPr>
          <w:rFonts w:ascii="Times New Roman" w:hAnsi="Times New Roman"/>
          <w:sz w:val="20"/>
        </w:rPr>
      </w:pPr>
      <w:r>
        <w:rPr>
          <w:rFonts w:ascii="Times New Roman" w:hAnsi="Times New Roman"/>
          <w:b/>
          <w:i/>
          <w:sz w:val="20"/>
        </w:rPr>
        <w:t>Commission</w:t>
      </w:r>
      <w:r>
        <w:rPr>
          <w:rFonts w:ascii="Times New Roman" w:hAnsi="Times New Roman"/>
          <w:i/>
          <w:sz w:val="20"/>
        </w:rPr>
        <w:t xml:space="preserve">: </w:t>
      </w:r>
      <w:r>
        <w:rPr>
          <w:rFonts w:ascii="Times New Roman" w:hAnsi="Times New Roman"/>
          <w:sz w:val="20"/>
        </w:rPr>
        <w:t xml:space="preserve">The U.S. Securities and Exchange Commission. </w:t>
      </w:r>
    </w:p>
    <w:p>
      <w:pPr>
        <w:pStyle w:val="TextBody"/>
        <w:bidi w:val="0"/>
        <w:spacing w:before="240" w:after="0"/>
        <w:jc w:val="left"/>
        <w:rPr>
          <w:rFonts w:ascii="Times New Roman" w:hAnsi="Times New Roman"/>
          <w:sz w:val="20"/>
        </w:rPr>
      </w:pPr>
      <w:r>
        <w:rPr>
          <w:rFonts w:ascii="Times New Roman" w:hAnsi="Times New Roman"/>
          <w:b/>
          <w:i/>
          <w:sz w:val="20"/>
        </w:rPr>
        <w:t>Company</w:t>
      </w:r>
      <w:r>
        <w:rPr>
          <w:rFonts w:ascii="Times New Roman" w:hAnsi="Times New Roman"/>
          <w:i/>
          <w:sz w:val="20"/>
        </w:rPr>
        <w:t xml:space="preser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Consummate</w:t>
      </w:r>
      <w:r>
        <w:rPr>
          <w:rFonts w:ascii="Times New Roman" w:hAnsi="Times New Roman"/>
          <w:i/>
          <w:sz w:val="20"/>
        </w:rPr>
        <w:t xml:space="preserve">: </w:t>
      </w:r>
      <w:r>
        <w:rPr>
          <w:rFonts w:ascii="Times New Roman" w:hAnsi="Times New Roman"/>
          <w:sz w:val="20"/>
        </w:rPr>
        <w:t xml:space="preserve">A registered Exchange Offer shall be deemed Consummated for purposes of this Agreement upon the occurrence of (i) the filing with the Commission of the Exchange Offer Registration Statement relating to the Exchange Notes to be issued in the Exchange Offer and its becoming or being declared effective under the Securities Act, (ii) the maintenance of the continuous effectiveness of such Registration Statement, and the keeping of the Exchange Offer open, for a period not less than the minimum period required pursuant to Section 3(b) hereof, and (iii) the delivery by the Company to the Registrar under the Indenture of Exchange Notes in the same aggregate principal amount as the aggregate principal amount of Notes that were tendered by Holders thereof pursuant to the Exchange Offer. </w:t>
      </w:r>
    </w:p>
    <w:p>
      <w:pPr>
        <w:pStyle w:val="TextBody"/>
        <w:bidi w:val="0"/>
        <w:spacing w:before="240" w:after="0"/>
        <w:jc w:val="left"/>
        <w:rPr>
          <w:rFonts w:ascii="Times New Roman" w:hAnsi="Times New Roman"/>
          <w:sz w:val="20"/>
        </w:rPr>
      </w:pPr>
      <w:r>
        <w:rPr>
          <w:rFonts w:ascii="Times New Roman" w:hAnsi="Times New Roman"/>
          <w:b/>
          <w:i/>
          <w:sz w:val="20"/>
        </w:rPr>
        <w:t>Controlling Person</w:t>
      </w:r>
      <w:r>
        <w:rPr>
          <w:rFonts w:ascii="Times New Roman" w:hAnsi="Times New Roman"/>
          <w:i/>
          <w:sz w:val="20"/>
        </w:rPr>
        <w:t xml:space="preserve">: </w:t>
      </w:r>
      <w:r>
        <w:rPr>
          <w:rFonts w:ascii="Times New Roman" w:hAnsi="Times New Roman"/>
          <w:sz w:val="20"/>
        </w:rPr>
        <w:t xml:space="preserve">As defined in Section 8(a) hereof. </w:t>
      </w:r>
    </w:p>
    <w:p>
      <w:pPr>
        <w:pStyle w:val="TextBody"/>
        <w:bidi w:val="0"/>
        <w:spacing w:before="240" w:after="0"/>
        <w:jc w:val="left"/>
        <w:rPr>
          <w:rFonts w:ascii="Times New Roman" w:hAnsi="Times New Roman"/>
          <w:sz w:val="20"/>
        </w:rPr>
      </w:pPr>
      <w:r>
        <w:rPr>
          <w:rFonts w:ascii="Times New Roman" w:hAnsi="Times New Roman"/>
          <w:b/>
          <w:i/>
          <w:sz w:val="20"/>
        </w:rPr>
        <w:t>Exchange Act</w:t>
      </w:r>
      <w:r>
        <w:rPr>
          <w:rFonts w:ascii="Times New Roman" w:hAnsi="Times New Roman"/>
          <w:i/>
          <w:sz w:val="20"/>
        </w:rPr>
        <w:t xml:space="preserve">: </w:t>
      </w:r>
      <w:r>
        <w:rPr>
          <w:rFonts w:ascii="Times New Roman" w:hAnsi="Times New Roman"/>
          <w:sz w:val="20"/>
        </w:rPr>
        <w:t xml:space="preserve">The Securities Exchange Act of 1934, as amended, and the rules and regulations promulgated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Exchange Offer</w:t>
      </w:r>
      <w:r>
        <w:rPr>
          <w:rFonts w:ascii="Times New Roman" w:hAnsi="Times New Roman"/>
          <w:i/>
          <w:sz w:val="20"/>
        </w:rPr>
        <w:t xml:space="preserve">: </w:t>
      </w:r>
      <w:r>
        <w:rPr>
          <w:rFonts w:ascii="Times New Roman" w:hAnsi="Times New Roman"/>
          <w:sz w:val="20"/>
        </w:rPr>
        <w:t xml:space="preserve">The registration by the Company under the Securities Act of the Exchange Notes pursuant to a Registration Statement pursuant to which the Company offers the Holders of all outstanding Registrable Notes the opportunity to exchange all such outstanding Registrable Notes held by such Holders for Exchange Notes in an aggregate principal amount equal to the aggregate principal amount of the Registrable Notes tendered in such exchange offer by such Holders. </w:t>
      </w:r>
    </w:p>
    <w:p>
      <w:pPr>
        <w:pStyle w:val="TextBody"/>
        <w:bidi w:val="0"/>
        <w:spacing w:before="240" w:after="0"/>
        <w:jc w:val="left"/>
        <w:rPr>
          <w:rFonts w:ascii="Times New Roman" w:hAnsi="Times New Roman"/>
          <w:sz w:val="20"/>
        </w:rPr>
      </w:pPr>
      <w:r>
        <w:rPr>
          <w:rFonts w:ascii="Times New Roman" w:hAnsi="Times New Roman"/>
          <w:b/>
          <w:i/>
          <w:sz w:val="20"/>
        </w:rPr>
        <w:t>Exchange Offer Registration Statement</w:t>
      </w:r>
      <w:r>
        <w:rPr>
          <w:rFonts w:ascii="Times New Roman" w:hAnsi="Times New Roman"/>
          <w:i/>
          <w:sz w:val="20"/>
        </w:rPr>
        <w:t xml:space="preserve">: </w:t>
      </w:r>
      <w:r>
        <w:rPr>
          <w:rFonts w:ascii="Times New Roman" w:hAnsi="Times New Roman"/>
          <w:sz w:val="20"/>
        </w:rPr>
        <w:t xml:space="preserve">The Registration Statement relating to the Exchange Offer, including the related Prospectus. </w:t>
      </w:r>
    </w:p>
    <w:p>
      <w:pPr>
        <w:pStyle w:val="TextBody"/>
        <w:bidi w:val="0"/>
        <w:spacing w:before="240" w:after="0"/>
        <w:jc w:val="left"/>
        <w:rPr>
          <w:rFonts w:ascii="Times New Roman" w:hAnsi="Times New Roman"/>
          <w:sz w:val="20"/>
        </w:rPr>
      </w:pPr>
      <w:r>
        <w:rPr>
          <w:rFonts w:ascii="Times New Roman" w:hAnsi="Times New Roman"/>
          <w:b/>
          <w:i/>
          <w:sz w:val="20"/>
        </w:rPr>
        <w:t>Exchange Notes</w:t>
      </w:r>
      <w:r>
        <w:rPr>
          <w:rFonts w:ascii="Times New Roman" w:hAnsi="Times New Roman"/>
          <w:i/>
          <w:sz w:val="20"/>
        </w:rPr>
        <w:t xml:space="preserve">: </w:t>
      </w:r>
      <w:r>
        <w:rPr>
          <w:rFonts w:ascii="Times New Roman" w:hAnsi="Times New Roman"/>
          <w:sz w:val="20"/>
        </w:rPr>
        <w:t xml:space="preserve">The 6.500% Notes due 2029 of the same series under the Indenture as the Notes, to be issued to Holders in exchange for Registrable Notes pursuant to this Agreement. </w:t>
      </w:r>
    </w:p>
    <w:p>
      <w:pPr>
        <w:pStyle w:val="TextBody"/>
        <w:bidi w:val="0"/>
        <w:spacing w:before="240" w:after="0"/>
        <w:jc w:val="left"/>
        <w:rPr>
          <w:rFonts w:ascii="Times New Roman" w:hAnsi="Times New Roman"/>
          <w:sz w:val="20"/>
        </w:rPr>
      </w:pPr>
      <w:r>
        <w:rPr>
          <w:rFonts w:ascii="Times New Roman" w:hAnsi="Times New Roman"/>
          <w:b/>
          <w:i/>
          <w:sz w:val="20"/>
        </w:rPr>
        <w:t>FINRA</w:t>
      </w:r>
      <w:r>
        <w:rPr>
          <w:rFonts w:ascii="Times New Roman" w:hAnsi="Times New Roman"/>
          <w:i/>
          <w:sz w:val="20"/>
        </w:rPr>
        <w:t>:</w:t>
      </w:r>
      <w:r>
        <w:rPr>
          <w:rFonts w:ascii="Times New Roman" w:hAnsi="Times New Roman"/>
          <w:sz w:val="20"/>
        </w:rPr>
        <w:t xml:space="preserve"> Financial Industry Regulatory Authority, Inc. </w:t>
      </w:r>
    </w:p>
    <w:p>
      <w:pPr>
        <w:pStyle w:val="TextBody"/>
        <w:bidi w:val="0"/>
        <w:spacing w:before="240" w:after="0"/>
        <w:jc w:val="left"/>
        <w:rPr>
          <w:rFonts w:ascii="Times New Roman" w:hAnsi="Times New Roman"/>
          <w:sz w:val="20"/>
        </w:rPr>
      </w:pPr>
      <w:r>
        <w:rPr>
          <w:rFonts w:ascii="Times New Roman" w:hAnsi="Times New Roman"/>
          <w:b/>
          <w:i/>
          <w:sz w:val="20"/>
        </w:rPr>
        <w:t>Holder</w:t>
      </w:r>
      <w:r>
        <w:rPr>
          <w:rFonts w:ascii="Times New Roman" w:hAnsi="Times New Roman"/>
          <w:i/>
          <w:sz w:val="20"/>
        </w:rPr>
        <w:t xml:space="preserve">: </w:t>
      </w:r>
      <w:r>
        <w:rPr>
          <w:rFonts w:ascii="Times New Roman" w:hAnsi="Times New Roman"/>
          <w:sz w:val="20"/>
        </w:rPr>
        <w:t xml:space="preserve">As defined in Section 2(b) hereof. </w:t>
      </w:r>
    </w:p>
    <w:p>
      <w:pPr>
        <w:pStyle w:val="TextBody"/>
        <w:bidi w:val="0"/>
        <w:spacing w:before="240" w:after="0"/>
        <w:jc w:val="left"/>
        <w:rPr>
          <w:rFonts w:ascii="Times New Roman" w:hAnsi="Times New Roman"/>
          <w:sz w:val="20"/>
        </w:rPr>
      </w:pPr>
      <w:r>
        <w:rPr>
          <w:rFonts w:ascii="Times New Roman" w:hAnsi="Times New Roman"/>
          <w:b/>
          <w:i/>
          <w:sz w:val="20"/>
        </w:rPr>
        <w:t>Indemnified Holder</w:t>
      </w:r>
      <w:r>
        <w:rPr>
          <w:rFonts w:ascii="Times New Roman" w:hAnsi="Times New Roman"/>
          <w:i/>
          <w:sz w:val="20"/>
        </w:rPr>
        <w:t xml:space="preserve">: </w:t>
      </w:r>
      <w:r>
        <w:rPr>
          <w:rFonts w:ascii="Times New Roman" w:hAnsi="Times New Roman"/>
          <w:sz w:val="20"/>
        </w:rPr>
        <w:t xml:space="preserve">As defined in Section 8(a) hereof. </w:t>
      </w:r>
    </w:p>
    <w:p>
      <w:pPr>
        <w:pStyle w:val="TextBody"/>
        <w:bidi w:val="0"/>
        <w:spacing w:before="240" w:after="0"/>
        <w:jc w:val="left"/>
        <w:rPr>
          <w:rFonts w:ascii="Times New Roman" w:hAnsi="Times New Roman"/>
          <w:sz w:val="20"/>
        </w:rPr>
      </w:pPr>
      <w:r>
        <w:rPr>
          <w:rFonts w:ascii="Times New Roman" w:hAnsi="Times New Roman"/>
          <w:b/>
          <w:i/>
          <w:sz w:val="20"/>
        </w:rPr>
        <w:t>Indenture</w:t>
      </w:r>
      <w:r>
        <w:rPr>
          <w:rFonts w:ascii="Times New Roman" w:hAnsi="Times New Roman"/>
          <w:i/>
          <w:sz w:val="20"/>
        </w:rPr>
        <w:t xml:space="preserve">: </w:t>
      </w:r>
      <w:r>
        <w:rPr>
          <w:rFonts w:ascii="Times New Roman" w:hAnsi="Times New Roman"/>
          <w:sz w:val="20"/>
        </w:rPr>
        <w:t xml:space="preserve">The Base Indenture, dated as of March 11, 2024, as supplemented by the First Supplemental Indenture, dated as of March 11, 2024, by and between the Company and the Trustee, pursuant to which the Notes are to be issued, as such Indenture may be amended or supplemented from time to time in accordance with the terms thereof. </w:t>
      </w:r>
    </w:p>
    <w:p>
      <w:pPr>
        <w:pStyle w:val="TextBody"/>
        <w:bidi w:val="0"/>
        <w:spacing w:before="240" w:after="0"/>
        <w:jc w:val="left"/>
        <w:rPr>
          <w:rFonts w:ascii="Times New Roman" w:hAnsi="Times New Roman"/>
          <w:sz w:val="20"/>
        </w:rPr>
      </w:pPr>
      <w:r>
        <w:rPr>
          <w:rFonts w:ascii="Times New Roman" w:hAnsi="Times New Roman"/>
          <w:b/>
          <w:i/>
          <w:sz w:val="20"/>
        </w:rPr>
        <w:t>Initial Placement</w:t>
      </w:r>
      <w:r>
        <w:rPr>
          <w:rFonts w:ascii="Times New Roman" w:hAnsi="Times New Roman"/>
          <w:i/>
          <w:sz w:val="20"/>
        </w:rPr>
        <w:t xml:space="preserve">: </w:t>
      </w:r>
      <w:r>
        <w:rPr>
          <w:rFonts w:ascii="Times New Roman" w:hAnsi="Times New Roman"/>
          <w:sz w:val="20"/>
        </w:rPr>
        <w:t xml:space="preserve">The issuance and sale by the Company of the Notes to the Initial Purchasers pursuant to the Purchase Agreement. </w:t>
      </w:r>
    </w:p>
    <w:p>
      <w:pPr>
        <w:pStyle w:val="TextBody"/>
        <w:bidi w:val="0"/>
        <w:spacing w:before="240" w:after="0"/>
        <w:jc w:val="left"/>
        <w:rPr>
          <w:rFonts w:ascii="Times New Roman" w:hAnsi="Times New Roman"/>
          <w:sz w:val="20"/>
        </w:rPr>
      </w:pPr>
      <w:r>
        <w:rPr>
          <w:rFonts w:ascii="Times New Roman" w:hAnsi="Times New Roman"/>
          <w:b/>
          <w:i/>
          <w:sz w:val="20"/>
        </w:rPr>
        <w:t>Initial Purchasers</w:t>
      </w:r>
      <w:r>
        <w:rPr>
          <w:rFonts w:ascii="Times New Roman" w:hAnsi="Times New Roman"/>
          <w:i/>
          <w:sz w:val="20"/>
        </w:rPr>
        <w:t xml:space="preser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Interest Payment Date</w:t>
      </w:r>
      <w:r>
        <w:rPr>
          <w:rFonts w:ascii="Times New Roman" w:hAnsi="Times New Roman"/>
          <w:i/>
          <w:sz w:val="20"/>
        </w:rPr>
        <w:t xml:space="preserve">: </w:t>
      </w:r>
      <w:r>
        <w:rPr>
          <w:rFonts w:ascii="Times New Roman" w:hAnsi="Times New Roman"/>
          <w:sz w:val="20"/>
        </w:rPr>
        <w:t xml:space="preserve">As defined in the Indenture and the Notes. </w:t>
      </w:r>
    </w:p>
    <w:p>
      <w:pPr>
        <w:pStyle w:val="TextBody"/>
        <w:bidi w:val="0"/>
        <w:spacing w:before="240" w:after="0"/>
        <w:jc w:val="left"/>
        <w:rPr>
          <w:rFonts w:ascii="Times New Roman" w:hAnsi="Times New Roman"/>
          <w:sz w:val="20"/>
        </w:rPr>
      </w:pPr>
      <w:r>
        <w:rPr>
          <w:rFonts w:ascii="Times New Roman" w:hAnsi="Times New Roman"/>
          <w:b/>
          <w:i/>
          <w:sz w:val="20"/>
        </w:rPr>
        <w:t>Issue Date</w:t>
      </w:r>
      <w:r>
        <w:rPr>
          <w:rFonts w:ascii="Times New Roman" w:hAnsi="Times New Roman"/>
          <w:sz w:val="20"/>
        </w:rPr>
        <w:t xml:space="preserve">: The date of this Agreement, March 11, 2024. </w:t>
      </w:r>
    </w:p>
    <w:p>
      <w:pPr>
        <w:pStyle w:val="TextBody"/>
        <w:bidi w:val="0"/>
        <w:spacing w:before="240" w:after="0"/>
        <w:jc w:val="left"/>
        <w:rPr>
          <w:rFonts w:ascii="Times New Roman" w:hAnsi="Times New Roman"/>
          <w:sz w:val="20"/>
        </w:rPr>
      </w:pPr>
      <w:r>
        <w:rPr>
          <w:rFonts w:ascii="Times New Roman" w:hAnsi="Times New Roman"/>
          <w:b/>
          <w:i/>
          <w:sz w:val="20"/>
        </w:rPr>
        <w:t>Notes</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Person</w:t>
      </w:r>
      <w:r>
        <w:rPr>
          <w:rFonts w:ascii="Times New Roman" w:hAnsi="Times New Roman"/>
          <w:i/>
          <w:sz w:val="20"/>
        </w:rPr>
        <w:t xml:space="preserve">: </w:t>
      </w:r>
      <w:r>
        <w:rPr>
          <w:rFonts w:ascii="Times New Roman" w:hAnsi="Times New Roman"/>
          <w:sz w:val="20"/>
        </w:rPr>
        <w:t xml:space="preserve">Any individual, corporation, limited liability company, partnership, joint venture, association, joint stock company, trust, unincorporated organization, government or any agency or political subdivision thereof or any other entity. </w:t>
      </w:r>
    </w:p>
    <w:p>
      <w:pPr>
        <w:pStyle w:val="TextBody"/>
        <w:bidi w:val="0"/>
        <w:spacing w:before="240" w:after="0"/>
        <w:jc w:val="left"/>
        <w:rPr>
          <w:rFonts w:ascii="Times New Roman" w:hAnsi="Times New Roman"/>
          <w:sz w:val="20"/>
        </w:rPr>
      </w:pPr>
      <w:r>
        <w:rPr>
          <w:rFonts w:ascii="Times New Roman" w:hAnsi="Times New Roman"/>
          <w:b/>
          <w:i/>
          <w:sz w:val="20"/>
        </w:rPr>
        <w:t>Prospectus</w:t>
      </w:r>
      <w:r>
        <w:rPr>
          <w:rFonts w:ascii="Times New Roman" w:hAnsi="Times New Roman"/>
          <w:i/>
          <w:sz w:val="20"/>
        </w:rPr>
        <w:t xml:space="preserve">: </w:t>
      </w:r>
      <w:r>
        <w:rPr>
          <w:rFonts w:ascii="Times New Roman" w:hAnsi="Times New Roman"/>
          <w:sz w:val="20"/>
        </w:rPr>
        <w:t xml:space="preserve">The prospectus included in a Registration Statement, as amended or supplemented by any prospectus supplement and by all other amendments thereto, including post-effective amendments, and all material incorporated by reference into such Prospectus. </w:t>
      </w:r>
    </w:p>
    <w:p>
      <w:pPr>
        <w:pStyle w:val="TextBody"/>
        <w:bidi w:val="0"/>
        <w:spacing w:before="240" w:after="0"/>
        <w:jc w:val="left"/>
        <w:rPr>
          <w:rFonts w:ascii="Times New Roman" w:hAnsi="Times New Roman"/>
          <w:sz w:val="20"/>
        </w:rPr>
      </w:pPr>
      <w:r>
        <w:rPr>
          <w:rFonts w:ascii="Times New Roman" w:hAnsi="Times New Roman"/>
          <w:b/>
          <w:i/>
          <w:sz w:val="20"/>
        </w:rPr>
        <w:t>Purchase Agreement</w:t>
      </w:r>
      <w:r>
        <w:rPr>
          <w:rFonts w:ascii="Times New Roman" w:hAnsi="Times New Roman"/>
          <w:i/>
          <w:sz w:val="20"/>
        </w:rPr>
        <w:t xml:space="preser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Registrable Notes</w:t>
      </w:r>
      <w:r>
        <w:rPr>
          <w:rFonts w:ascii="Times New Roman" w:hAnsi="Times New Roman"/>
          <w:i/>
          <w:sz w:val="20"/>
        </w:rPr>
        <w:t xml:space="preserve">: </w:t>
      </w:r>
      <w:r>
        <w:rPr>
          <w:rFonts w:ascii="Times New Roman" w:hAnsi="Times New Roman"/>
          <w:sz w:val="20"/>
        </w:rPr>
        <w:t xml:space="preserve">Each Note, until the earliest to occur of (a) the date on which such Note is exchanged in the Exchange Offer for an Exchange Note entitled to be resold to the public by the Holder thereof without complying with the prospectus delivery requirements of the Securities Act, (b) the date on which such Note has been effectively registered under the Securities Act and disposed of in accordance with a Shelf Registration Statement, (c) the date on which such Note is distributed by a Broker-Dealer pursuant to the Plan of Distribution contemplated by the Exchange Offer Registration Statement (including delivery of the Prospectus contained therein), (d) the date on which such Note does not bear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restricted CUSIP number and is sold pursuant to Rule 144 under the Securities Act under circumstances in which any legend borne by such Note relating to restrictions on transferability thereof, under the Securities Act or otherwise, is removed by the Company or pursuant to the Indenture and (e) the date on which such Note ceases to be outstanding. </w:t>
      </w:r>
    </w:p>
    <w:p>
      <w:pPr>
        <w:pStyle w:val="TextBody"/>
        <w:bidi w:val="0"/>
        <w:spacing w:before="240" w:after="0"/>
        <w:jc w:val="left"/>
        <w:rPr>
          <w:rFonts w:ascii="Times New Roman" w:hAnsi="Times New Roman"/>
          <w:sz w:val="20"/>
        </w:rPr>
      </w:pPr>
      <w:r>
        <w:rPr>
          <w:rFonts w:ascii="Times New Roman" w:hAnsi="Times New Roman"/>
          <w:b/>
          <w:i/>
          <w:sz w:val="20"/>
        </w:rPr>
        <w:t>Registration Default</w:t>
      </w:r>
      <w:r>
        <w:rPr>
          <w:rFonts w:ascii="Times New Roman" w:hAnsi="Times New Roman"/>
          <w:i/>
          <w:sz w:val="20"/>
        </w:rPr>
        <w:t xml:space="preserve">: </w:t>
      </w:r>
      <w:r>
        <w:rPr>
          <w:rFonts w:ascii="Times New Roman" w:hAnsi="Times New Roman"/>
          <w:sz w:val="20"/>
        </w:rPr>
        <w:t xml:space="preserve">As defined in Section 5 hereof. </w:t>
      </w:r>
    </w:p>
    <w:p>
      <w:pPr>
        <w:pStyle w:val="TextBody"/>
        <w:bidi w:val="0"/>
        <w:spacing w:before="240" w:after="0"/>
        <w:jc w:val="left"/>
        <w:rPr>
          <w:rFonts w:ascii="Times New Roman" w:hAnsi="Times New Roman"/>
          <w:sz w:val="20"/>
        </w:rPr>
      </w:pPr>
      <w:r>
        <w:rPr>
          <w:rFonts w:ascii="Times New Roman" w:hAnsi="Times New Roman"/>
          <w:b/>
          <w:i/>
          <w:sz w:val="20"/>
        </w:rPr>
        <w:t>Registration Statement</w:t>
      </w:r>
      <w:r>
        <w:rPr>
          <w:rFonts w:ascii="Times New Roman" w:hAnsi="Times New Roman"/>
          <w:i/>
          <w:sz w:val="20"/>
        </w:rPr>
        <w:t xml:space="preserve">: </w:t>
      </w:r>
      <w:r>
        <w:rPr>
          <w:rFonts w:ascii="Times New Roman" w:hAnsi="Times New Roman"/>
          <w:sz w:val="20"/>
        </w:rPr>
        <w:t xml:space="preserve">Any registration statement of the Company relating to (a) an offering of Exchange Notes pursuant to an Exchange Offer or (b) the registration for resale of Registrable Notes pursuant to the Shelf Registration Statement, which is filed pursuant to the provisions of this Agreement, in each case, including the Prospectus included therein, all amendments and supplements thereto (including post-effective amendments) and all exhibits and material incorporated by reference therein. </w:t>
      </w:r>
    </w:p>
    <w:p>
      <w:pPr>
        <w:pStyle w:val="TextBody"/>
        <w:bidi w:val="0"/>
        <w:spacing w:before="240" w:after="0"/>
        <w:jc w:val="left"/>
        <w:rPr>
          <w:rFonts w:ascii="Times New Roman" w:hAnsi="Times New Roman"/>
          <w:sz w:val="20"/>
        </w:rPr>
      </w:pPr>
      <w:r>
        <w:rPr>
          <w:rFonts w:ascii="Times New Roman" w:hAnsi="Times New Roman"/>
          <w:b/>
          <w:i/>
          <w:sz w:val="20"/>
        </w:rPr>
        <w:t xml:space="preserve">Representative: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Securities Act</w:t>
      </w:r>
      <w:r>
        <w:rPr>
          <w:rFonts w:ascii="Times New Roman" w:hAnsi="Times New Roman"/>
          <w:i/>
          <w:sz w:val="20"/>
        </w:rPr>
        <w:t xml:space="preserve">: </w:t>
      </w:r>
      <w:r>
        <w:rPr>
          <w:rFonts w:ascii="Times New Roman" w:hAnsi="Times New Roman"/>
          <w:sz w:val="20"/>
        </w:rPr>
        <w:t xml:space="preserve">The Securities Act of 1933,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i/>
          <w:sz w:val="20"/>
        </w:rPr>
        <w:t>Shelf Filing Deadline</w:t>
      </w:r>
      <w:r>
        <w:rPr>
          <w:rFonts w:ascii="Times New Roman" w:hAnsi="Times New Roman"/>
          <w:i/>
          <w:sz w:val="20"/>
        </w:rPr>
        <w:t xml:space="preserve">: </w:t>
      </w:r>
      <w:r>
        <w:rPr>
          <w:rFonts w:ascii="Times New Roman" w:hAnsi="Times New Roman"/>
          <w:sz w:val="20"/>
        </w:rPr>
        <w:t xml:space="preserve">As defined in Section 4(a)(x) hereof. </w:t>
      </w:r>
    </w:p>
    <w:p>
      <w:pPr>
        <w:pStyle w:val="TextBody"/>
        <w:bidi w:val="0"/>
        <w:spacing w:before="240" w:after="0"/>
        <w:jc w:val="left"/>
        <w:rPr>
          <w:rFonts w:ascii="Times New Roman" w:hAnsi="Times New Roman"/>
          <w:sz w:val="20"/>
        </w:rPr>
      </w:pPr>
      <w:r>
        <w:rPr>
          <w:rFonts w:ascii="Times New Roman" w:hAnsi="Times New Roman"/>
          <w:b/>
          <w:i/>
          <w:sz w:val="20"/>
        </w:rPr>
        <w:t>Shelf Registration Statement</w:t>
      </w:r>
      <w:r>
        <w:rPr>
          <w:rFonts w:ascii="Times New Roman" w:hAnsi="Times New Roman"/>
          <w:i/>
          <w:sz w:val="20"/>
        </w:rPr>
        <w:t xml:space="preserve">: </w:t>
      </w:r>
      <w:r>
        <w:rPr>
          <w:rFonts w:ascii="Times New Roman" w:hAnsi="Times New Roman"/>
          <w:sz w:val="20"/>
        </w:rPr>
        <w:t xml:space="preserve">As defined in Section 4(a)(x) hereof. </w:t>
      </w:r>
    </w:p>
    <w:p>
      <w:pPr>
        <w:pStyle w:val="TextBody"/>
        <w:bidi w:val="0"/>
        <w:spacing w:before="240" w:after="0"/>
        <w:jc w:val="left"/>
        <w:rPr>
          <w:rFonts w:ascii="Times New Roman" w:hAnsi="Times New Roman"/>
          <w:sz w:val="20"/>
        </w:rPr>
      </w:pPr>
      <w:r>
        <w:rPr>
          <w:rFonts w:ascii="Times New Roman" w:hAnsi="Times New Roman"/>
          <w:b/>
          <w:i/>
          <w:sz w:val="20"/>
        </w:rPr>
        <w:t>Suspension Period</w:t>
      </w:r>
      <w:r>
        <w:rPr>
          <w:rFonts w:ascii="Times New Roman" w:hAnsi="Times New Roman"/>
          <w:sz w:val="20"/>
        </w:rPr>
        <w:t xml:space="preserve">: As defined in the final paragraph of Section 4(a) hereof. </w:t>
      </w:r>
    </w:p>
    <w:p>
      <w:pPr>
        <w:pStyle w:val="TextBody"/>
        <w:bidi w:val="0"/>
        <w:spacing w:before="240" w:after="0"/>
        <w:jc w:val="left"/>
        <w:rPr>
          <w:rFonts w:ascii="Times New Roman" w:hAnsi="Times New Roman"/>
          <w:sz w:val="20"/>
        </w:rPr>
      </w:pPr>
      <w:r>
        <w:rPr>
          <w:rFonts w:ascii="Times New Roman" w:hAnsi="Times New Roman"/>
          <w:b/>
          <w:i/>
          <w:sz w:val="20"/>
        </w:rPr>
        <w:t>Trustee</w:t>
      </w:r>
      <w:r>
        <w:rPr>
          <w:rFonts w:ascii="Times New Roman" w:hAnsi="Times New Roman"/>
          <w:sz w:val="20"/>
        </w:rPr>
        <w:t xml:space="preserve">: U.S. Bank Trust Company, National Association. </w:t>
      </w:r>
    </w:p>
    <w:p>
      <w:pPr>
        <w:pStyle w:val="TextBody"/>
        <w:bidi w:val="0"/>
        <w:spacing w:before="240" w:after="0"/>
        <w:jc w:val="left"/>
        <w:rPr>
          <w:rFonts w:ascii="Times New Roman" w:hAnsi="Times New Roman"/>
          <w:sz w:val="20"/>
        </w:rPr>
      </w:pPr>
      <w:r>
        <w:rPr>
          <w:rFonts w:ascii="Times New Roman" w:hAnsi="Times New Roman"/>
          <w:b/>
          <w:i/>
          <w:sz w:val="20"/>
        </w:rPr>
        <w:t>Trust Indenture Act</w:t>
      </w:r>
      <w:r>
        <w:rPr>
          <w:rFonts w:ascii="Times New Roman" w:hAnsi="Times New Roman"/>
          <w:i/>
          <w:sz w:val="20"/>
        </w:rPr>
        <w:t xml:space="preserve">: </w:t>
      </w:r>
      <w:r>
        <w:rPr>
          <w:rFonts w:ascii="Times New Roman" w:hAnsi="Times New Roman"/>
          <w:sz w:val="20"/>
        </w:rPr>
        <w:t xml:space="preserve">The Trust Indenture Act of 1939,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i/>
          <w:sz w:val="20"/>
        </w:rPr>
        <w:t>Underwritten Registration or Underwritten Offering</w:t>
      </w:r>
      <w:r>
        <w:rPr>
          <w:rFonts w:ascii="Times New Roman" w:hAnsi="Times New Roman"/>
          <w:i/>
          <w:sz w:val="20"/>
        </w:rPr>
        <w:t xml:space="preserve">: </w:t>
      </w:r>
      <w:r>
        <w:rPr>
          <w:rFonts w:ascii="Times New Roman" w:hAnsi="Times New Roman"/>
          <w:sz w:val="20"/>
        </w:rPr>
        <w:t xml:space="preserve">A registration in which securities of the Company are sold to an underwriter for reoffering to the public.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i/>
          <w:sz w:val="20"/>
        </w:rPr>
        <w:t>Notes Subject to this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Registrable Notes. </w:t>
      </w:r>
      <w:r>
        <w:rPr>
          <w:rFonts w:ascii="Times New Roman" w:hAnsi="Times New Roman"/>
          <w:sz w:val="20"/>
        </w:rPr>
        <w:t xml:space="preserve">The securities entitled to the benefits of this Agreement are the Registrable Notes.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Holders of Registrable Notes. </w:t>
      </w:r>
      <w:r>
        <w:rPr>
          <w:rFonts w:ascii="Times New Roman" w:hAnsi="Times New Roman"/>
          <w:sz w:val="20"/>
        </w:rPr>
        <w:t>A Person is deemed to be a holder of Registrable Notes (each, a </w:t>
      </w:r>
      <w:r>
        <w:rPr>
          <w:rFonts w:ascii="Times New Roman" w:hAnsi="Times New Roman"/>
          <w:b/>
          <w:i/>
          <w:sz w:val="20"/>
        </w:rPr>
        <w:t>Holder</w:t>
      </w:r>
      <w:r>
        <w:rPr>
          <w:rFonts w:ascii="Times New Roman" w:hAnsi="Times New Roman"/>
          <w:sz w:val="20"/>
        </w:rPr>
        <w:t xml:space="preserve">) whenever such Person owns Registrable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i/>
          <w:sz w:val="20"/>
        </w:rPr>
        <w:t>Registered Exchange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the Exchange Offer shall not be permissible under applicable law or Commission policy, the Company shall (i) use its commercially reasonable efforts to cause the Exchange Offer to be Consummated on the earliest practicable date after the Exchange Offer Registration Statement has become or been declared effective, but in no event later than 365 days after the Issue Date (or if such 365th day is not a Business Day, the next succeeding Business Day) and (ii) in connection with the foregoing, (A) file all pre-effective amendments to such Registration Statement as may be necessary in order to cause such Registration Statement to become or be declared effective, (B) if applicable, file a post-effective amendment to such Registration Statement pursuant to Rule 430A under the Securities Act and (C) cause all necessary filings in connection with the registration and qualification of the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Notes to be made under the state securities or blue sky laws of such jurisdictions as are necessary to permit Consummation of the Exchange Offer. The Exchange Offer Registration Statement shall be on the appropriate form permitting registration of the Exchange Notes to be offered in exchange for the Registrable Notes and to permit resales of Notes held by Broker-Dealers as contemplated by Section 3(c) hereof. The Company shall use its commercially reasonable efforts to cause all Exchange Notes to have the same CUSIP number.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use its commercially reasonable efforts to cause the Exchange Offer Registration Statement to be effective continuously and shall keep the Exchange Offer open for a period of not less than the minimum period required under applicable federal and state securities laws to Consummate the Exchange Offer; </w:t>
      </w:r>
      <w:r>
        <w:rPr>
          <w:rFonts w:ascii="Times New Roman" w:hAnsi="Times New Roman"/>
          <w:i/>
          <w:sz w:val="20"/>
        </w:rPr>
        <w:t>provided, however</w:t>
      </w:r>
      <w:r>
        <w:rPr>
          <w:rFonts w:ascii="Times New Roman" w:hAnsi="Times New Roman"/>
          <w:sz w:val="20"/>
        </w:rPr>
        <w:t xml:space="preserve">, that in no event shall such period be less than 20 Business Days after the commencement of the Exchange Offer. The Company shall cause the Exchange Offer to comply with all applicable federal and state securities laws. No securities other than the Exchange Notes shall be included in the Exchange Offer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indicate in a Plan of Distribution section contained in the Prospectus forming a part of the Exchange Offer Registration Statement that any Broker-Dealer who holds Notes that are Registrable Notes and that were acquired for its own account as a result of market-making activities or other trading activities (other than Registrable Notes acquired directly from the Company) may exchange such Notes pursuant to the Exchange Offer; however, such Broker-Dealer may be deemed to be an underwriter within the meaning of the Securities Act and must, therefore, deliver a prospectus meeting the requirements of the Securities Act in connection with any resales of the Exchange Notes received by such Broker-Dealer in the Exchange Offer, which prospectus delivery requirement may be satisfied by the delivery by such Broker-Dealer of the Prospectus contained in the Exchange Offer Registration Statement. Such Plan of Distribution section shall also contain all other information with respect to such resales by Broker-Dealers that the Commission may require in order to permit such resales pursuant thereto, but such Plan of Distribution shall not name any such Broker-Dealer or disclose the amount of Notes held by any such Broker-Dealer except to the extent required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use its commercially reasonable efforts to keep the Exchange Offer Registration Statement continuously effective, supplemented and amended as required by the provisions of Section 6(c) hereof to the extent necessary to ensure that it is available for resales of Notes acquired by Broker-Dealers for their own accounts as a result of market-making activities or other trading activities, and to ensure that it conforms with the requirements of this Agreement, the Securities Act and the policies, rules and regulations of the Commission as announced from time to time, for a period ending on the earlier of (i) 180 days from the date on which the Exchange Offer Registration Statement becomes or is declared effective and (ii) the date on which a Broker-Dealer is no longer required to deliver a prospectus in connection with market-making or other trading activities.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provide sufficient copies of the latest version of such Prospectus to Broker-Dealers promptly upon request at any time during such 180-day (or shorter as provided in the foregoing paragraph) period in order to facilitate such resales.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i/>
          <w:sz w:val="20"/>
        </w:rPr>
        <w:t>Shelf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Shelf Registration. </w:t>
      </w:r>
      <w:r>
        <w:rPr>
          <w:rFonts w:ascii="Times New Roman" w:hAnsi="Times New Roman"/>
          <w:sz w:val="20"/>
        </w:rPr>
        <w:t xml:space="preserve">If (i) the Company is not required to file an Exchange Offer Registration Statement or to consummate the Exchange Offer because the Exchange Offer is not permitted by applicable law or Commission policy, (ii) for any reason the Exchange Offer is not Consummated within 365 days after the Issue Date (or if such 365th day is not a Business Day, the next succeeding Business Day), or (iii) with respect to any Holder of Registrable Notes (A) such Holder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prohibited by applicable law or Commission policy from participating in the Exchange Offer, (B) such Holder may not resell the Exchange Notes acquired by it in the Exchange Offer to the public without delivering a prospectus and the Prospectus contained in the Exchange Offer Registration Statement is not appropriate or available for such resales by such Holder or (C) such Holder is a Broker-Dealer and holds Notes acquired directly from the Company or one of its affiliates, then, upon such Holders request, the Company shall: </w:t>
      </w:r>
    </w:p>
    <w:p>
      <w:pPr>
        <w:pStyle w:val="TextBody"/>
        <w:bidi w:val="0"/>
        <w:spacing w:before="120" w:after="0"/>
        <w:jc w:val="left"/>
        <w:rPr>
          <w:rFonts w:ascii="Times New Roman" w:hAnsi="Times New Roman"/>
          <w:sz w:val="20"/>
        </w:rPr>
      </w:pPr>
      <w:r>
        <w:rPr>
          <w:rFonts w:ascii="Times New Roman" w:hAnsi="Times New Roman"/>
          <w:sz w:val="20"/>
        </w:rPr>
        <w:t>(x) cause to be filed a shelf registration statement pursuant to Rule 415 under the Securities Act, which may be an amendment to the Exchange Offer Registration Statement (in either event, the </w:t>
      </w:r>
      <w:r>
        <w:rPr>
          <w:rFonts w:ascii="Times New Roman" w:hAnsi="Times New Roman"/>
          <w:b/>
          <w:i/>
          <w:sz w:val="20"/>
        </w:rPr>
        <w:t>Shelf Registration Statement</w:t>
      </w:r>
      <w:r>
        <w:rPr>
          <w:rFonts w:ascii="Times New Roman" w:hAnsi="Times New Roman"/>
          <w:sz w:val="20"/>
        </w:rPr>
        <w:t>), as soon as practicable, but in no event later than the earliest to occur of (1) the 60th day after the date on which the Company determines that it is not required to file the Exchange Offer Registration Statement, (2) the 60th day after the date on which the Company receives notice from a Holder of Registrable Notes as contemplated by clause (iii) above and (3) the 365th day after the Issue Date (or if such 365th day is not a Business Day, the next succeeding Business Day) (the </w:t>
      </w:r>
      <w:r>
        <w:rPr>
          <w:rFonts w:ascii="Times New Roman" w:hAnsi="Times New Roman"/>
          <w:b/>
          <w:i/>
          <w:sz w:val="20"/>
        </w:rPr>
        <w:t>Shelf Filing Deadline</w:t>
      </w:r>
      <w:r>
        <w:rPr>
          <w:rFonts w:ascii="Times New Roman" w:hAnsi="Times New Roman"/>
          <w:sz w:val="20"/>
        </w:rPr>
        <w:t xml:space="preserve">), which Shelf Registration Statement shall provide for resales of all Registrable Notes the Holders of which shall have provided the information required pursuant to Section 4(b) hereof; and </w:t>
      </w:r>
    </w:p>
    <w:p>
      <w:pPr>
        <w:pStyle w:val="TextBody"/>
        <w:bidi w:val="0"/>
        <w:spacing w:before="120" w:after="0"/>
        <w:jc w:val="left"/>
        <w:rPr>
          <w:rFonts w:ascii="Times New Roman" w:hAnsi="Times New Roman"/>
          <w:sz w:val="20"/>
        </w:rPr>
      </w:pPr>
      <w:r>
        <w:rPr>
          <w:rFonts w:ascii="Times New Roman" w:hAnsi="Times New Roman"/>
          <w:sz w:val="20"/>
        </w:rPr>
        <w:t xml:space="preserve">(y) use its commercially reasonable efforts to cause such Shelf Registration Statement to become or be declared effective by the Commission at the earliest possible time, but in no event later that the 120th day after the Shelf Filing Deadline (or if such 120th day is not a Business Day,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use its commercially reasonable efforts to keep such Shelf Registration Statement continuously effective, supplemented and amended as required by the provisions of Sections 6(b) and (c) hereof to the extent necessary to ensure that it is available for resales of Registrable Notes entitled to the benefit of this Section 4(a), and to ensure that it conforms with the requirements of this Agreement, the Securities Act and the policies, rules and regulations of the Commission as announced from time to time, for a period of at least one year following the effective date of such Shelf Registration Statement (or shorter period that will terminate when all the Notes covered by such Shelf Registration Statement have been sold pursuant to such Shelf Registration Statement or are otherwise no longer Registrable Notes). </w:t>
      </w:r>
    </w:p>
    <w:p>
      <w:pPr>
        <w:pStyle w:val="TextBody"/>
        <w:bidi w:val="0"/>
        <w:spacing w:before="240" w:after="0"/>
        <w:jc w:val="left"/>
        <w:rPr>
          <w:rFonts w:ascii="Times New Roman" w:hAnsi="Times New Roman"/>
          <w:sz w:val="20"/>
        </w:rPr>
      </w:pPr>
      <w:r>
        <w:rPr>
          <w:rFonts w:ascii="Times New Roman" w:hAnsi="Times New Roman"/>
          <w:sz w:val="20"/>
        </w:rPr>
        <w:t>Notwithstanding the foregoing, the Company may suspend the offering and sale under the Shelf Registration Statement (the </w:t>
      </w:r>
      <w:r>
        <w:rPr>
          <w:rFonts w:ascii="Times New Roman" w:hAnsi="Times New Roman"/>
          <w:b/>
          <w:i/>
          <w:sz w:val="20"/>
        </w:rPr>
        <w:t>Suspension Period</w:t>
      </w:r>
      <w:r>
        <w:rPr>
          <w:rFonts w:ascii="Times New Roman" w:hAnsi="Times New Roman"/>
          <w:sz w:val="20"/>
        </w:rPr>
        <w:t xml:space="preserve">) for a period or periods if (i) the board of trustees reasonably determines that the continued use of such Shelf Registration Statement would (A) require the Company to make a public disclosure of material non-public information, which disclosure in the good faith judgment of the board of trustees of the Company (1) would be required to be made in such Shelf Registration Statement so that such Shelf Registration Statement would not be materially misleading and (2) would not be required to be made at such time but for the continued use of such Shelf Registration Statement or (B) would in the good faith and judgment of the board of trustees of the Company be expected to have a material adverse effect on the Company or its business or on the Companys ability to effect a planned or proposed acquisition, disposition, financing, reorganization, recapitalization or similar transaction and (ii) the Company notifies the underwriters, if any, and the Holders of Registrable Notes within five days after the board of trustees makes the relevant determination set forth in clause (i); </w:t>
      </w:r>
      <w:r>
        <w:rPr>
          <w:rFonts w:ascii="Times New Roman" w:hAnsi="Times New Roman"/>
          <w:i/>
          <w:sz w:val="20"/>
        </w:rPr>
        <w:t>provided</w:t>
      </w:r>
      <w:r>
        <w:rPr>
          <w:rFonts w:ascii="Times New Roman" w:hAnsi="Times New Roman"/>
          <w:sz w:val="20"/>
        </w:rPr>
        <w:t xml:space="preserve"> that the period or periods of suspension under clause (i) above shall not exceed, in the aggregate, 60 days in any twelve-month period during which the Shelf Registration Statement is required to be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Provision by Holders of Certain Information in Connection with the Shelf Registration Statement. </w:t>
      </w:r>
      <w:r>
        <w:rPr>
          <w:rFonts w:ascii="Times New Roman" w:hAnsi="Times New Roman"/>
          <w:sz w:val="20"/>
        </w:rPr>
        <w:t xml:space="preserve">No Holder of Registrable Notes may include any of its Registrable Notes in any Shelf Registration Statement pursuant to this Agreement unless and until such Holder furnishes to the Company in writing, within 10 Business Days after receipt of a request therefor, such information as the Company may reasonably request for use in connection with any Shelf Registration Statement or Prospectus or preliminary Prospectus included therein or amendment or supplement thereto. Each Holder as to which any Shelf Registration Statement is being effected agrees to furnish promptly to the Company all information required to be disclosed in order to make the information previously furnished to the Company by such Holder not materially misleading.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i/>
          <w:sz w:val="20"/>
        </w:rPr>
        <w:t xml:space="preserve">Additional Interest. </w:t>
      </w:r>
      <w:r>
        <w:rPr>
          <w:rFonts w:ascii="Times New Roman" w:hAnsi="Times New Roman"/>
          <w:sz w:val="20"/>
        </w:rPr>
        <w:t>If (i) unless the Exchange Offer shall not be permissible under applicable law or Commission policy, the Exchange Offer Registration Statement has not been Consummated on or prior to the 365th day after the Issue Date (or if such 365th day is not a Business Day, the next succeeding Business Day), (ii) in the event the Company is required to file a Shelf Registration Statement pursuant to Section 4(a) hereof, (A) the Shelf Registration Statement is not filed by the Shelf Filing Deadline or (B) the Shelf Registration Statement has not become or been declared effective by the Commission on or prior to the 120th day after the Shelf Filing Deadline (or if such 120th day is not a Business Day, the next succeeding Business Day) or (iii) any Registration Statement required by this Agreement is filed and declared effective but shall thereafter cease to be effective or fail to be usable for its intended purpose without being immediately succeeded by a post-effective amendment to such Registration Statement that cures such failure and that is itself immediately declared effective (each such event referred to in clauses (i) through (iii), a </w:t>
      </w:r>
      <w:r>
        <w:rPr>
          <w:rFonts w:ascii="Times New Roman" w:hAnsi="Times New Roman"/>
          <w:b/>
          <w:i/>
          <w:sz w:val="20"/>
        </w:rPr>
        <w:t>Registration Default</w:t>
      </w:r>
      <w:r>
        <w:rPr>
          <w:rFonts w:ascii="Times New Roman" w:hAnsi="Times New Roman"/>
          <w:sz w:val="20"/>
        </w:rPr>
        <w:t>) then, with respect to the first 90-day period immediately following the occurrence of such Registration Default, the interest rate on the Registrable Notes will be increased by 0.25% per annum and will increase by an additional 0.25% per annum on the principal amount of Notes with respect to each subsequent 90-day period, up to a maximum of additional interest of 0.50% per annum (</w:t>
      </w:r>
      <w:r>
        <w:rPr>
          <w:rFonts w:ascii="Times New Roman" w:hAnsi="Times New Roman"/>
          <w:b/>
          <w:i/>
          <w:sz w:val="20"/>
        </w:rPr>
        <w:t>Additional Interest</w:t>
      </w:r>
      <w:r>
        <w:rPr>
          <w:rFonts w:ascii="Times New Roman" w:hAnsi="Times New Roman"/>
          <w:sz w:val="20"/>
        </w:rPr>
        <w:t xml:space="preserve">). Any amounts of Additional Interest due pursuant to this Section 5 will be paid in cash on the relevant Interest Payment Date to Holders of record on the relevant regular record dates. Following the cure of all Registration Defaults relating to any particular Registrable Notes, the interest rate borne by the relevant Registrable Notes will be reduced to the original interest rate borne by such Registrable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after any such reduction in interest rate, a different Registration Default occurs, the interest rate borne by the relevant Registrable Notes shall again be increased pursuant to the foregoing provisions. </w:t>
      </w:r>
    </w:p>
    <w:p>
      <w:pPr>
        <w:pStyle w:val="TextBody"/>
        <w:bidi w:val="0"/>
        <w:spacing w:before="240" w:after="0"/>
        <w:jc w:val="left"/>
        <w:rPr>
          <w:rFonts w:ascii="Times New Roman" w:hAnsi="Times New Roman"/>
          <w:sz w:val="20"/>
        </w:rPr>
      </w:pPr>
      <w:r>
        <w:rPr>
          <w:rFonts w:ascii="Times New Roman" w:hAnsi="Times New Roman"/>
          <w:sz w:val="20"/>
        </w:rPr>
        <w:t xml:space="preserve">All obligations of the Company set forth in the preceding paragraph that are outstanding with respect to any Registrable Note at the time such security ceases to be a Registrable Note shall survive until such time as all such obligations with respect to such security shall have been satisfied in full.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 the amount of Additional Interest payable shall not increase because more than one Registration Default has occurred and is pending at any given time and (ii) a Holder of Registrable Notes that has not provided the information required pursuant to Section 4(b) hereof within the time period set forth therein shall not be entitled to Additional Interest with respect to a Registration Default that pertains to the relevant Shelf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i/>
          <w:sz w:val="20"/>
        </w:rPr>
        <w:t>Registration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Exchange Offer Registration Statement. </w:t>
      </w:r>
      <w:r>
        <w:rPr>
          <w:rFonts w:ascii="Times New Roman" w:hAnsi="Times New Roman"/>
          <w:sz w:val="20"/>
        </w:rPr>
        <w:t xml:space="preserve">In connection with the Exchange Offer, the Company shall comply with all of the applicable provisions of Section 6(c) hereof, shall use its commercially reasonable efforts to effect such exchange to permit the sale of Registrable Notes being sold in accordance with the intended method or methods of distribution thereof, and shall comply with all of the following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As a condition to its participation in the Exchange Offer pursuant to the terms of this Agreement, each Holder of Registrable Notes shall furnish, upon the request of the Company, prior to the Consummation thereof, a written representation to the Company (which may be contained in the letter of transmittal contemplated by the Exchange Offer Registration Statement) to the effect that (A) it is not an affiliate of the Company, (B) it is not engaged in, and does not intend to engage in, and has no arrangement or understanding with any Person to participate in, a distribution of the Exchange Notes to be issued in the Exchange Offer, (C) it is acquiring the Exchange Notes in its ordinary course of business, (D) if it is a Broker-Dealer that holds Notes that were acquired for its own account as a result of market-making activities or other trading activities (other than Notes acquired directly from the Company or any of its affiliates), it will deliver a prospectus meeting the requirements of the Securities Act in connection with any resales of the Exchange Notes received by it in the Exchange Offer, and (E) if it is a Broker-Dealer, that it did not purchase the Notes to be exchanged in the Exchange Offer from the Company or any of its affiliates. In addition, all such Holders of Registrable Notes shall otherwise cooperate in the Companys preparations for the Exchange Offer. Each Holder hereby acknowledges and agrees that any Broker-Dealer and any such Holder using the Exchange Offer to participate in a distribution of the securities to be acquired in the Exchange Offer (1) could not under Commission policy as in effect on the date of this Agreement rely on the position of the Commission enunciated in </w:t>
      </w:r>
      <w:r>
        <w:rPr>
          <w:rFonts w:ascii="Times New Roman" w:hAnsi="Times New Roman"/>
          <w:sz w:val="20"/>
          <w:u w:val="single"/>
        </w:rPr>
        <w:t>Morgan Stanley and Co., Inc.</w:t>
      </w:r>
      <w:r>
        <w:rPr>
          <w:rFonts w:ascii="Times New Roman" w:hAnsi="Times New Roman"/>
          <w:sz w:val="20"/>
        </w:rPr>
        <w:t xml:space="preserve"> (available June 5, 1991) and </w:t>
      </w:r>
      <w:r>
        <w:rPr>
          <w:rFonts w:ascii="Times New Roman" w:hAnsi="Times New Roman"/>
          <w:sz w:val="20"/>
          <w:u w:val="single"/>
        </w:rPr>
        <w:t>Exxon Capital Holdings Corporation</w:t>
      </w:r>
      <w:r>
        <w:rPr>
          <w:rFonts w:ascii="Times New Roman" w:hAnsi="Times New Roman"/>
          <w:sz w:val="20"/>
        </w:rPr>
        <w:t xml:space="preserve"> (available May 13, 1988), as interpreted in the Commissions letter to Shearman &amp; Sterling dated July 2, 1993, and similar no-action letters (which may include any no-action letter obtained pursuant to clause (i) above), and (2) must comply with the registration and prospectus delivery requirements of the Securities Act in connection with a secondary resale transaction and that such a secondary resale transaction should be covered by an effective registration statement containing the selling security holder information required by Item 507 or 508, as applicable, of Regulation S-K if the resales are of Exchange Notes obtained by such Holder in exchange for Notes acquired by such Holder directly from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Shelf Registration Statement. </w:t>
      </w:r>
      <w:r>
        <w:rPr>
          <w:rFonts w:ascii="Times New Roman" w:hAnsi="Times New Roman"/>
          <w:sz w:val="20"/>
        </w:rPr>
        <w:t xml:space="preserve">In connection with the Shelf Registration Statement, the Company shall comply with all the provisions of Section 6(c) hereof and shall use its commercially reasonable efforts to effect such registration to permit the sale of the Registrable Notes being sold in accordance with the intended method or methods of distribution thereof, and pursuant thereto the Company will as expeditiously as is commercially reasonable prepare and file with the Commission a Shelf Registration Statement relating to the registration on any appropriate form under the Securities Act, which form shall be available for the sale of the Registrable Notes in accordance with the intended method or methods of distribution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General Provisions. </w:t>
      </w:r>
      <w:r>
        <w:rPr>
          <w:rFonts w:ascii="Times New Roman" w:hAnsi="Times New Roman"/>
          <w:sz w:val="20"/>
        </w:rPr>
        <w:t xml:space="preserve">In connection with any Registration Statement and any Prospectus required by this Agreement to permit the sale or resale of Registrable Notes (including, without limitation, any Registration Statement and the related Prospectus required to permit resales of Notes by Broker-Dealers),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(i) use its commercially reasonable efforts to keep such Registration Statement continuously effective during the period required by this Agreement and provide all requisite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(ii) upon the occurrence of any event that would cause any such Registration Statement or the Prospectus contained therein (A) to contain a material misstatement or omission or (B) not to be effective and usable for resale of Registrable Notes during the period required by this Agreement, the Company shall file promptly an appropriate amendment to such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in the case of clause (A), correcting any such misstatement or omission, and, in the case of either clause (A) or (B), use its commercially reasonable efforts to cause such amendment to become or be declared effective and such Registration Statement and the related Prospectus to become usable for their intended purpose(s) as soon as practicable thereafter; </w:t>
      </w:r>
    </w:p>
    <w:p>
      <w:pPr>
        <w:pStyle w:val="TextBody"/>
        <w:bidi w:val="0"/>
        <w:spacing w:before="120" w:after="0"/>
        <w:jc w:val="left"/>
        <w:rPr>
          <w:rFonts w:ascii="Times New Roman" w:hAnsi="Times New Roman"/>
          <w:sz w:val="20"/>
        </w:rPr>
      </w:pPr>
      <w:r>
        <w:rPr>
          <w:rFonts w:ascii="Times New Roman" w:hAnsi="Times New Roman"/>
          <w:sz w:val="20"/>
        </w:rPr>
        <w:t xml:space="preserve">(iii) prepare and file with the Commission such amendments and post-effective amendments to the applicable Registration Statement as may be necessary to keep the Registration Statement effective for the applicable period set forth in Section 3 or 4 hereof, as applicable, or such shorter period as will terminate when all Registrable Notes covered by such Registration Statement have been sold; cause the Prospectus to be supplemented by any required Prospectus supplement, and as so supplemented to be filed pursuant to Rules 424 or 497 under the Securities Act, and to comply fully with the applicable provisions of Rules 424, 430A and 497 under the Securities Act in a timely manner; and comply with the provisions of the Securities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(iv) advise the underwriter(s), if any, and selling Holders promptly and, if requested by such Persons, to confirm such advice in writing, (A) when the Prospectus or any Prospectus supplement or post-effective amendment has been filed, and, with respect to any Registration Statement or any post-effective amendment thereto, when the same has become or been declared effective, (B) of any request by the Commission for amendments to the Registration Statement or amendments or supplements to the Prospectus or for additional information relating thereto, (C) of the issuance by the Commission of any stop order suspending the effectiveness of the Registration Statement under the Securities Act or of the suspension by any state securities commission of the qualification of the Registrable Notes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or the Prospectus in order to make the statements therein not misleading. If at any time the Commission shall issue any stop order suspending the effectiveness of the Registration Statement, or any state securities commission or other regulatory authority shall issue an order suspending the qualification or exemption from qualification of the Registrable Notes under state securities or blue sky laws, the Company shall use its commercially reasonable efforts to obtain the withdrawal or lifting of such order at the earliest possible time; </w:t>
      </w:r>
    </w:p>
    <w:p>
      <w:pPr>
        <w:pStyle w:val="TextBody"/>
        <w:bidi w:val="0"/>
        <w:spacing w:before="120" w:after="0"/>
        <w:jc w:val="left"/>
        <w:rPr>
          <w:rFonts w:ascii="Times New Roman" w:hAnsi="Times New Roman"/>
          <w:sz w:val="20"/>
        </w:rPr>
      </w:pPr>
      <w:r>
        <w:rPr>
          <w:rFonts w:ascii="Times New Roman" w:hAnsi="Times New Roman"/>
          <w:sz w:val="20"/>
        </w:rPr>
        <w:t xml:space="preserve">(v) furnish without charge to the Initial Purchasers, each selling Holder named in any Registration Statement that has requested such copies, if any, and each of the underwriter(s), if any, before filing with the Commission, copies of any Registration Statement or any Prospectus included therein or any amendments or supplements to any such Registration Statement or Prospectus (other than any documents that will be incorporated by reference in such Registration Statement or Prospectus), which documents will be subject to the review and comment of such requesting Holders and underwriter(s) in connection with such sale, if any, for a period of at least five Business Days, and the Company will not file any such Registration Statement or Prospectus or any amendment or supplement to any such Registration Statement or Prospectus to which the Initial Purchasers of Registrable Notes covered by such Registration Statement or the underwriter(s), if any, shall reasonably object in writing within five Business Days after the receipt thereof (such objection to be deemed timely made upon confirmation of facsimile transmission within such period). The objection of the Initial Purchasers or underwriter, if any, shall be deemed to be reasonable if such Registration Statement, amendment, Prospectus or supplement, as applicable, as proposed to be filed, contains a material misstatement or omission;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make the Companys representatives reasonably available to the Initial Purchasers for customary due diligence matters; </w:t>
      </w:r>
    </w:p>
    <w:p>
      <w:pPr>
        <w:pStyle w:val="TextBody"/>
        <w:bidi w:val="0"/>
        <w:spacing w:before="120" w:after="0"/>
        <w:jc w:val="left"/>
        <w:rPr>
          <w:rFonts w:ascii="Times New Roman" w:hAnsi="Times New Roman"/>
          <w:sz w:val="20"/>
        </w:rPr>
      </w:pPr>
      <w:r>
        <w:rPr>
          <w:rFonts w:ascii="Times New Roman" w:hAnsi="Times New Roman"/>
          <w:sz w:val="20"/>
        </w:rPr>
        <w:t xml:space="preserve">(vii) make available at reasonable times for inspection by the Initial Purchasers, any Holder, the managing underwriter(s), if any, participating in any disposition pursuant to such Registration Statement and any attorney or accountant retained by the Initial Purchasers, Holder or any of the underwriter(s), in each case subject to confidentiality agreements in form and substance customarily entered into by the Initial Purchasers or underwriters, all financial and other records, pertinent corporate documents and properties of the Company and cause the Companys officers, trustees and employees to supply all information reasonably requested by any such Holder, underwriter, attorney or accountant in connection with such Registration Statement or any post-effective amendment thereto subsequent to the filing thereof and prior to its effectiveness and to participate in meetings with investors to the extent reasonably requested by the managing underwriter(s), if any; </w:t>
      </w:r>
    </w:p>
    <w:p>
      <w:pPr>
        <w:pStyle w:val="TextBody"/>
        <w:bidi w:val="0"/>
        <w:spacing w:before="120" w:after="0"/>
        <w:jc w:val="left"/>
        <w:rPr>
          <w:rFonts w:ascii="Times New Roman" w:hAnsi="Times New Roman"/>
          <w:sz w:val="20"/>
        </w:rPr>
      </w:pPr>
      <w:r>
        <w:rPr>
          <w:rFonts w:ascii="Times New Roman" w:hAnsi="Times New Roman"/>
          <w:sz w:val="20"/>
        </w:rPr>
        <w:t xml:space="preserve">(viii) if requested by any selling Holders listed as selling securityholders in any Registration Statement or the underwriter(s), if any, promptly incorporate in any Registration Statement or Prospectus, pursuant to a supplement or post-effective amendment if necessary, such information as such selling Holders and underwriter(s), if any, may reasonably request to have included therein, including, without limitation, information relating to the Plan of Distribution of the Registrable Notes, information with respect to the principal amount of Registrable Notes being sold to such underwriter(s), the purchase price being paid therefor and any other terms of the offering of the Registrable Notes to be sold in such offering; and make all required filings of such Prospectus supplement or post-effective amendment as soon as practicable after the Company is notified of the matters to be incorporated in such Prospectus supplement or post-effective amendment; </w:t>
      </w:r>
    </w:p>
    <w:p>
      <w:pPr>
        <w:pStyle w:val="TextBody"/>
        <w:bidi w:val="0"/>
        <w:spacing w:before="120" w:after="0"/>
        <w:jc w:val="left"/>
        <w:rPr>
          <w:rFonts w:ascii="Times New Roman" w:hAnsi="Times New Roman"/>
          <w:sz w:val="20"/>
        </w:rPr>
      </w:pPr>
      <w:r>
        <w:rPr>
          <w:rFonts w:ascii="Times New Roman" w:hAnsi="Times New Roman"/>
          <w:sz w:val="20"/>
        </w:rPr>
        <w:t xml:space="preserve">(ix) furnish to the Initial Purchasers, each selling Holder and each of the underwriter(s), if any, without charge, at least one copy of the Registration Statement, as first filed with the Commission, and of each amendment thereto, including financial statements and schedules, if requested, all documents incorporated by reference therein and all exhibits (including exhibits incorporated therein by reference), unless, in each case, publicly available; </w:t>
      </w:r>
    </w:p>
    <w:p>
      <w:pPr>
        <w:pStyle w:val="TextBody"/>
        <w:bidi w:val="0"/>
        <w:spacing w:before="120" w:after="0"/>
        <w:jc w:val="left"/>
        <w:rPr>
          <w:rFonts w:ascii="Times New Roman" w:hAnsi="Times New Roman"/>
          <w:sz w:val="20"/>
        </w:rPr>
      </w:pPr>
      <w:r>
        <w:rPr>
          <w:rFonts w:ascii="Times New Roman" w:hAnsi="Times New Roman"/>
          <w:sz w:val="20"/>
        </w:rPr>
        <w:t xml:space="preserve">(x) deliver to each selling Holder and each of the underwriter(s), if any, without charge, as many copies of the Prospectus (including each preliminary prospectus) and any amendment or supplement thereto as such Persons reasonably may request; the Company hereby consent to the use of the Prospectus and any amendment or supplement thereto by each of the selling Holders and each of the underwriter(s), if any, in connection with the offering and the sale of the Registrable Notes covered by the Prospectus or any amendment or supplement thereto; </w:t>
      </w:r>
    </w:p>
    <w:p>
      <w:pPr>
        <w:pStyle w:val="TextBody"/>
        <w:bidi w:val="0"/>
        <w:spacing w:before="120" w:after="0"/>
        <w:jc w:val="left"/>
        <w:rPr>
          <w:rFonts w:ascii="Times New Roman" w:hAnsi="Times New Roman"/>
          <w:sz w:val="20"/>
        </w:rPr>
      </w:pPr>
      <w:r>
        <w:rPr>
          <w:rFonts w:ascii="Times New Roman" w:hAnsi="Times New Roman"/>
          <w:sz w:val="20"/>
        </w:rPr>
        <w:t xml:space="preserve">(xi) in connection with an underwritten offering pursuant to a Shelf Registration Statement, enter into such agreements (including an underwriting agreement), and make such representations and warranties, and take all such other commercially reasonable actions in connection therewith in order to expedite or facilitate the disposition of the Registrable Notes. In furtherance of the foregoing, the Company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furnish to the Initial Purchasers, each selling Holder and each underwriter in such substance and scope as they may reasonably request and as are customarily made by issuers to underwriters in primary underwritten offerings, upon the date of the effectiveness of the Shelf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(1) a certificate, dated the effectiveness of the Shelf Registration Statement, signed by (y) the Chief Executive Officer, the President or any Vice President and (z) a principal financial or accounting officer of the Company, confirming customary matters; </w:t>
      </w:r>
    </w:p>
    <w:p>
      <w:pPr>
        <w:pStyle w:val="TextBody"/>
        <w:bidi w:val="0"/>
        <w:spacing w:before="120" w:after="0"/>
        <w:jc w:val="left"/>
        <w:rPr>
          <w:rFonts w:ascii="Times New Roman" w:hAnsi="Times New Roman"/>
          <w:sz w:val="20"/>
        </w:rPr>
      </w:pPr>
      <w:r>
        <w:rPr>
          <w:rFonts w:ascii="Times New Roman" w:hAnsi="Times New Roman"/>
          <w:sz w:val="20"/>
        </w:rPr>
        <w:t xml:space="preserve">(2) if requested by a majority of selling Holders, an opinion, dated the date of effectiveness of the Shelf Registration Statement, of counsel for the Company, covering the matters customarily covered in opinions requested in underwritten offerings; </w:t>
      </w:r>
    </w:p>
    <w:p>
      <w:pPr>
        <w:pStyle w:val="TextBody"/>
        <w:bidi w:val="0"/>
        <w:spacing w:before="120" w:after="0"/>
        <w:jc w:val="left"/>
        <w:rPr>
          <w:rFonts w:ascii="Times New Roman" w:hAnsi="Times New Roman"/>
          <w:sz w:val="20"/>
        </w:rPr>
      </w:pPr>
      <w:r>
        <w:rPr>
          <w:rFonts w:ascii="Times New Roman" w:hAnsi="Times New Roman"/>
          <w:sz w:val="20"/>
        </w:rPr>
        <w:t xml:space="preserve">(3) a customary comfort letter, dated the date of effectiveness of the Shelf Registration Statement, from the Companys independent accountants, in the customary form and covering matters of the type customarily requested to be covered in comfort letters by underwriters in connection with primary underwritten offerings; </w:t>
      </w:r>
    </w:p>
    <w:p>
      <w:pPr>
        <w:pStyle w:val="TextBody"/>
        <w:bidi w:val="0"/>
        <w:spacing w:before="120" w:after="0"/>
        <w:jc w:val="left"/>
        <w:rPr>
          <w:rFonts w:ascii="Times New Roman" w:hAnsi="Times New Roman"/>
          <w:sz w:val="20"/>
        </w:rPr>
      </w:pPr>
      <w:r>
        <w:rPr>
          <w:rFonts w:ascii="Times New Roman" w:hAnsi="Times New Roman"/>
          <w:sz w:val="20"/>
        </w:rPr>
        <w:t xml:space="preserve">(B) set forth in full or incorporate by reference in the underwriting agreement, if any, the indemnification provisions and procedures of Section 8 hereof with respect to all parties to be indemnified pursuant to said Section; and </w:t>
      </w:r>
    </w:p>
    <w:p>
      <w:pPr>
        <w:pStyle w:val="TextBody"/>
        <w:bidi w:val="0"/>
        <w:spacing w:before="120" w:after="0"/>
        <w:jc w:val="left"/>
        <w:rPr>
          <w:rFonts w:ascii="Times New Roman" w:hAnsi="Times New Roman"/>
          <w:sz w:val="20"/>
        </w:rPr>
      </w:pPr>
      <w:r>
        <w:rPr>
          <w:rFonts w:ascii="Times New Roman" w:hAnsi="Times New Roman"/>
          <w:sz w:val="20"/>
        </w:rPr>
        <w:t xml:space="preserve">(C) deliver such other documents and certificates as may be reasonably requested by such parties to evidence compliance with Section 6(c)(xi)(A) hereof and with any customary conditions contained in the underwriting agreement or other agreement entered into by the Company pursuant to this Section 6(c)(xi), if any.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the representations and warranties of the Company contemplated in Section 6(c)(xi)(A)(1) hereof cease to be true and correct, the Company shall so advise the Initial Purchasers and the underwriter(s), if any, and each selling Holder promptly and, if requested by such Persons, shall confirm such advice in writing; </w:t>
      </w:r>
    </w:p>
    <w:p>
      <w:pPr>
        <w:pStyle w:val="TextBody"/>
        <w:bidi w:val="0"/>
        <w:spacing w:before="120" w:after="0"/>
        <w:jc w:val="left"/>
        <w:rPr>
          <w:rFonts w:ascii="Times New Roman" w:hAnsi="Times New Roman"/>
          <w:sz w:val="20"/>
        </w:rPr>
      </w:pPr>
      <w:r>
        <w:rPr>
          <w:rFonts w:ascii="Times New Roman" w:hAnsi="Times New Roman"/>
          <w:sz w:val="20"/>
        </w:rPr>
        <w:t xml:space="preserve">(xii) prior to any public offering of Registrable Notes, cooperate with the selling Holders, the underwriter(s), if any, and their respective counsel in connection with the registration and qualification of the Registrable Notes under the state securities or blue sky laws of such jurisdictions as the selling Holders or underwriter(s), if any, may request and do any and all other acts or things necessary or advisable to enable the disposition in such jurisdictions of the Registrable Notes covered by the Shelf Registration Statement; </w:t>
      </w:r>
      <w:r>
        <w:rPr>
          <w:rFonts w:ascii="Times New Roman" w:hAnsi="Times New Roman"/>
          <w:i/>
          <w:sz w:val="20"/>
        </w:rPr>
        <w:t>provided, however</w:t>
      </w:r>
      <w:r>
        <w:rPr>
          <w:rFonts w:ascii="Times New Roman" w:hAnsi="Times New Roman"/>
          <w:sz w:val="20"/>
        </w:rPr>
        <w:t xml:space="preserve">, that the Company shall not be required to register or qualify as a foreign corporation where it is not then so qualified or to take any action that would subject it to the service of process in suits or to taxation, other than as to matters and transactions relating to the Registration Statement, in any jurisdiction where it is not then so subject; </w:t>
      </w:r>
    </w:p>
    <w:p>
      <w:pPr>
        <w:pStyle w:val="TextBody"/>
        <w:bidi w:val="0"/>
        <w:spacing w:before="120" w:after="0"/>
        <w:jc w:val="left"/>
        <w:rPr>
          <w:rFonts w:ascii="Times New Roman" w:hAnsi="Times New Roman"/>
          <w:sz w:val="20"/>
        </w:rPr>
      </w:pPr>
      <w:r>
        <w:rPr>
          <w:rFonts w:ascii="Times New Roman" w:hAnsi="Times New Roman"/>
          <w:sz w:val="20"/>
        </w:rPr>
        <w:t xml:space="preserve">(xiii) in the case of a Shelf Registration Statement, shall issue, upon the request of any Holder of Notes covered by the Shelf Registration Statement and only in connection with any valid sale of Notes by such Holder pursuant to such registration statement (and provided that such Holder delivers such certificates or opinions reasonably requested by the Company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such sale), Exchange Notes having an aggregate principal amount equal to the aggregate principal amount of Notes surrendered to the Company by such Holder in exchange therefor or being sold by such Holder; such Exchange Notes to be registered in the name of such Holder or in the name of the purchaser(s) of such Exchange Notes, as the case may be; in return, the Notes held by such Holder shall be surrendered to the Company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(xiv) in the case of a Shelf Registration Statement, and subject to the forms of the Indenture, cooperate with the selling Holders and the underwriter(s), if any, to facilitate the timely preparation and delivery of certificates or book-entry receipts, as applicable, representing Registrable Notes to be sold and not bearing any restrictive legends; and enable such Registrable Notes or such book-entry receipts, as applicable, to be in such denominations and registered in such names as the Holders or the underwriter(s), if any, may request at least two Business Days prior to any sale of Registrable Notes made by such Holders or underwriter(s); </w:t>
      </w:r>
    </w:p>
    <w:p>
      <w:pPr>
        <w:pStyle w:val="TextBody"/>
        <w:bidi w:val="0"/>
        <w:spacing w:before="120" w:after="0"/>
        <w:jc w:val="left"/>
        <w:rPr>
          <w:rFonts w:ascii="Times New Roman" w:hAnsi="Times New Roman"/>
          <w:sz w:val="20"/>
        </w:rPr>
      </w:pPr>
      <w:r>
        <w:rPr>
          <w:rFonts w:ascii="Times New Roman" w:hAnsi="Times New Roman"/>
          <w:sz w:val="20"/>
        </w:rPr>
        <w:t xml:space="preserve">(xv) use its commercially reasonable efforts to cause the Registrable Notes covered by the Registration Statement to be registered with or approved by such other governmental agencies or authorities as may be necessary to enable the seller or sellers thereof or the underwriter(s), if any, to consummate the disposition of such Registrable Notes, subject to the proviso contained in Section 6(c)(xii) hereof; </w:t>
      </w:r>
    </w:p>
    <w:p>
      <w:pPr>
        <w:pStyle w:val="TextBody"/>
        <w:bidi w:val="0"/>
        <w:spacing w:before="120" w:after="0"/>
        <w:jc w:val="left"/>
        <w:rPr>
          <w:rFonts w:ascii="Times New Roman" w:hAnsi="Times New Roman"/>
          <w:sz w:val="20"/>
        </w:rPr>
      </w:pPr>
      <w:r>
        <w:rPr>
          <w:rFonts w:ascii="Times New Roman" w:hAnsi="Times New Roman"/>
          <w:sz w:val="20"/>
        </w:rPr>
        <w:t xml:space="preserve">(xvi) if any fact or event contemplated by Section 6(c)(iv)(D) hereof shall exist or have occurred, prepare a supplement or post-effective amendment to the Registration Statement or related Prospectus or any document incorporated therein by reference or file any other required document so that, as thereafter delivered to the purchasers of Registrable Notes, the Prospectus will not contain an untrue statement of a material fact or omit to state any material fact necessary in order to make the statements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(xvii) not later than the effective date of the Registration Statement covering such Exchange Notes, provide that the CUSIP and ISIN numbers for all Exchange Notes shall be the same unrestricted CUSIP and ISIN numbers as borne by the Existing Notes and provide the Trustee under the Indenture with printed certificates for such Exchange Notes which are in a form eligible for deposit with the Depository Trust Company and take all other action necessary to ensure that all such Exchange Notes are eligible for deposit with the Depository Trust Company; </w:t>
      </w:r>
    </w:p>
    <w:p>
      <w:pPr>
        <w:pStyle w:val="TextBody"/>
        <w:bidi w:val="0"/>
        <w:spacing w:before="120" w:after="0"/>
        <w:jc w:val="left"/>
        <w:rPr>
          <w:rFonts w:ascii="Times New Roman" w:hAnsi="Times New Roman"/>
          <w:sz w:val="20"/>
        </w:rPr>
      </w:pPr>
      <w:r>
        <w:rPr>
          <w:rFonts w:ascii="Times New Roman" w:hAnsi="Times New Roman"/>
          <w:sz w:val="20"/>
        </w:rPr>
        <w:t xml:space="preserve">(xviii) cooperate and assist in any filings required to be made with the FINRA and in the performance of any due diligence investigation by any underwriter (including any qualified independent underwriter) that is required to be retained in accordance with the rules and regulations of the FINRA; </w:t>
      </w:r>
    </w:p>
    <w:p>
      <w:pPr>
        <w:pStyle w:val="TextBody"/>
        <w:bidi w:val="0"/>
        <w:spacing w:before="120" w:after="0"/>
        <w:jc w:val="left"/>
        <w:rPr>
          <w:rFonts w:ascii="Times New Roman" w:hAnsi="Times New Roman"/>
          <w:sz w:val="20"/>
        </w:rPr>
      </w:pPr>
      <w:r>
        <w:rPr>
          <w:rFonts w:ascii="Times New Roman" w:hAnsi="Times New Roman"/>
          <w:sz w:val="20"/>
        </w:rPr>
        <w:t xml:space="preserve">(xix) otherwise use its commercially reasonable efforts to comply with all applicable rules and regulations of the Commission, and make generally available to its security holders, as soon as practicable, a consolidated earnings statement meeting the requirements of Rule 158 under the Securities Act (which need not be audited) for the twelve-month period (A) commencing at the end of any fiscal quarter in which Registrable Notes are sold to underwriters in a firm commitment or commercially reasonable efforts Underwritten Offering or (B) if not sold to underwriters in such an offering, beginning with the first month of the Companys first fiscal quarter commencing after the effective date of the Registration Statement;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 cause the Indenture to continue to be qualified under the Trust Indenture Act as of, and not later than the effective date of the first Registration Statement required by this Agreement, and, in connection therewith, cooperate with the Trustee and the Holders of Exchange Notes to effect such changes to the Indenture as may be required for such Indenture to remain so qualified in accordance with the terms of the Trust Indenture Act; and to execute and use its commercially reasonable efforts to cause the Trustee to execute, all documents that may be required to effect such changes and all other forms and documents required to be filed with the Commission to enable such Indenture to be so qualified in a timely manner. </w:t>
      </w:r>
    </w:p>
    <w:p>
      <w:pPr>
        <w:pStyle w:val="TextBody"/>
        <w:bidi w:val="0"/>
        <w:spacing w:before="240" w:after="0"/>
        <w:jc w:val="left"/>
        <w:rPr>
          <w:rFonts w:ascii="Times New Roman" w:hAnsi="Times New Roman"/>
          <w:sz w:val="20"/>
        </w:rPr>
      </w:pPr>
      <w:r>
        <w:rPr>
          <w:rFonts w:ascii="Times New Roman" w:hAnsi="Times New Roman"/>
          <w:sz w:val="20"/>
        </w:rPr>
        <w:t>Each Holder agrees by acquisition of a Registrable Note that, upon receipt of any notice from the Company of the existence of any fact of the kind described in Section 6(c)(iv)(D) hereof or any Suspension Period, such Holder will forthwith discontinue disposition of Registrable Notes pursuant to the applicable Registration Statement until such Holders receipt of the copies of the supplemented or amended Prospectus contemplated by Section 6(c)(xvi) hereof, or until it is advised in writing (the </w:t>
      </w:r>
      <w:r>
        <w:rPr>
          <w:rFonts w:ascii="Times New Roman" w:hAnsi="Times New Roman"/>
          <w:b/>
          <w:i/>
          <w:sz w:val="20"/>
        </w:rPr>
        <w:t>Advice</w:t>
      </w:r>
      <w:r>
        <w:rPr>
          <w:rFonts w:ascii="Times New Roman" w:hAnsi="Times New Roman"/>
          <w:sz w:val="20"/>
        </w:rPr>
        <w:t xml:space="preserve">) by the Company that the use of the Prospectus may be resumed, and has received copies of any additional or supplemental filings that are incorporated by reference in the Prospectus. If so directed by the Company, each Holder will deliver to the Company (at the Companys expense) all copies, other than permanent file copies then in such Holders possession, of the Prospectus covering such Registrable Notes that was current at the time of receipt of such notice. In the event the Company shall give any such notice, the time period regarding the effectiveness of such Registration Statement set forth in Section 3 or 4 hereof, as applicable, shall be extended by the number of days during the period from and including the date of the giving of such notice pursuant to Section 6(c)(iv)(D) hereof or notice of any Suspension Period to and including the date when each selling Holder covered by such Registration Statement shall have received the copies of the supplemented or amended Prospectus contemplated by Section 6(c)(xvi) hereof or shall have received the Advice; </w:t>
      </w:r>
      <w:r>
        <w:rPr>
          <w:rFonts w:ascii="Times New Roman" w:hAnsi="Times New Roman"/>
          <w:i/>
          <w:sz w:val="20"/>
        </w:rPr>
        <w:t>provided, however,</w:t>
      </w:r>
      <w:r>
        <w:rPr>
          <w:rFonts w:ascii="Times New Roman" w:hAnsi="Times New Roman"/>
          <w:sz w:val="20"/>
        </w:rPr>
        <w:t xml:space="preserve"> that no such extension shall be taken into account in determining whether Additional Interest is due pursuant to Section 5 hereof or the amount of such Additional Interest, it being agreed that the Companys option to suspend use of a Registration Statement pursuant to this paragraph shall be treated as a Registration Default for purposes of Section 5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i/>
          <w:sz w:val="20"/>
        </w:rPr>
        <w:t>Registration Expenses</w:t>
      </w:r>
      <w:r>
        <w:rPr>
          <w:rFonts w:ascii="Times New Roman" w:hAnsi="Times New Roman"/>
          <w:sz w:val="20"/>
        </w:rPr>
        <w:t xml:space="preserve">. All expenses incident to the Companys performance of or compliance with this Agreement will be borne by the Company regardless of whether a Registration Statement becomes or is declared effective, including, without limitation: (i) all registration and filing fees and expenses (including filings made by the Initial Purchasers or Holder with the FINRA (and, if applicable, the fees and expenses of any qualified independent underwriter and its counsel that may be required by the rules and regulations of the FINRA)); (ii) all fees and expenses of compliance with federal securities and state securities or blue sky laws; (iii) all expenses of printing (including printing certificates for the Exchange Notes to be issued in the Exchange Offer and printing of Prospectuses), messenger and delivery services and telephone; (iv) all fees and disbursements of counsel for the Company; (v) application and filing fees in connection with listing the Notes on a securities exchange or automated quotation system pursuant to the requirements thereof; and (vi) all fees and disbursements of independent certified public accountants of the Company (including the expenses of any special audit and comfort letters required by or incident to such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in any event, bear its internal expenses (including, without limitation, all salaries and expenses of its officers and employees performing legal or accounting duties), the expenses of any annual audit and the fees and expenses of any Person, including special experts, retained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 </w:t>
      </w:r>
      <w:r>
        <w:rPr>
          <w:rFonts w:ascii="Times New Roman" w:hAnsi="Times New Roman"/>
          <w:i/>
          <w:sz w:val="20"/>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(i) each Holder and (ii) each Person, if any, who controls (within the meaning of Section 15 of the Securities Act or Section 20 of the Exchange Act) any Holder (any of the Persons referred to in this clause (ii) being hereinafter referred to as a </w:t>
      </w:r>
      <w:r>
        <w:rPr>
          <w:rFonts w:ascii="Times New Roman" w:hAnsi="Times New Roman"/>
          <w:b/>
          <w:i/>
          <w:sz w:val="20"/>
        </w:rPr>
        <w:t>Controlling Person</w:t>
      </w:r>
      <w:r>
        <w:rPr>
          <w:rFonts w:ascii="Times New Roman" w:hAnsi="Times New Roman"/>
          <w:sz w:val="20"/>
        </w:rPr>
        <w:t>) and (iii) the respective officers, trustees, partners, employees, representatives and agents of any Holder or any Controlling Person (any Person referred to in clause (i), (ii) or (iii) may hereinafter be referred to as an </w:t>
      </w:r>
      <w:r>
        <w:rPr>
          <w:rFonts w:ascii="Times New Roman" w:hAnsi="Times New Roman"/>
          <w:b/>
          <w:i/>
          <w:sz w:val="20"/>
        </w:rPr>
        <w:t>Indemnified Holder</w:t>
      </w:r>
      <w:r>
        <w:rPr>
          <w:rFonts w:ascii="Times New Roman" w:hAnsi="Times New Roman"/>
          <w:sz w:val="20"/>
        </w:rPr>
        <w:t xml:space="preserve">), to the fullest extent lawful, from and against any and all losses, claims, damages, liabilities, judgments, actions and expenses (including, without limitation, and as incurred, reimbursement of all reasonable costs of investigating, preparing, pursuing, settling, compromising, paying or defending any claim or action, or any investigation or proceeding by any governmental agency or body, commenced or threatened, including the reasonable and documented fees and expenses of counsel to any Indemnified Holder), joint or several, directly or indirectly caused by, related to, based upon, arising out of or in connection with any untrue statement or alleged untrue statement of a material fact contained in any Registration Statement or Prospectus (or any amendment or supplement thereto), or any omission or alleged omission to state therein a material fact required to be stated therein or necessary to make the statements therein (in the case of any Prospectus, in the light of the circumstances under which they were made), not misleading, except insofar as such losses, claims, damages, liabilities or expenses are caused by an untrue statement or omission or alleged untrue statement or omission that is made in reliance upon and in conformity with information relating to any of the Holders furnished in writing to the Company by or on behalf of any of the Holders expressly for use therein. This indemnity agreement shall be in addition to any liability which the Company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In case any action or proceeding (including any governmental or regulatory investigation or proceeding) shall be brought or asserted against any of the Indemnified Holders with respect to which indemnity may be sought against the Company, such Indemnified Holder (or the Indemnified Holder controlled by such Controlling Person) shall promptly notify the Company in writing; </w:t>
      </w:r>
      <w:r>
        <w:rPr>
          <w:rFonts w:ascii="Times New Roman" w:hAnsi="Times New Roman"/>
          <w:i/>
          <w:sz w:val="20"/>
        </w:rPr>
        <w:t>provided, however,</w:t>
      </w:r>
      <w:r>
        <w:rPr>
          <w:rFonts w:ascii="Times New Roman" w:hAnsi="Times New Roman"/>
          <w:sz w:val="20"/>
        </w:rPr>
        <w:t xml:space="preserve"> that the failure to give such notice shall not relieve any of the Company of its obligations pursuant to this Agreement unless and to the extent the Company did not otherwise learn of such action and such failure results in the forfeiture by the Company of substantial rights and defenses. Such Indemnified Holder shall have the right to employ its own counsel in any such action and the reasonable and documented fees and expenses of such counsel shall be paid, as incurred, by the Company (regardless of whether it is ultimately determined that an Indemnified Holder is not entitled to indemnification hereunder). The Company shall not, in connection with any one such action or proceeding or separate but substantially similar or related actions or proceedings in the same jurisdiction arising out of the same general allegations or circumstances, be liable for the reasonable and documented fees and expenses of more than one separate firm of attorneys (in addition to one local counsel for all indemnified parties taken as a whole in each jurisdiction reasonably required and, in the event of an actual conflict, one additional counsel in each relevant jurisdiction for the affected indemnified parties similarly situated taken as a whole) at any time for such Indemnified Holders, which firm shall be designated by the Holders. The Company shall be liable for any settlement of any such action or proceeding effected with the Companys prior written consent, which consent shall not be unreasonably withheld or delayed, and the Company agrees to indemnify and hold harmless any Indemnified Holder from and against any loss, claim, damage, liability or expense by reason of any settlement of any action effected with the written consent of the Company. The Company shall not, without the prior written consent of each Indemnified Holder, settle or compromise or consent to the entry of judgment in or otherwise seek to terminate any pending or threatened action, claim, litigation or proceeding in respect of which indemnification or contribution may be sought hereunder (whether or not any Indemnified Holder is a party thereto), unless such settlement, compromise, consent or termination (i) includes a complete and unconditional release of each Indemnified Holder from all liability arising out of such action, claim, litigation or proceeding and (ii) does not include a statement as to or an admission of fault, culpability or a failure to act, by or on behalf of any Indemnified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Holder of Registrable Notes agrees, severally and not jointly, to indemnify and hold harmless the Company and its trustees and officers who sign a Registration Statement, and any Person controlling (within the meaning of Section 15 of the Securities Act or Section 20 of the Exchange Act) the Company and its officers, trustees, partners, employees, representatives and agents, to the same extent as the foregoing indemnity from the Company to each of the Indemnified Holders, but only with respect to claims and actions based on information relating to such Holder furnished in writing by or on behalf of such Holder expressly for use in any Registration Statement. In case any action or proceeding shall be brought against the Company or its trustees or officers or any such Controlling Person in respect of which indemnity may be sought against a Holder of Registrable Notes, such Holder shall have the rights and duties given to the Company, and the Company and its trustees and officers and such Controlling Person shall have the rights and duties given to each Holder by the preceding paragraph. This indemnity agreement shall be in addition to any liability which Holders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(c) If the indemnification provided for in this Section 8 is unavailable to an indemnified party under Section 8(a) or (b) hereof (other than by reason of exceptions provided in those Sections) in respect of any losses, claims, damages, liabilities, judgments, actions or expenses referred to therein, then each applicable indemnifying party, in lieu of indemnifying such indemnified party, shall contribute to the amount paid or payable by such indemnified party as a result of such losses, claims, damages, liabilities, judgments, actions or expenses in such proportion as is appropriate to reflect the relative benefits received by the Company, on the one hand, and the Holders, on the other hand, from the Initial Placement (which in the case of the Company shall be deemed to be equal to the total gross proceeds to the Company from the Initial Placement), the amount of Additional Interest which did not become payable as a result of the filing of the Registration Statement resulting in such losses, claims, damages, liabilities, judgments, actions or expenses, and such Registration Statement, or if such allocation is not permitted by applicable law, the relative fault of the Company, on the one hand, and the Holders, on the other hand, in connection with the statements or omissions which resulted in such losses, claims, damages, liabilities or expenses, as well as any other relevant equitable considerations. The relative fault of the Company, on the one hand, and of the Indemnified Holder, on the other hand, shall be determined by reference to, among other things, whether the untrue or alleged untrue statement of a material fact or the omission or alleged omission to state a material fact relates to information supplied by the Company, on the one hand, or the Indemnified Holders, on the other hand,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the second paragraph of Section 8(a) hereof, any legal or other fees or expenses reasonably incurred by such party in connection with investigating or defending any action or claim.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each Holder of Registrable Notes agrees that it would not be just and equitable if contribution pursuant to this Section 8(c)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expenses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8, none of the Holders (and its related Indemnified Holders) shall be required to contribute,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aggregate, any amount in excess of the amount by which the total discount received by such Holder with respect to the Notes exceeds the amount of any damages which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Section 8(c) are several in proportion to the respective principal amount of Notes held by each of the Holders hereunder and not joint.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i/>
          <w:sz w:val="20"/>
        </w:rPr>
        <w:t xml:space="preserve">Rule 144A. </w:t>
      </w:r>
      <w:r>
        <w:rPr>
          <w:rFonts w:ascii="Times New Roman" w:hAnsi="Times New Roman"/>
          <w:sz w:val="20"/>
        </w:rPr>
        <w:t xml:space="preserve">The Company hereby agrees with each Holder, for so long as any Registrable Notes remain outstanding, to make available to any Holder or beneficial owner of Registrable Notes in connection with any sale thereof and any prospective purchaser of such Registrable Notes from such Holder or beneficial owner, the information required by Rule 144A(d)(4) under the Securities Act in order to permit resales of such Registrable Notes pursuant to Rule 144A under the Securities Act, unless the Company is then subject to Section 13 or 15(d)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i/>
          <w:sz w:val="20"/>
        </w:rPr>
        <w:t xml:space="preserve">Participation in Underwritten Registrations. </w:t>
      </w:r>
      <w:r>
        <w:rPr>
          <w:rFonts w:ascii="Times New Roman" w:hAnsi="Times New Roman"/>
          <w:sz w:val="20"/>
        </w:rPr>
        <w:t xml:space="preserve">No Holder may participate in any Underwritten Registration hereunder unless such Holder (a) agrees to sell such Holders Registrable Notes on the basis provided in any underwriting arrangements approved by the Persons entitled hereunder to approve such arrangements and (b) completes and executes all reasonable questionnaires, powers of attorney, indemnities, underwriting agreements, lock-up letters and other documents required under the terms of such underwriting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i/>
          <w:sz w:val="20"/>
        </w:rPr>
        <w:t xml:space="preserve">Selection of Underwriters. </w:t>
      </w:r>
      <w:r>
        <w:rPr>
          <w:rFonts w:ascii="Times New Roman" w:hAnsi="Times New Roman"/>
          <w:sz w:val="20"/>
        </w:rPr>
        <w:t xml:space="preserve">If requested by the Holders of a majority in aggregate principal amount of the Registrable Notes covered by the Shelf Registration Statement, the Holders of Registrable Notes covered by the Shelf Registration Statement who desire to do so may sell such Registrable Notes in an Underwritten Offering. In such Underwritten Offering, the investment banker(s) and managing underwriter(s) that will administer such offering will be selected by the Holders of a majority in aggregate principal amount of the Registrable Notes included in such offering; </w:t>
      </w:r>
      <w:r>
        <w:rPr>
          <w:rFonts w:ascii="Times New Roman" w:hAnsi="Times New Roman"/>
          <w:i/>
          <w:sz w:val="20"/>
        </w:rPr>
        <w:t>provided, however</w:t>
      </w:r>
      <w:r>
        <w:rPr>
          <w:rFonts w:ascii="Times New Roman" w:hAnsi="Times New Roman"/>
          <w:sz w:val="20"/>
        </w:rPr>
        <w:t xml:space="preserve">, that such investment banker(s) and managing underwriter(s) must be reasonably satisfactory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i/>
          <w:sz w:val="20"/>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Remedies. </w:t>
      </w:r>
      <w:r>
        <w:rPr>
          <w:rFonts w:ascii="Times New Roman" w:hAnsi="Times New Roman"/>
          <w:sz w:val="20"/>
        </w:rPr>
        <w:t xml:space="preserve">The Company hereby agrees that monetary damages would not be adequate compensation for any loss incurred by reason of a breach by it of the provisions of this Agreement and hereby agrees to waive the defense in any action for specific performance that a remedy at law would be adequate.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No Inconsistent Agreements. </w:t>
      </w:r>
      <w:r>
        <w:rPr>
          <w:rFonts w:ascii="Times New Roman" w:hAnsi="Times New Roman"/>
          <w:sz w:val="20"/>
        </w:rPr>
        <w:t xml:space="preserve">The Company will not on or after the date of this Agreement enter into any agreement with respect to its securities that is inconsistent with the rights granted to the Holders in this Agreement or otherwise conflicts with the provisions hereof. The rights granted to the Holders hereunder do not in any way conflict with and are not inconsistent with the rights granted to the holders of the Companys securities under any agreement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Adjustments Affecting the Notes. </w:t>
      </w:r>
      <w:r>
        <w:rPr>
          <w:rFonts w:ascii="Times New Roman" w:hAnsi="Times New Roman"/>
          <w:sz w:val="20"/>
        </w:rPr>
        <w:t xml:space="preserve">The Company will not take any action, or permit any change to occur, with respect to the Registrable Notes that would materially and adversely affect the ability of the Holders to Consummate any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Amendments and Waivers. </w:t>
      </w:r>
      <w:r>
        <w:rPr>
          <w:rFonts w:ascii="Times New Roman" w:hAnsi="Times New Roman"/>
          <w:sz w:val="20"/>
        </w:rPr>
        <w:t xml:space="preserve">The provisions of this Agreement may not be amended, modified or supplemented, and waivers or consents to or departures from the provisions hereof may not be given unless the Company have (i) in the case of Section 5 hereof and this Section 12(d)(i), obtained the written consent of Holders of all outstanding Registrable Notes and (ii) in the case of all other provisions hereof, obtained the written consent of Holders of a majority of the outstanding principal amount of Registrable Notes (excluding any Registrable Notes held by the Company or its Affiliates). Notwithstanding the foregoing, a waiver or consent to departure from the provisions hereof that relates exclusively to the rights of Holders whose securities are being tendered pursuant to the Exchange Offer and that does not affect directly or indirectly the rights of other Holders whose securities are not being tendered pursuant to such Exchange Offer may be given by the Holders of a majority of the outstanding principal amount of Registrable Notes being tendered or registered; </w:t>
      </w:r>
      <w:r>
        <w:rPr>
          <w:rFonts w:ascii="Times New Roman" w:hAnsi="Times New Roman"/>
          <w:i/>
          <w:sz w:val="20"/>
        </w:rPr>
        <w:t>provided, however,</w:t>
      </w:r>
      <w:r>
        <w:rPr>
          <w:rFonts w:ascii="Times New Roman" w:hAnsi="Times New Roman"/>
          <w:sz w:val="20"/>
        </w:rPr>
        <w:t xml:space="preserve"> that, with respect to any matter that directly or indirectly affects the rights of the Initial Purchasers hereunder, the Company shall obtain the written consent of the Initial Purchasers with respect to which such amendment, qualification, supplement, waiver, consent or departure is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Notices. </w:t>
      </w:r>
      <w:r>
        <w:rPr>
          <w:rFonts w:ascii="Times New Roman" w:hAnsi="Times New Roman"/>
          <w:sz w:val="20"/>
        </w:rPr>
        <w:t xml:space="preserve">All notices and other communications provided for or permitted hereunder shall be made in writing by hand-delivery, first-class mail (registered or certified, return receipt requested), or air courier guaranteeing overnight delivery: </w:t>
      </w:r>
    </w:p>
    <w:p>
      <w:pPr>
        <w:pStyle w:val="TextBody"/>
        <w:bidi w:val="0"/>
        <w:spacing w:before="120" w:after="0"/>
        <w:jc w:val="left"/>
        <w:rPr>
          <w:rFonts w:ascii="Times New Roman" w:hAnsi="Times New Roman"/>
          <w:sz w:val="20"/>
        </w:rPr>
      </w:pPr>
      <w:r>
        <w:rPr>
          <w:rFonts w:ascii="Times New Roman" w:hAnsi="Times New Roman"/>
          <w:sz w:val="20"/>
        </w:rPr>
        <w:t xml:space="preserve">(i) if to a Holder, at the address set forth on the records of the Registrar under the Indenture, with a copy to the Registrar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(ii) 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Sixth Street Lending Partners </w:t>
      </w:r>
    </w:p>
    <w:p>
      <w:pPr>
        <w:pStyle w:val="TextBody"/>
        <w:bidi w:val="0"/>
        <w:spacing w:before="0" w:after="0"/>
        <w:jc w:val="left"/>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left"/>
        <w:rPr>
          <w:rFonts w:ascii="Times New Roman" w:hAnsi="Times New Roman"/>
          <w:sz w:val="20"/>
        </w:rPr>
      </w:pPr>
      <w:r>
        <w:rPr>
          <w:rFonts w:ascii="Times New Roman" w:hAnsi="Times New Roman"/>
          <w:sz w:val="20"/>
        </w:rPr>
        <w:t xml:space="preserve">Dallas, TX 75201 </w:t>
      </w:r>
    </w:p>
    <w:p>
      <w:pPr>
        <w:pStyle w:val="TextBody"/>
        <w:bidi w:val="0"/>
        <w:spacing w:before="0" w:after="0"/>
        <w:jc w:val="left"/>
        <w:rPr>
          <w:rFonts w:ascii="Times New Roman" w:hAnsi="Times New Roman"/>
          <w:sz w:val="20"/>
        </w:rPr>
      </w:pPr>
      <w:r>
        <w:rPr>
          <w:rFonts w:ascii="Times New Roman" w:hAnsi="Times New Roman"/>
          <w:sz w:val="20"/>
        </w:rPr>
        <w:t xml:space="preserve">Attention: Ian Simmonds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Simpson Thacher &amp; Bartlett LLP </w:t>
      </w:r>
    </w:p>
    <w:p>
      <w:pPr>
        <w:pStyle w:val="TextBody"/>
        <w:bidi w:val="0"/>
        <w:spacing w:before="0" w:after="0"/>
        <w:jc w:val="left"/>
        <w:rPr>
          <w:rFonts w:ascii="Times New Roman" w:hAnsi="Times New Roman"/>
          <w:sz w:val="20"/>
        </w:rPr>
      </w:pPr>
      <w:r>
        <w:rPr>
          <w:rFonts w:ascii="Times New Roman" w:hAnsi="Times New Roman"/>
          <w:sz w:val="20"/>
        </w:rPr>
        <w:t xml:space="preserve">900 G Street, NW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20001 </w:t>
      </w:r>
    </w:p>
    <w:p>
      <w:pPr>
        <w:pStyle w:val="TextBody"/>
        <w:bidi w:val="0"/>
        <w:spacing w:before="0" w:after="0"/>
        <w:jc w:val="left"/>
        <w:rPr>
          <w:rFonts w:ascii="Times New Roman" w:hAnsi="Times New Roman"/>
          <w:sz w:val="20"/>
        </w:rPr>
      </w:pPr>
      <w:r>
        <w:rPr>
          <w:rFonts w:ascii="Times New Roman" w:hAnsi="Times New Roman"/>
          <w:sz w:val="20"/>
        </w:rPr>
        <w:t xml:space="preserve">Attention: Steven Grigoriou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and communications shall be deemed to have been duly given: at the time delivered by hand, if personally delivered; five Business Days after being deposited in the mail, postage prepaid, if mailed; and on the next Business Day, if timely delivered to an air courier guaranteeing overnight delivery. </w:t>
      </w:r>
    </w:p>
    <w:p>
      <w:pPr>
        <w:pStyle w:val="TextBody"/>
        <w:bidi w:val="0"/>
        <w:spacing w:before="240" w:after="0"/>
        <w:jc w:val="left"/>
        <w:rPr>
          <w:rFonts w:ascii="Times New Roman" w:hAnsi="Times New Roman"/>
          <w:sz w:val="20"/>
        </w:rPr>
      </w:pPr>
      <w:r>
        <w:rPr>
          <w:rFonts w:ascii="Times New Roman" w:hAnsi="Times New Roman"/>
          <w:sz w:val="20"/>
        </w:rPr>
        <w:t xml:space="preserve">Copies of all such notices, demands or other communications shall be concurrently delivered by the Person giving the same to the Trustee at the address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Successors and Assigns. </w:t>
      </w:r>
      <w:r>
        <w:rPr>
          <w:rFonts w:ascii="Times New Roman" w:hAnsi="Times New Roman"/>
          <w:sz w:val="20"/>
        </w:rPr>
        <w:t xml:space="preserve">This Agreement shall inure to the benefit of and be binding upon the successors and assigns of each of the parties, including, without limitation, and without the need for an express assignment, subsequent Holders of Registrable Notes; </w:t>
      </w:r>
      <w:r>
        <w:rPr>
          <w:rFonts w:ascii="Times New Roman" w:hAnsi="Times New Roman"/>
          <w:i/>
          <w:sz w:val="20"/>
        </w:rPr>
        <w:t>provided, however</w:t>
      </w:r>
      <w:r>
        <w:rPr>
          <w:rFonts w:ascii="Times New Roman" w:hAnsi="Times New Roman"/>
          <w:sz w:val="20"/>
        </w:rPr>
        <w:t xml:space="preserve">, that this Agreement shall not inure to the benefit of or be binding upon a successor or assign of a Holder unless and to the extent such successor or assign acquired Registrable Notes from such Holder.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Counterparts. </w:t>
      </w:r>
      <w:r>
        <w:rPr>
          <w:rFonts w:ascii="Times New Roman" w:hAnsi="Times New Roman"/>
          <w:sz w:val="20"/>
        </w:rPr>
        <w:t xml:space="preserve">This Agreement may be executed in any number of counterparts (including by facsimile or other method of electronic transmission) and by the parties hereto in separate counterparts, each of which when so executed shall be deemed to be an original and all of which taken together shall constitute one and the same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Headings. </w:t>
      </w:r>
      <w:r>
        <w:rPr>
          <w:rFonts w:ascii="Times New Roman" w:hAnsi="Times New Roman"/>
          <w:sz w:val="20"/>
        </w:rPr>
        <w:t xml:space="preserve">The headings in this Agreement are for convenience of reference only and shall not limit or otherwise affect the meaning hereof.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Governing Law. </w:t>
      </w:r>
      <w:r>
        <w:rPr>
          <w:rFonts w:ascii="Times New Roman" w:hAnsi="Times New Roman"/>
          <w:sz w:val="20"/>
        </w:rPr>
        <w:t xml:space="preserve">THIS AGREEMENT SHALL BE GOVERNED BY AND CONSTRUED IN ACCORDANCE WITH THE LAWS OF THE STATE OF NEW YORK, WITHOUT REGARD TO THE CONFLICTS OF LAW RULES THEREOF.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Severability. </w:t>
      </w:r>
      <w:r>
        <w:rPr>
          <w:rFonts w:ascii="Times New Roman" w:hAnsi="Times New Roman"/>
          <w:sz w:val="20"/>
        </w:rPr>
        <w:t xml:space="preserve">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Entire Agreement. </w:t>
      </w:r>
      <w:r>
        <w:rPr>
          <w:rFonts w:ascii="Times New Roman" w:hAnsi="Times New Roman"/>
          <w:sz w:val="20"/>
        </w:rPr>
        <w:t xml:space="preserve">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the Registrable Notes. This Agreement supersedes all prior agreements and understandings between the parties with respect to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Third Party Beneficiaries.</w:t>
      </w:r>
      <w:r>
        <w:rPr>
          <w:rFonts w:ascii="Times New Roman" w:hAnsi="Times New Roman"/>
          <w:sz w:val="20"/>
        </w:rPr>
        <w:t xml:space="preserve"> Each Holder shall be a third party beneficiary to the agreements made hereunder between the Company, on the one hand, and the Initial Purchasers, on the other hand, and shall have the right to enforce such agreements directly to the extent it deems such enforcement necessary or advisable to protect its rights or the rights of other Holders hereunder.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70"/>
        <w:gridCol w:w="80"/>
        <w:gridCol w:w="3532"/>
      </w:tblGrid>
      <w:tr>
        <w:trPr/>
        <w:tc>
          <w:tcPr>
            <w:tcW w:w="47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35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LENDING PARTNERS</w:t>
            </w:r>
          </w:p>
        </w:tc>
      </w:tr>
      <w:tr>
        <w:trPr>
          <w:trHeight w:val="240" w:hRule="atLeast"/>
        </w:trPr>
        <w:tc>
          <w:tcPr>
            <w:tcW w:w="470" w:type="dxa"/>
            <w:tcBorders/>
            <w:vAlign w:val="center"/>
          </w:tcPr>
          <w:p>
            <w:pPr>
              <w:pStyle w:val="TableContents"/>
              <w:bidi w:val="0"/>
              <w:spacing w:before="0" w:after="283"/>
              <w:jc w:val="left"/>
              <w:rPr>
                <w:sz w:val="4"/>
                <w:szCs w:val="4"/>
              </w:rPr>
            </w:pPr>
            <w:r>
              <w:rPr>
                <w:sz w:val="4"/>
                <w:szCs w:val="4"/>
              </w:rPr>
            </w:r>
          </w:p>
        </w:tc>
        <w:tc>
          <w:tcPr>
            <w:tcW w:w="3612"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t>By:</w:t>
            </w:r>
          </w:p>
        </w:tc>
        <w:tc>
          <w:tcPr>
            <w:tcW w:w="80" w:type="dxa"/>
            <w:tcBorders/>
            <w:vAlign w:val="bottom"/>
          </w:tcPr>
          <w:p>
            <w:pPr>
              <w:pStyle w:val="TableContents"/>
              <w:bidi w:val="0"/>
              <w:spacing w:before="0" w:after="283"/>
              <w:jc w:val="left"/>
              <w:rPr/>
            </w:pPr>
            <w:r>
              <w:rPr/>
              <w:t> </w:t>
            </w:r>
          </w:p>
        </w:tc>
        <w:tc>
          <w:tcPr>
            <w:tcW w:w="3532" w:type="dxa"/>
            <w:tcBorders/>
          </w:tcPr>
          <w:p>
            <w:pPr>
              <w:pStyle w:val="TableContents"/>
              <w:pBdr>
                <w:bottom w:val="single" w:sz="2" w:space="1" w:color="000000"/>
              </w:pBdr>
              <w:bidi w:val="0"/>
              <w:spacing w:before="0" w:after="20"/>
              <w:jc w:val="left"/>
              <w:rPr/>
            </w:pPr>
            <w:r>
              <w:rPr/>
              <w:t> </w:t>
            </w:r>
          </w:p>
        </w:tc>
      </w:tr>
      <w:tr>
        <w:trPr/>
        <w:tc>
          <w:tcPr>
            <w:tcW w:w="470"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Name:</w:t>
            </w:r>
          </w:p>
        </w:tc>
      </w:tr>
      <w:tr>
        <w:trPr/>
        <w:tc>
          <w:tcPr>
            <w:tcW w:w="470"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Registration Rights Agreement is hereby confirmed and accepted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23"/>
        <w:gridCol w:w="91"/>
        <w:gridCol w:w="3468"/>
      </w:tblGrid>
      <w:tr>
        <w:trPr/>
        <w:tc>
          <w:tcPr>
            <w:tcW w:w="523"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346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BOFA SECURITIES, INC.</w:t>
            </w:r>
          </w:p>
        </w:tc>
      </w:tr>
      <w:tr>
        <w:trPr>
          <w:trHeight w:val="240" w:hRule="atLeast"/>
        </w:trPr>
        <w:tc>
          <w:tcPr>
            <w:tcW w:w="523" w:type="dxa"/>
            <w:tcBorders/>
            <w:vAlign w:val="center"/>
          </w:tcPr>
          <w:p>
            <w:pPr>
              <w:pStyle w:val="TableContents"/>
              <w:bidi w:val="0"/>
              <w:spacing w:before="0" w:after="283"/>
              <w:jc w:val="left"/>
              <w:rPr>
                <w:sz w:val="4"/>
                <w:szCs w:val="4"/>
              </w:rPr>
            </w:pPr>
            <w:r>
              <w:rPr>
                <w:sz w:val="4"/>
                <w:szCs w:val="4"/>
              </w:rPr>
            </w:r>
          </w:p>
        </w:tc>
        <w:tc>
          <w:tcPr>
            <w:tcW w:w="3559" w:type="dxa"/>
            <w:gridSpan w:val="2"/>
            <w:tcBorders/>
            <w:vAlign w:val="center"/>
          </w:tcPr>
          <w:p>
            <w:pPr>
              <w:pStyle w:val="TableContents"/>
              <w:bidi w:val="0"/>
              <w:spacing w:before="0" w:after="283"/>
              <w:jc w:val="left"/>
              <w:rPr>
                <w:sz w:val="4"/>
                <w:szCs w:val="4"/>
              </w:rPr>
            </w:pPr>
            <w:r>
              <w:rPr>
                <w:sz w:val="4"/>
                <w:szCs w:val="4"/>
              </w:rPr>
            </w:r>
          </w:p>
        </w:tc>
      </w:tr>
      <w:tr>
        <w:trPr/>
        <w:tc>
          <w:tcPr>
            <w:tcW w:w="523" w:type="dxa"/>
            <w:tcBorders/>
          </w:tcPr>
          <w:p>
            <w:pPr>
              <w:pStyle w:val="TableContents"/>
              <w:bidi w:val="0"/>
              <w:spacing w:before="0" w:after="283"/>
              <w:jc w:val="left"/>
              <w:rPr/>
            </w:pPr>
            <w:r>
              <w:rPr/>
              <w:t>By:</w:t>
            </w:r>
          </w:p>
        </w:tc>
        <w:tc>
          <w:tcPr>
            <w:tcW w:w="91" w:type="dxa"/>
            <w:tcBorders/>
            <w:vAlign w:val="bottom"/>
          </w:tcPr>
          <w:p>
            <w:pPr>
              <w:pStyle w:val="TableContents"/>
              <w:bidi w:val="0"/>
              <w:spacing w:before="0" w:after="283"/>
              <w:jc w:val="left"/>
              <w:rPr/>
            </w:pPr>
            <w:r>
              <w:rPr/>
              <w:t> </w:t>
            </w:r>
          </w:p>
        </w:tc>
        <w:tc>
          <w:tcPr>
            <w:tcW w:w="3468" w:type="dxa"/>
            <w:tcBorders/>
          </w:tcPr>
          <w:p>
            <w:pPr>
              <w:pStyle w:val="TableContents"/>
              <w:pBdr>
                <w:bottom w:val="single" w:sz="2" w:space="1" w:color="000000"/>
              </w:pBdr>
              <w:bidi w:val="0"/>
              <w:spacing w:before="0" w:after="20"/>
              <w:jc w:val="left"/>
              <w:rPr/>
            </w:pPr>
            <w:r>
              <w:rPr/>
              <w:t> </w:t>
            </w:r>
          </w:p>
        </w:tc>
      </w:tr>
      <w:tr>
        <w:trPr/>
        <w:tc>
          <w:tcPr>
            <w:tcW w:w="523"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68" w:type="dxa"/>
            <w:tcBorders/>
          </w:tcPr>
          <w:p>
            <w:pPr>
              <w:pStyle w:val="TableContents"/>
              <w:bidi w:val="0"/>
              <w:spacing w:before="0" w:after="283"/>
              <w:jc w:val="left"/>
              <w:rPr/>
            </w:pPr>
            <w:r>
              <w:rPr/>
              <w:t>Name:</w:t>
            </w:r>
          </w:p>
        </w:tc>
      </w:tr>
      <w:tr>
        <w:trPr/>
        <w:tc>
          <w:tcPr>
            <w:tcW w:w="523"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68"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Lending Partners </w:t>
      </w:r>
    </w:p>
    <w:p>
      <w:pPr>
        <w:pStyle w:val="TextBody"/>
        <w:bidi w:val="0"/>
        <w:spacing w:before="0" w:after="0"/>
        <w:jc w:val="center"/>
        <w:rPr>
          <w:rFonts w:ascii="Times New Roman" w:hAnsi="Times New Roman"/>
          <w:b/>
          <w:sz w:val="20"/>
        </w:rPr>
      </w:pPr>
      <w:r>
        <w:rPr>
          <w:rFonts w:ascii="Times New Roman" w:hAnsi="Times New Roman"/>
          <w:b/>
          <w:sz w:val="20"/>
        </w:rPr>
        <w:t xml:space="preserve">$600,000,000 </w:t>
      </w:r>
    </w:p>
    <w:p>
      <w:pPr>
        <w:pStyle w:val="TextBody"/>
        <w:bidi w:val="0"/>
        <w:spacing w:before="0" w:after="0"/>
        <w:jc w:val="center"/>
        <w:rPr>
          <w:rFonts w:ascii="Times New Roman" w:hAnsi="Times New Roman"/>
          <w:b/>
          <w:sz w:val="20"/>
        </w:rPr>
      </w:pPr>
      <w:r>
        <w:rPr>
          <w:rFonts w:ascii="Times New Roman" w:hAnsi="Times New Roman"/>
          <w:b/>
          <w:sz w:val="20"/>
        </w:rPr>
        <w:t xml:space="preserve">6.500% Notes due 2029 </w:t>
      </w:r>
    </w:p>
    <w:p>
      <w:pPr>
        <w:pStyle w:val="TextBody"/>
        <w:bidi w:val="0"/>
        <w:spacing w:before="24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0" w:after="0"/>
        <w:jc w:val="center"/>
        <w:rPr>
          <w:rFonts w:ascii="Times New Roman" w:hAnsi="Times New Roman"/>
          <w:b/>
          <w:sz w:val="20"/>
        </w:rPr>
      </w:pPr>
      <w:r>
        <w:rPr>
          <w:rFonts w:ascii="Times New Roman" w:hAnsi="Times New Roman"/>
          <w:b/>
          <w:sz w:val="20"/>
        </w:rPr>
        <w:t xml:space="preserve">March 4, 2024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the final terms of the 6.500% Notes due 2029 and should only be read together with the preliminary offering memorandum, dated March 4, 2024 (the Preliminary Offering Memorandum), and supersedes the information in the Preliminary Offering Memorandum to the extent inconsistent with the information in the Preliminary Offering Memorandum. In all other respects, this pricing term sheet is qualified in its entirety by reference to the Preliminary Offering Memorandum. Terms used herein but not defined herein shall have the respective meanings as set forth in the Preliminary Offering Memorandum. All references to dollar amounts are references to U.S.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44"/>
        <w:gridCol w:w="120"/>
        <w:gridCol w:w="7141"/>
      </w:tblGrid>
      <w:tr>
        <w:trPr/>
        <w:tc>
          <w:tcPr>
            <w:tcW w:w="294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41" w:type="dxa"/>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Issuer:</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Sixth Street Lending Partners (the Issuer)</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Security:</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6.500% Notes due 2029</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Ratings (Moodys/Fitch)*:</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sz w:val="4"/>
                <w:szCs w:val="4"/>
              </w:rPr>
            </w:pPr>
            <w:r>
              <w:rPr>
                <w:sz w:val="4"/>
                <w:szCs w:val="4"/>
              </w:rPr>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Aggregate Principal Amount Offered:</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$600,000,000</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Maturity Date:</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March 11, 2029, unless earlier repurchased or redeemed</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Trade Date:</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March 4, 2024</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Issue Price:</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The Notes will be issued at a price of 98.937% of their principal amount, plus accrued interest, if any, from March 11, 2024.</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Coupon (Interest Rate):</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6.500%</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Yield to Maturity:</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6.754%</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Spread to Benchmark Treasury:</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T+255 bps</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Benchmark Treasury:</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4.250% due February 28, 2029</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Benchmark Treasury Price and Yield:</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100-06+ / 4.204%</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Interest Payment Dates:</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March 11 and September 11, commencing September 11, 2024</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Optional Redemption:</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Prior to February 11, 2029 (the Par Call Date), equal to the greater of the following amounts, plus, in each case, accrued and unpaid interest thereon to the redemption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40 basis points less (b) interest accrued to the date of redemption;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  100% of the principal amount of the Notes to be redeemed;</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88"/>
        <w:gridCol w:w="121"/>
        <w:gridCol w:w="7096"/>
      </w:tblGrid>
      <w:tr>
        <w:trPr/>
        <w:tc>
          <w:tcPr>
            <w:tcW w:w="298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096" w:type="dxa"/>
            <w:tcBorders/>
            <w:vAlign w:val="center"/>
          </w:tcPr>
          <w:p>
            <w:pPr>
              <w:pStyle w:val="TableContents"/>
              <w:bidi w:val="0"/>
              <w:spacing w:before="0" w:after="283"/>
              <w:jc w:val="left"/>
              <w:rPr>
                <w:sz w:val="4"/>
                <w:szCs w:val="4"/>
              </w:rPr>
            </w:pPr>
            <w:r>
              <w:rPr>
                <w:sz w:val="4"/>
                <w:szCs w:val="4"/>
              </w:rPr>
            </w:r>
          </w:p>
        </w:tc>
      </w:tr>
      <w:tr>
        <w:trPr/>
        <w:tc>
          <w:tcPr>
            <w:tcW w:w="298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096" w:type="dxa"/>
            <w:tcBorders/>
            <w:vAlign w:val="bottom"/>
          </w:tcPr>
          <w:p>
            <w:pPr>
              <w:pStyle w:val="TableContents"/>
              <w:bidi w:val="0"/>
              <w:spacing w:before="0" w:after="283"/>
              <w:jc w:val="left"/>
              <w:rPr/>
            </w:pPr>
            <w:r>
              <w:rPr>
                <w:i/>
              </w:rPr>
              <w:t>provided, however</w:t>
            </w:r>
            <w:r>
              <w:rPr/>
              <w:t>, that if the Issuer redeems any Notes on or after the Par Call Date, the redemption price for the Notes will be equal to 100% of the principal amount of the Notes to be redeemed, plus accrued and unpaid interest thereon to the date of redemption.</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Change of Control:</w:t>
            </w:r>
          </w:p>
        </w:tc>
        <w:tc>
          <w:tcPr>
            <w:tcW w:w="121" w:type="dxa"/>
            <w:tcBorders/>
            <w:vAlign w:val="bottom"/>
          </w:tcPr>
          <w:p>
            <w:pPr>
              <w:pStyle w:val="TableContents"/>
              <w:bidi w:val="0"/>
              <w:spacing w:before="0" w:after="283"/>
              <w:jc w:val="left"/>
              <w:rPr/>
            </w:pPr>
            <w:r>
              <w:rPr/>
              <w:t>  </w:t>
            </w:r>
          </w:p>
        </w:tc>
        <w:tc>
          <w:tcPr>
            <w:tcW w:w="7096" w:type="dxa"/>
            <w:tcBorders/>
          </w:tcPr>
          <w:p>
            <w:pPr>
              <w:pStyle w:val="TableContents"/>
              <w:bidi w:val="0"/>
              <w:spacing w:before="0" w:after="283"/>
              <w:jc w:val="left"/>
              <w:rPr/>
            </w:pPr>
            <w:r>
              <w:rPr/>
              <w:t>Holders have the right to require the Issuer to repurchase the Notes at 100% of their principal amount plus accrued and unpaid interest, if any, in the event of a change of control repurchase event.</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Settlement Date**:</w:t>
            </w:r>
          </w:p>
        </w:tc>
        <w:tc>
          <w:tcPr>
            <w:tcW w:w="121" w:type="dxa"/>
            <w:tcBorders/>
            <w:vAlign w:val="bottom"/>
          </w:tcPr>
          <w:p>
            <w:pPr>
              <w:pStyle w:val="TableContents"/>
              <w:bidi w:val="0"/>
              <w:spacing w:before="0" w:after="283"/>
              <w:jc w:val="left"/>
              <w:rPr/>
            </w:pPr>
            <w:r>
              <w:rPr/>
              <w:t>  </w:t>
            </w:r>
          </w:p>
        </w:tc>
        <w:tc>
          <w:tcPr>
            <w:tcW w:w="7096" w:type="dxa"/>
            <w:tcBorders/>
          </w:tcPr>
          <w:p>
            <w:pPr>
              <w:pStyle w:val="TableContents"/>
              <w:bidi w:val="0"/>
              <w:spacing w:before="0" w:after="283"/>
              <w:jc w:val="left"/>
              <w:rPr/>
            </w:pPr>
            <w:r>
              <w:rPr/>
              <w:t>March 11, 2024 (T+5)</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Denomination:</w:t>
            </w:r>
          </w:p>
        </w:tc>
        <w:tc>
          <w:tcPr>
            <w:tcW w:w="121" w:type="dxa"/>
            <w:tcBorders/>
            <w:vAlign w:val="bottom"/>
          </w:tcPr>
          <w:p>
            <w:pPr>
              <w:pStyle w:val="TableContents"/>
              <w:bidi w:val="0"/>
              <w:spacing w:before="0" w:after="283"/>
              <w:jc w:val="left"/>
              <w:rPr/>
            </w:pPr>
            <w:r>
              <w:rPr/>
              <w:t>  </w:t>
            </w:r>
          </w:p>
        </w:tc>
        <w:tc>
          <w:tcPr>
            <w:tcW w:w="7096" w:type="dxa"/>
            <w:tcBorders/>
          </w:tcPr>
          <w:p>
            <w:pPr>
              <w:pStyle w:val="TableContents"/>
              <w:bidi w:val="0"/>
              <w:spacing w:before="0" w:after="283"/>
              <w:jc w:val="left"/>
              <w:rPr/>
            </w:pPr>
            <w:r>
              <w:rPr/>
              <w:t>$2,000 and integral multiples of $1,000 in excess thereof</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Distribution:</w:t>
            </w:r>
          </w:p>
        </w:tc>
        <w:tc>
          <w:tcPr>
            <w:tcW w:w="121" w:type="dxa"/>
            <w:tcBorders/>
            <w:vAlign w:val="bottom"/>
          </w:tcPr>
          <w:p>
            <w:pPr>
              <w:pStyle w:val="TableContents"/>
              <w:bidi w:val="0"/>
              <w:spacing w:before="0" w:after="283"/>
              <w:jc w:val="left"/>
              <w:rPr/>
            </w:pPr>
            <w:r>
              <w:rPr/>
              <w:t>  </w:t>
            </w:r>
          </w:p>
        </w:tc>
        <w:tc>
          <w:tcPr>
            <w:tcW w:w="7096" w:type="dxa"/>
            <w:tcBorders/>
          </w:tcPr>
          <w:p>
            <w:pPr>
              <w:pStyle w:val="TableContents"/>
              <w:bidi w:val="0"/>
              <w:spacing w:before="0" w:after="283"/>
              <w:jc w:val="left"/>
              <w:rPr/>
            </w:pPr>
            <w:r>
              <w:rPr/>
              <w:t>144A and Reg S with registration rights as set forth in the Preliminary Offering Memorandum.</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CUSIP / ISIN:</w:t>
            </w:r>
          </w:p>
        </w:tc>
        <w:tc>
          <w:tcPr>
            <w:tcW w:w="121" w:type="dxa"/>
            <w:tcBorders/>
            <w:vAlign w:val="bottom"/>
          </w:tcPr>
          <w:p>
            <w:pPr>
              <w:pStyle w:val="TableContents"/>
              <w:bidi w:val="0"/>
              <w:spacing w:before="0" w:after="283"/>
              <w:jc w:val="left"/>
              <w:rPr/>
            </w:pPr>
            <w:r>
              <w:rPr/>
              <w:t>  </w:t>
            </w:r>
          </w:p>
        </w:tc>
        <w:tc>
          <w:tcPr>
            <w:tcW w:w="7096" w:type="dxa"/>
            <w:tcBorders/>
          </w:tcPr>
          <w:p>
            <w:pPr>
              <w:pStyle w:val="TableContents"/>
              <w:bidi w:val="0"/>
              <w:spacing w:before="0" w:after="0"/>
              <w:jc w:val="left"/>
              <w:rPr>
                <w:rFonts w:ascii="Times New Roman" w:hAnsi="Times New Roman"/>
                <w:sz w:val="20"/>
              </w:rPr>
            </w:pPr>
            <w:r>
              <w:rPr>
                <w:rFonts w:ascii="Times New Roman" w:hAnsi="Times New Roman"/>
                <w:sz w:val="20"/>
              </w:rPr>
              <w:t>144A: 829932AA0 / US829932AA03</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Reg S: U82912AA1 / USU82912AA14</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Joint Book-Running Managers:</w:t>
            </w:r>
          </w:p>
        </w:tc>
        <w:tc>
          <w:tcPr>
            <w:tcW w:w="121" w:type="dxa"/>
            <w:tcBorders/>
            <w:vAlign w:val="bottom"/>
          </w:tcPr>
          <w:p>
            <w:pPr>
              <w:pStyle w:val="TableContents"/>
              <w:bidi w:val="0"/>
              <w:spacing w:before="0" w:after="283"/>
              <w:jc w:val="left"/>
              <w:rPr/>
            </w:pPr>
            <w:r>
              <w:rPr/>
              <w:t>  </w:t>
            </w:r>
          </w:p>
        </w:tc>
        <w:tc>
          <w:tcPr>
            <w:tcW w:w="7096"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RBC Capital Markets, LLC</w:t>
            </w:r>
          </w:p>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p>
            <w:pPr>
              <w:pStyle w:val="TableContents"/>
              <w:bidi w:val="0"/>
              <w:spacing w:before="0" w:after="0"/>
              <w:jc w:val="left"/>
              <w:rPr>
                <w:rFonts w:ascii="Times New Roman" w:hAnsi="Times New Roman"/>
                <w:sz w:val="20"/>
              </w:rPr>
            </w:pPr>
            <w:r>
              <w:rPr>
                <w:rFonts w:ascii="Times New Roman" w:hAnsi="Times New Roman"/>
                <w:sz w:val="20"/>
              </w:rPr>
              <w:t>Barclays Capital Inc.</w:t>
            </w:r>
          </w:p>
          <w:p>
            <w:pPr>
              <w:pStyle w:val="TableContents"/>
              <w:bidi w:val="0"/>
              <w:spacing w:before="0" w:after="0"/>
              <w:jc w:val="left"/>
              <w:rPr>
                <w:rFonts w:ascii="Times New Roman" w:hAnsi="Times New Roman"/>
                <w:sz w:val="20"/>
              </w:rPr>
            </w:pPr>
            <w:r>
              <w:rPr>
                <w:rFonts w:ascii="Times New Roman" w:hAnsi="Times New Roman"/>
                <w:sz w:val="20"/>
              </w:rPr>
              <w:t>Mizuho Securities USA LLC</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0"/>
              <w:jc w:val="left"/>
              <w:rPr>
                <w:rFonts w:ascii="Times New Roman" w:hAnsi="Times New Roman"/>
                <w:sz w:val="20"/>
              </w:rPr>
            </w:pPr>
            <w:r>
              <w:rPr>
                <w:rFonts w:ascii="Times New Roman" w:hAnsi="Times New Roman"/>
                <w:sz w:val="20"/>
              </w:rPr>
              <w:t>Wells Fargo Securities, LLC</w:t>
            </w:r>
          </w:p>
          <w:p>
            <w:pPr>
              <w:pStyle w:val="TableContents"/>
              <w:bidi w:val="0"/>
              <w:spacing w:before="0" w:after="0"/>
              <w:jc w:val="left"/>
              <w:rPr>
                <w:rFonts w:ascii="Times New Roman" w:hAnsi="Times New Roman"/>
                <w:sz w:val="20"/>
              </w:rPr>
            </w:pPr>
            <w:r>
              <w:rPr>
                <w:rFonts w:ascii="Times New Roman" w:hAnsi="Times New Roman"/>
                <w:sz w:val="20"/>
              </w:rPr>
              <w:t>BNP Paribas Securities Corp.</w:t>
            </w:r>
          </w:p>
          <w:p>
            <w:pPr>
              <w:pStyle w:val="TableContents"/>
              <w:bidi w:val="0"/>
              <w:spacing w:before="0" w:after="0"/>
              <w:jc w:val="left"/>
              <w:rPr>
                <w:rFonts w:ascii="Times New Roman" w:hAnsi="Times New Roman"/>
                <w:sz w:val="20"/>
              </w:rPr>
            </w:pPr>
            <w:r>
              <w:rPr>
                <w:rFonts w:ascii="Times New Roman" w:hAnsi="Times New Roman"/>
                <w:sz w:val="20"/>
              </w:rPr>
              <w:t>Goldman Sachs &amp; Co. LLC</w:t>
            </w:r>
          </w:p>
          <w:p>
            <w:pPr>
              <w:pStyle w:val="TableContents"/>
              <w:bidi w:val="0"/>
              <w:spacing w:before="0" w:after="0"/>
              <w:jc w:val="left"/>
              <w:rPr>
                <w:rFonts w:ascii="Times New Roman" w:hAnsi="Times New Roman"/>
                <w:sz w:val="20"/>
              </w:rPr>
            </w:pPr>
            <w:r>
              <w:rPr>
                <w:rFonts w:ascii="Times New Roman" w:hAnsi="Times New Roman"/>
                <w:sz w:val="20"/>
              </w:rPr>
              <w:t>HSBC Securities (USA) Inc.</w:t>
            </w:r>
          </w:p>
          <w:p>
            <w:pPr>
              <w:pStyle w:val="TableContents"/>
              <w:bidi w:val="0"/>
              <w:spacing w:before="0" w:after="0"/>
              <w:jc w:val="left"/>
              <w:rPr>
                <w:rFonts w:ascii="Times New Roman" w:hAnsi="Times New Roman"/>
                <w:sz w:val="20"/>
              </w:rPr>
            </w:pPr>
            <w:r>
              <w:rPr>
                <w:rFonts w:ascii="Times New Roman" w:hAnsi="Times New Roman"/>
                <w:sz w:val="20"/>
              </w:rPr>
              <w:t>ING Financial Markets LLC</w:t>
            </w:r>
          </w:p>
          <w:p>
            <w:pPr>
              <w:pStyle w:val="TableContents"/>
              <w:bidi w:val="0"/>
              <w:spacing w:before="0" w:after="20"/>
              <w:jc w:val="left"/>
              <w:rPr>
                <w:rFonts w:ascii="Times New Roman" w:hAnsi="Times New Roman"/>
                <w:sz w:val="20"/>
              </w:rPr>
            </w:pPr>
            <w:r>
              <w:rPr>
                <w:rFonts w:ascii="Times New Roman" w:hAnsi="Times New Roman"/>
                <w:sz w:val="20"/>
              </w:rPr>
              <w:t>Morgan Stanley &amp; Co. LLC</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Co-Managers:</w:t>
            </w:r>
          </w:p>
        </w:tc>
        <w:tc>
          <w:tcPr>
            <w:tcW w:w="121" w:type="dxa"/>
            <w:tcBorders/>
            <w:vAlign w:val="bottom"/>
          </w:tcPr>
          <w:p>
            <w:pPr>
              <w:pStyle w:val="TableContents"/>
              <w:bidi w:val="0"/>
              <w:spacing w:before="0" w:after="283"/>
              <w:jc w:val="left"/>
              <w:rPr/>
            </w:pPr>
            <w:r>
              <w:rPr/>
              <w:t>  </w:t>
            </w:r>
          </w:p>
        </w:tc>
        <w:tc>
          <w:tcPr>
            <w:tcW w:w="7096" w:type="dxa"/>
            <w:tcBorders/>
          </w:tcPr>
          <w:p>
            <w:pPr>
              <w:pStyle w:val="TableContents"/>
              <w:bidi w:val="0"/>
              <w:spacing w:before="0" w:after="0"/>
              <w:jc w:val="left"/>
              <w:rPr>
                <w:rFonts w:ascii="Times New Roman" w:hAnsi="Times New Roman"/>
                <w:sz w:val="20"/>
              </w:rPr>
            </w:pPr>
            <w:r>
              <w:rPr>
                <w:rFonts w:ascii="Times New Roman" w:hAnsi="Times New Roman"/>
                <w:sz w:val="20"/>
              </w:rPr>
              <w:t>Keefe, Bruyette &amp; Woods, Inc.</w:t>
            </w:r>
          </w:p>
          <w:p>
            <w:pPr>
              <w:pStyle w:val="TableContents"/>
              <w:bidi w:val="0"/>
              <w:spacing w:before="0" w:after="20"/>
              <w:jc w:val="left"/>
              <w:rPr>
                <w:rFonts w:ascii="Times New Roman" w:hAnsi="Times New Roman"/>
                <w:sz w:val="20"/>
              </w:rPr>
            </w:pPr>
            <w:r>
              <w:rPr>
                <w:rFonts w:ascii="Times New Roman" w:hAnsi="Times New Roman"/>
                <w:sz w:val="20"/>
              </w:rPr>
              <w:t>R. Seelaus &amp; Co., LLC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A securities rating is not a recommendation to buy, sell or hold securities and may be subject to revision or withdrawal at any time.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expects that delivery of the Notes will be made to investors on or about March 11, 2024, which will be the fifth business day following the date hereof. Under Rule 15c6-1 under the Securities Exchange Act of 1934, as amended, trades in the secondary market are required to settle in two business days, unless the parties to any such trade expressly agree otherwise. Accordingly, purchasers who wish to trade Notes on the date hereof or the next succeeding two business days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two business days should consult their advisors.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Notes have not been registered under the Securities Act of 1933, as amended (the Securities Act), or any state securities laws. Unless they are registered, any Notes may be offered only in transactions exempt from or not subject to registration under the Securities Act, or any state securities laws. Accordingly, the Notes have been offered only to persons reasonably believed to be qualified institutional buyers as defined in Rule 144A under the Securities Act or to non-U.S. persons outside the United States under Regulation S under the Securities Act.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are advised to carefully consider the investment objectives, risks, charges and expenses of the Issuer before investing. The Preliminary Offering Memorandum contains this and other information about the Issuer and should be read carefully before investing.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information in the Preliminary Offering Memorandum and in this pricing term sheet is not complete and may be changed. The Preliminary Offering Memorandum and this pricing term sheet are not offers to sell any securities of the Issuer and are not soliciting an offer to buy such securities in any state or jurisdiction where such offer and sale is not permitted. The Issuer, any initial purchaser or any dealer participating in the offering will arrange to send you the Preliminary Offering Memorandum if you request it by calling BofA Securities, Inc. at 1-800-294-1322.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31030</Words>
  <Characters>163937</Characters>
  <CharactersWithSpaces>194557</CharactersWithSpaces>
  <Paragraphs>742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